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outlineLvl w:val="9"/>
      </w:pPr>
    </w:p>
    <w:p>
      <w:pPr>
        <w:pStyle w:val="2"/>
      </w:pPr>
    </w:p>
    <w:p>
      <w:pPr>
        <w:ind w:left="0" w:leftChars="0" w:firstLine="0" w:firstLineChars="0"/>
        <w:jc w:val="both"/>
        <w:outlineLvl w:val="9"/>
        <w:rPr>
          <w:rFonts w:hint="eastAsia" w:eastAsia="宋体"/>
          <w:lang w:eastAsia="zh-CN"/>
        </w:rPr>
        <w:sectPr>
          <w:headerReference r:id="rId5" w:type="default"/>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26" w:charSpace="0"/>
        </w:sectPr>
      </w:pPr>
      <w:r>
        <w:drawing>
          <wp:inline distT="0" distB="0" distL="114300" distR="114300">
            <wp:extent cx="5784215" cy="7934960"/>
            <wp:effectExtent l="0" t="0" r="6985" b="889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8"/>
                    <a:stretch>
                      <a:fillRect/>
                    </a:stretch>
                  </pic:blipFill>
                  <pic:spPr>
                    <a:xfrm>
                      <a:off x="0" y="0"/>
                      <a:ext cx="5784215" cy="7934960"/>
                    </a:xfrm>
                    <a:prstGeom prst="rect">
                      <a:avLst/>
                    </a:prstGeom>
                    <a:noFill/>
                    <a:ln>
                      <a:noFill/>
                    </a:ln>
                  </pic:spPr>
                </pic:pic>
              </a:graphicData>
            </a:graphic>
          </wp:inline>
        </w:drawing>
      </w:r>
      <w:r>
        <w:drawing>
          <wp:inline distT="0" distB="0" distL="114300" distR="114300">
            <wp:extent cx="5782310" cy="8119745"/>
            <wp:effectExtent l="0" t="0" r="8890" b="146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5782310" cy="8119745"/>
                    </a:xfrm>
                    <a:prstGeom prst="rect">
                      <a:avLst/>
                    </a:prstGeom>
                    <a:noFill/>
                    <a:ln>
                      <a:noFill/>
                    </a:ln>
                  </pic:spPr>
                </pic:pic>
              </a:graphicData>
            </a:graphic>
          </wp:inline>
        </w:drawing>
      </w:r>
      <w:r>
        <w:rPr>
          <w:rFonts w:hint="eastAsia" w:eastAsia="宋体"/>
          <w:lang w:eastAsia="zh-CN"/>
        </w:rPr>
        <w:drawing>
          <wp:inline distT="0" distB="0" distL="114300" distR="114300">
            <wp:extent cx="5754370" cy="8295005"/>
            <wp:effectExtent l="0" t="0" r="17780" b="10795"/>
            <wp:docPr id="33" name="图片 33" descr="4a609d20057427a9a7c3969de5943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a609d20057427a9a7c3969de59435d5"/>
                    <pic:cNvPicPr>
                      <a:picLocks noChangeAspect="1"/>
                    </pic:cNvPicPr>
                  </pic:nvPicPr>
                  <pic:blipFill>
                    <a:blip r:embed="rId10"/>
                    <a:stretch>
                      <a:fillRect/>
                    </a:stretch>
                  </pic:blipFill>
                  <pic:spPr>
                    <a:xfrm>
                      <a:off x="0" y="0"/>
                      <a:ext cx="5754370" cy="8295005"/>
                    </a:xfrm>
                    <a:prstGeom prst="rect">
                      <a:avLst/>
                    </a:prstGeom>
                  </pic:spPr>
                </pic:pic>
              </a:graphicData>
            </a:graphic>
          </wp:inline>
        </w:drawing>
      </w:r>
      <w:r>
        <w:drawing>
          <wp:inline distT="0" distB="0" distL="114300" distR="114300">
            <wp:extent cx="5758815" cy="7691120"/>
            <wp:effectExtent l="0" t="0" r="13335" b="508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1"/>
                    <a:stretch>
                      <a:fillRect/>
                    </a:stretch>
                  </pic:blipFill>
                  <pic:spPr>
                    <a:xfrm>
                      <a:off x="0" y="0"/>
                      <a:ext cx="5758815" cy="7691120"/>
                    </a:xfrm>
                    <a:prstGeom prst="rect">
                      <a:avLst/>
                    </a:prstGeom>
                    <a:noFill/>
                    <a:ln>
                      <a:noFill/>
                    </a:ln>
                  </pic:spPr>
                </pic:pic>
              </a:graphicData>
            </a:graphic>
          </wp:inline>
        </w:drawing>
      </w:r>
    </w:p>
    <w:p>
      <w:pPr>
        <w:pStyle w:val="4"/>
      </w:pPr>
      <w:r>
        <w:rPr>
          <w:rFonts w:hint="eastAsia"/>
        </w:rPr>
        <w:t>一、建设项目基本情况</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32"/>
        <w:gridCol w:w="2373"/>
        <w:gridCol w:w="1728"/>
        <w:gridCol w:w="32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建设项目名称</w:t>
            </w:r>
          </w:p>
        </w:tc>
        <w:tc>
          <w:tcPr>
            <w:tcW w:w="4047" w:type="pct"/>
            <w:gridSpan w:val="3"/>
            <w:vAlign w:val="center"/>
          </w:tcPr>
          <w:p>
            <w:pPr>
              <w:adjustRightInd w:val="0"/>
              <w:snapToGrid w:val="0"/>
              <w:spacing w:line="240" w:lineRule="auto"/>
              <w:ind w:firstLine="0" w:firstLineChars="0"/>
              <w:jc w:val="center"/>
              <w:textAlignment w:val="auto"/>
              <w:rPr>
                <w:rFonts w:hint="eastAsia" w:eastAsia="宋体" w:cs="Times New Roman"/>
                <w:color w:val="000000" w:themeColor="text1"/>
                <w:szCs w:val="24"/>
                <w:lang w:eastAsia="zh-CN"/>
                <w14:textFill>
                  <w14:solidFill>
                    <w14:schemeClr w14:val="tx1"/>
                  </w14:solidFill>
                </w14:textFill>
              </w:rPr>
            </w:pPr>
            <w:r>
              <w:rPr>
                <w:rFonts w:hint="eastAsia" w:cs="Times New Roman"/>
                <w:color w:val="000000" w:themeColor="text1"/>
                <w:szCs w:val="24"/>
                <w:lang w:eastAsia="zh-CN"/>
                <w14:textFill>
                  <w14:solidFill>
                    <w14:schemeClr w14:val="tx1"/>
                  </w14:solidFill>
                </w14:textFill>
              </w:rPr>
              <w:t>巴州鸿源石油装备器材有限公司锅炉技术改造项目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项目代码</w:t>
            </w:r>
          </w:p>
        </w:tc>
        <w:tc>
          <w:tcPr>
            <w:tcW w:w="4047" w:type="pct"/>
            <w:gridSpan w:val="3"/>
            <w:vAlign w:val="center"/>
          </w:tcPr>
          <w:p>
            <w:pPr>
              <w:adjustRightInd w:val="0"/>
              <w:snapToGrid w:val="0"/>
              <w:spacing w:line="240" w:lineRule="auto"/>
              <w:ind w:firstLine="0" w:firstLineChars="0"/>
              <w:jc w:val="center"/>
              <w:textAlignment w:val="auto"/>
              <w:rPr>
                <w:rFonts w:hint="default" w:eastAsia="宋体" w:cs="Times New Roman"/>
                <w:color w:val="000000" w:themeColor="text1"/>
                <w:szCs w:val="24"/>
                <w:lang w:val="en-US" w:eastAsia="zh-CN"/>
                <w14:textFill>
                  <w14:solidFill>
                    <w14:schemeClr w14:val="tx1"/>
                  </w14:solidFill>
                </w14:textFill>
              </w:rPr>
            </w:pPr>
            <w:bookmarkStart w:id="28" w:name="_GoBack"/>
            <w:bookmarkEnd w:id="2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建设单位联系人</w:t>
            </w:r>
          </w:p>
        </w:tc>
        <w:tc>
          <w:tcPr>
            <w:tcW w:w="1304" w:type="pct"/>
            <w:vAlign w:val="center"/>
          </w:tcPr>
          <w:p>
            <w:pPr>
              <w:adjustRightInd w:val="0"/>
              <w:snapToGrid w:val="0"/>
              <w:spacing w:line="240" w:lineRule="auto"/>
              <w:ind w:firstLine="0" w:firstLineChars="0"/>
              <w:jc w:val="center"/>
              <w:textAlignment w:val="auto"/>
              <w:rPr>
                <w:rFonts w:hint="default" w:eastAsia="宋体" w:cs="Times New Roman"/>
                <w:color w:val="000000" w:themeColor="text1"/>
                <w:szCs w:val="24"/>
                <w:lang w:val="en-US" w:eastAsia="zh-CN"/>
                <w14:textFill>
                  <w14:solidFill>
                    <w14:schemeClr w14:val="tx1"/>
                  </w14:solidFill>
                </w14:textFill>
              </w:rPr>
            </w:pPr>
          </w:p>
        </w:tc>
        <w:tc>
          <w:tcPr>
            <w:tcW w:w="950" w:type="pct"/>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p>
        </w:tc>
        <w:tc>
          <w:tcPr>
            <w:tcW w:w="1793" w:type="pct"/>
            <w:vAlign w:val="center"/>
          </w:tcPr>
          <w:p>
            <w:pPr>
              <w:adjustRightInd w:val="0"/>
              <w:snapToGrid w:val="0"/>
              <w:spacing w:line="240" w:lineRule="auto"/>
              <w:ind w:firstLine="0" w:firstLineChars="0"/>
              <w:jc w:val="center"/>
              <w:textAlignment w:val="auto"/>
              <w:rPr>
                <w:rFonts w:hint="default" w:eastAsia="宋体" w:cs="Times New Roman"/>
                <w:color w:val="000000" w:themeColor="text1"/>
                <w:szCs w:val="24"/>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建设地点</w:t>
            </w:r>
          </w:p>
        </w:tc>
        <w:tc>
          <w:tcPr>
            <w:tcW w:w="4047" w:type="pct"/>
            <w:gridSpan w:val="3"/>
            <w:vAlign w:val="center"/>
          </w:tcPr>
          <w:p>
            <w:pPr>
              <w:adjustRightInd w:val="0"/>
              <w:snapToGrid w:val="0"/>
              <w:spacing w:line="240" w:lineRule="auto"/>
              <w:ind w:firstLine="0" w:firstLineChars="0"/>
              <w:jc w:val="center"/>
              <w:textAlignment w:val="auto"/>
              <w:rPr>
                <w:rFonts w:hint="default" w:cs="Times New Roman"/>
                <w:color w:val="000000" w:themeColor="text1"/>
                <w:szCs w:val="24"/>
                <w:lang w:val="en-US"/>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地理坐标</w:t>
            </w:r>
          </w:p>
        </w:tc>
        <w:tc>
          <w:tcPr>
            <w:tcW w:w="4047" w:type="pct"/>
            <w:gridSpan w:val="3"/>
            <w:vAlign w:val="center"/>
          </w:tcPr>
          <w:p>
            <w:pPr>
              <w:spacing w:line="240" w:lineRule="auto"/>
              <w:ind w:firstLine="0" w:firstLineChars="0"/>
              <w:jc w:val="center"/>
              <w:textAlignment w:val="auto"/>
              <w:rPr>
                <w:rFonts w:cs="Times New Roman"/>
                <w:color w:val="000000" w:themeColor="text1"/>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国民经济</w:t>
            </w:r>
          </w:p>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行业类别</w:t>
            </w:r>
          </w:p>
        </w:tc>
        <w:tc>
          <w:tcPr>
            <w:tcW w:w="1304" w:type="pct"/>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hint="eastAsia"/>
              </w:rPr>
              <w:t>D4430热力生产和供应</w:t>
            </w:r>
          </w:p>
        </w:tc>
        <w:tc>
          <w:tcPr>
            <w:tcW w:w="950" w:type="pct"/>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bookmarkStart w:id="0" w:name="_Hlk49843745"/>
            <w:r>
              <w:rPr>
                <w:rFonts w:cs="Times New Roman"/>
                <w:color w:val="000000" w:themeColor="text1"/>
                <w:szCs w:val="24"/>
                <w14:textFill>
                  <w14:solidFill>
                    <w14:schemeClr w14:val="tx1"/>
                  </w14:solidFill>
                </w14:textFill>
              </w:rPr>
              <w:t>建设项目</w:t>
            </w:r>
          </w:p>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行业类别</w:t>
            </w:r>
            <w:bookmarkEnd w:id="0"/>
          </w:p>
        </w:tc>
        <w:tc>
          <w:tcPr>
            <w:tcW w:w="1793" w:type="pct"/>
            <w:shd w:val="clear" w:color="auto" w:fill="auto"/>
            <w:vAlign w:val="center"/>
          </w:tcPr>
          <w:p>
            <w:pPr>
              <w:pStyle w:val="38"/>
              <w:ind w:firstLine="0" w:firstLineChars="0"/>
              <w:rPr>
                <w:rFonts w:hint="eastAsia" w:ascii="Times New Roman" w:hAnsi="Times New Roman" w:eastAsia="宋体" w:cstheme="minorBidi"/>
                <w:kern w:val="2"/>
                <w:sz w:val="24"/>
                <w:szCs w:val="21"/>
                <w:u w:val="none"/>
                <w:lang w:val="en-US" w:eastAsia="zh-CN" w:bidi="ar-SA"/>
              </w:rPr>
            </w:pPr>
            <w:r>
              <w:rPr>
                <w:rFonts w:hint="eastAsia"/>
                <w:u w:val="none"/>
              </w:rPr>
              <w:t>四十一，电力、热力生产和供应业-91-热力生产和供应工程；燃煤、燃油锅炉总容量65吨/小时（45.5兆瓦）及以下的；天然气锅炉总容量1吨/小时（0.7兆瓦）以上的；使用其他高污染燃料的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建设性质</w:t>
            </w:r>
          </w:p>
        </w:tc>
        <w:tc>
          <w:tcPr>
            <w:tcW w:w="1304" w:type="pct"/>
            <w:vAlign w:val="center"/>
          </w:tcPr>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A3"/>
            </w:r>
            <w:r>
              <w:rPr>
                <w:rFonts w:cs="Times New Roman"/>
                <w:color w:val="000000" w:themeColor="text1"/>
                <w:szCs w:val="24"/>
                <w14:textFill>
                  <w14:solidFill>
                    <w14:schemeClr w14:val="tx1"/>
                  </w14:solidFill>
                </w14:textFill>
              </w:rPr>
              <w:t>新建（迁建）</w:t>
            </w:r>
          </w:p>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A3"/>
            </w:r>
            <w:r>
              <w:rPr>
                <w:rFonts w:cs="Times New Roman"/>
                <w:color w:val="000000" w:themeColor="text1"/>
                <w:szCs w:val="24"/>
                <w14:textFill>
                  <w14:solidFill>
                    <w14:schemeClr w14:val="tx1"/>
                  </w14:solidFill>
                </w14:textFill>
              </w:rPr>
              <w:t>改建</w:t>
            </w:r>
          </w:p>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A3"/>
            </w:r>
            <w:r>
              <w:rPr>
                <w:rFonts w:cs="Times New Roman"/>
                <w:color w:val="000000" w:themeColor="text1"/>
                <w:szCs w:val="24"/>
                <w14:textFill>
                  <w14:solidFill>
                    <w14:schemeClr w14:val="tx1"/>
                  </w14:solidFill>
                </w14:textFill>
              </w:rPr>
              <w:t>扩建</w:t>
            </w:r>
          </w:p>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52"/>
            </w:r>
            <w:r>
              <w:rPr>
                <w:rFonts w:cs="Times New Roman"/>
                <w:color w:val="000000" w:themeColor="text1"/>
                <w:szCs w:val="24"/>
                <w14:textFill>
                  <w14:solidFill>
                    <w14:schemeClr w14:val="tx1"/>
                  </w14:solidFill>
                </w14:textFill>
              </w:rPr>
              <w:t>技术改造</w:t>
            </w:r>
          </w:p>
        </w:tc>
        <w:tc>
          <w:tcPr>
            <w:tcW w:w="950" w:type="pct"/>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建设项目</w:t>
            </w:r>
          </w:p>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申报情形</w:t>
            </w:r>
          </w:p>
        </w:tc>
        <w:tc>
          <w:tcPr>
            <w:tcW w:w="1793" w:type="pct"/>
            <w:vAlign w:val="center"/>
          </w:tcPr>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52"/>
            </w:r>
            <w:r>
              <w:rPr>
                <w:rFonts w:cs="Times New Roman"/>
                <w:color w:val="000000" w:themeColor="text1"/>
                <w:szCs w:val="24"/>
                <w14:textFill>
                  <w14:solidFill>
                    <w14:schemeClr w14:val="tx1"/>
                  </w14:solidFill>
                </w14:textFill>
              </w:rPr>
              <w:t>首次申报项目</w:t>
            </w:r>
          </w:p>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A3"/>
            </w:r>
            <w:r>
              <w:rPr>
                <w:rFonts w:cs="Times New Roman"/>
                <w:color w:val="000000" w:themeColor="text1"/>
                <w:szCs w:val="24"/>
                <w14:textFill>
                  <w14:solidFill>
                    <w14:schemeClr w14:val="tx1"/>
                  </w14:solidFill>
                </w14:textFill>
              </w:rPr>
              <w:t>不予批准后再次申报项目</w:t>
            </w:r>
          </w:p>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A3"/>
            </w:r>
            <w:r>
              <w:rPr>
                <w:rFonts w:cs="Times New Roman"/>
                <w:color w:val="000000" w:themeColor="text1"/>
                <w:szCs w:val="24"/>
                <w14:textFill>
                  <w14:solidFill>
                    <w14:schemeClr w14:val="tx1"/>
                  </w14:solidFill>
                </w14:textFill>
              </w:rPr>
              <w:t>超五年重新审核项目</w:t>
            </w:r>
          </w:p>
          <w:p>
            <w:pPr>
              <w:spacing w:line="240" w:lineRule="auto"/>
              <w:ind w:firstLine="0" w:firstLineChars="0"/>
              <w:jc w:val="left"/>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sym w:font="Wingdings 2" w:char="00A3"/>
            </w:r>
            <w:r>
              <w:rPr>
                <w:rFonts w:cs="Times New Roman"/>
                <w:color w:val="000000" w:themeColor="text1"/>
                <w:szCs w:val="24"/>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项目审批（核准/</w:t>
            </w:r>
          </w:p>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备案）部门（选填）</w:t>
            </w:r>
          </w:p>
        </w:tc>
        <w:tc>
          <w:tcPr>
            <w:tcW w:w="1304" w:type="pct"/>
            <w:vAlign w:val="center"/>
          </w:tcPr>
          <w:p>
            <w:pPr>
              <w:adjustRightInd w:val="0"/>
              <w:snapToGrid w:val="0"/>
              <w:spacing w:line="240" w:lineRule="auto"/>
              <w:ind w:firstLine="0" w:firstLineChars="0"/>
              <w:jc w:val="center"/>
              <w:textAlignment w:val="auto"/>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w:t>
            </w:r>
          </w:p>
        </w:tc>
        <w:tc>
          <w:tcPr>
            <w:tcW w:w="950" w:type="pct"/>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项目审批（核准/备案）文号（选填）</w:t>
            </w:r>
          </w:p>
        </w:tc>
        <w:tc>
          <w:tcPr>
            <w:tcW w:w="1793" w:type="pct"/>
            <w:vAlign w:val="center"/>
          </w:tcPr>
          <w:p>
            <w:pPr>
              <w:adjustRightInd w:val="0"/>
              <w:snapToGrid w:val="0"/>
              <w:spacing w:line="240" w:lineRule="auto"/>
              <w:ind w:firstLine="0" w:firstLineChars="0"/>
              <w:jc w:val="center"/>
              <w:textAlignment w:val="auto"/>
              <w:rPr>
                <w:rFonts w:hint="eastAsia" w:eastAsia="宋体" w:cs="Times New Roman"/>
                <w:color w:val="000000" w:themeColor="text1"/>
                <w:szCs w:val="24"/>
                <w:lang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总投资（万元）</w:t>
            </w:r>
          </w:p>
        </w:tc>
        <w:tc>
          <w:tcPr>
            <w:tcW w:w="1304" w:type="pct"/>
            <w:vAlign w:val="center"/>
          </w:tcPr>
          <w:p>
            <w:pPr>
              <w:adjustRightInd w:val="0"/>
              <w:snapToGrid w:val="0"/>
              <w:spacing w:line="240" w:lineRule="auto"/>
              <w:ind w:firstLine="0" w:firstLineChars="0"/>
              <w:jc w:val="center"/>
              <w:textAlignment w:val="auto"/>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80</w:t>
            </w:r>
          </w:p>
        </w:tc>
        <w:tc>
          <w:tcPr>
            <w:tcW w:w="950"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环保投资（万元）</w:t>
            </w:r>
          </w:p>
        </w:tc>
        <w:tc>
          <w:tcPr>
            <w:tcW w:w="1793" w:type="pct"/>
            <w:vAlign w:val="center"/>
          </w:tcPr>
          <w:p>
            <w:pPr>
              <w:adjustRightInd w:val="0"/>
              <w:snapToGrid w:val="0"/>
              <w:spacing w:line="240" w:lineRule="auto"/>
              <w:ind w:firstLine="0" w:firstLineChars="0"/>
              <w:jc w:val="center"/>
              <w:textAlignment w:val="auto"/>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环保投资占比（%）</w:t>
            </w:r>
          </w:p>
        </w:tc>
        <w:tc>
          <w:tcPr>
            <w:tcW w:w="1304" w:type="pct"/>
            <w:vAlign w:val="center"/>
          </w:tcPr>
          <w:p>
            <w:pPr>
              <w:adjustRightInd w:val="0"/>
              <w:snapToGrid w:val="0"/>
              <w:spacing w:line="240" w:lineRule="auto"/>
              <w:ind w:firstLine="0" w:firstLineChars="0"/>
              <w:jc w:val="center"/>
              <w:textAlignment w:val="auto"/>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22.5</w:t>
            </w:r>
          </w:p>
        </w:tc>
        <w:tc>
          <w:tcPr>
            <w:tcW w:w="950"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施工工期</w:t>
            </w:r>
          </w:p>
        </w:tc>
        <w:tc>
          <w:tcPr>
            <w:tcW w:w="1793" w:type="pct"/>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1</w:t>
            </w:r>
            <w:r>
              <w:rPr>
                <w:rFonts w:hint="eastAsia" w:cs="Times New Roman"/>
                <w:color w:val="000000" w:themeColor="text1"/>
                <w:szCs w:val="24"/>
                <w14:textFill>
                  <w14:solidFill>
                    <w14:schemeClr w14:val="tx1"/>
                  </w14:solidFill>
                </w14:textFill>
              </w:rPr>
              <w:t>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952"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是否开工建设</w:t>
            </w:r>
          </w:p>
        </w:tc>
        <w:tc>
          <w:tcPr>
            <w:tcW w:w="1304" w:type="pct"/>
            <w:vAlign w:val="center"/>
          </w:tcPr>
          <w:p>
            <w:pPr>
              <w:adjustRightInd w:val="0"/>
              <w:snapToGrid w:val="0"/>
              <w:spacing w:line="240" w:lineRule="auto"/>
              <w:ind w:firstLine="0" w:firstLineChars="0"/>
              <w:textAlignment w:val="auto"/>
              <w:rPr>
                <w:rFonts w:cs="Times New Roman"/>
                <w:color w:val="000000" w:themeColor="text1"/>
                <w:szCs w:val="24"/>
                <w14:textFill>
                  <w14:solidFill>
                    <w14:schemeClr w14:val="tx1"/>
                  </w14:solidFill>
                </w14:textFill>
              </w:rPr>
            </w:pPr>
            <w:r>
              <w:rPr>
                <w:rFonts w:hint="eastAsia"/>
                <w:kern w:val="0"/>
                <w:szCs w:val="18"/>
              </w:rPr>
              <w:sym w:font="Wingdings 2" w:char="0052"/>
            </w:r>
            <w:r>
              <w:rPr>
                <w:rFonts w:cs="Times New Roman"/>
                <w:color w:val="000000" w:themeColor="text1"/>
                <w:szCs w:val="24"/>
                <w14:textFill>
                  <w14:solidFill>
                    <w14:schemeClr w14:val="tx1"/>
                  </w14:solidFill>
                </w14:textFill>
              </w:rPr>
              <w:t>否</w:t>
            </w:r>
          </w:p>
          <w:p>
            <w:pPr>
              <w:adjustRightInd w:val="0"/>
              <w:snapToGrid w:val="0"/>
              <w:spacing w:line="240" w:lineRule="auto"/>
              <w:ind w:firstLine="0" w:firstLineChars="0"/>
              <w:textAlignment w:val="auto"/>
              <w:rPr>
                <w:rFonts w:hint="eastAsia" w:eastAsia="宋体" w:cs="Times New Roman"/>
                <w:color w:val="000000" w:themeColor="text1"/>
                <w:szCs w:val="24"/>
                <w:lang w:eastAsia="zh-CN"/>
                <w14:textFill>
                  <w14:solidFill>
                    <w14:schemeClr w14:val="tx1"/>
                  </w14:solidFill>
                </w14:textFill>
              </w:rPr>
            </w:pPr>
            <w:r>
              <w:rPr>
                <w:rFonts w:hint="eastAsia"/>
                <w:kern w:val="0"/>
                <w:szCs w:val="18"/>
                <w:u w:val="none"/>
              </w:rPr>
              <w:sym w:font="Wingdings 2" w:char="00A3"/>
            </w:r>
            <w:r>
              <w:rPr>
                <w:rFonts w:cs="Times New Roman"/>
                <w:color w:val="000000" w:themeColor="text1"/>
                <w:szCs w:val="24"/>
                <w:u w:val="none"/>
                <w14:textFill>
                  <w14:solidFill>
                    <w14:schemeClr w14:val="tx1"/>
                  </w14:solidFill>
                </w14:textFill>
              </w:rPr>
              <w:t>是</w:t>
            </w:r>
            <w:r>
              <w:rPr>
                <w:rFonts w:hint="eastAsia" w:cs="Times New Roman"/>
                <w:color w:val="000000" w:themeColor="text1"/>
                <w:szCs w:val="24"/>
                <w:u w:val="none"/>
                <w:lang w:eastAsia="zh-CN"/>
                <w14:textFill>
                  <w14:solidFill>
                    <w14:schemeClr w14:val="tx1"/>
                  </w14:solidFill>
                </w14:textFill>
              </w:rPr>
              <w:t>：</w:t>
            </w:r>
          </w:p>
        </w:tc>
        <w:tc>
          <w:tcPr>
            <w:tcW w:w="950" w:type="pct"/>
            <w:tcMar>
              <w:top w:w="16" w:type="dxa"/>
              <w:left w:w="16" w:type="dxa"/>
              <w:right w:w="16" w:type="dxa"/>
            </w:tcMar>
            <w:vAlign w:val="center"/>
          </w:tcPr>
          <w:p>
            <w:pPr>
              <w:adjustRightInd w:val="0"/>
              <w:snapToGrid w:val="0"/>
              <w:spacing w:line="240" w:lineRule="auto"/>
              <w:ind w:firstLine="0" w:firstLineChars="0"/>
              <w:jc w:val="center"/>
              <w:textAlignment w:val="auto"/>
              <w:rPr>
                <w:rFonts w:cs="Times New Roman"/>
                <w:color w:val="000000" w:themeColor="text1"/>
                <w:spacing w:val="-6"/>
                <w:szCs w:val="24"/>
                <w14:textFill>
                  <w14:solidFill>
                    <w14:schemeClr w14:val="tx1"/>
                  </w14:solidFill>
                </w14:textFill>
              </w:rPr>
            </w:pPr>
            <w:r>
              <w:rPr>
                <w:rFonts w:cs="Times New Roman"/>
                <w:color w:val="000000" w:themeColor="text1"/>
                <w:spacing w:val="-6"/>
                <w:szCs w:val="24"/>
                <w14:textFill>
                  <w14:solidFill>
                    <w14:schemeClr w14:val="tx1"/>
                  </w14:solidFill>
                </w14:textFill>
              </w:rPr>
              <w:t>用地（用海）</w:t>
            </w:r>
          </w:p>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pacing w:val="-6"/>
                <w:szCs w:val="24"/>
                <w14:textFill>
                  <w14:solidFill>
                    <w14:schemeClr w14:val="tx1"/>
                  </w14:solidFill>
                </w14:textFill>
              </w:rPr>
              <w:t>面积（m</w:t>
            </w:r>
            <w:r>
              <w:rPr>
                <w:rFonts w:cs="Times New Roman"/>
                <w:color w:val="000000" w:themeColor="text1"/>
                <w:spacing w:val="-6"/>
                <w:szCs w:val="24"/>
                <w:vertAlign w:val="superscript"/>
                <w14:textFill>
                  <w14:solidFill>
                    <w14:schemeClr w14:val="tx1"/>
                  </w14:solidFill>
                </w14:textFill>
              </w:rPr>
              <w:t>2</w:t>
            </w:r>
            <w:r>
              <w:rPr>
                <w:rFonts w:cs="Times New Roman"/>
                <w:color w:val="000000" w:themeColor="text1"/>
                <w:spacing w:val="-6"/>
                <w:szCs w:val="24"/>
                <w14:textFill>
                  <w14:solidFill>
                    <w14:schemeClr w14:val="tx1"/>
                  </w14:solidFill>
                </w14:textFill>
              </w:rPr>
              <w:t>）</w:t>
            </w:r>
          </w:p>
        </w:tc>
        <w:tc>
          <w:tcPr>
            <w:tcW w:w="1793" w:type="pct"/>
            <w:vAlign w:val="center"/>
          </w:tcPr>
          <w:p>
            <w:pPr>
              <w:adjustRightInd w:val="0"/>
              <w:snapToGrid w:val="0"/>
              <w:spacing w:line="240" w:lineRule="auto"/>
              <w:ind w:firstLine="0" w:firstLineChars="0"/>
              <w:jc w:val="center"/>
              <w:textAlignment w:val="auto"/>
              <w:rPr>
                <w:rFonts w:hint="eastAsia" w:eastAsia="宋体" w:cs="Times New Roman"/>
                <w:color w:val="000000" w:themeColor="text1"/>
                <w:szCs w:val="24"/>
                <w:lang w:eastAsia="zh-CN"/>
                <w14:textFill>
                  <w14:solidFill>
                    <w14:schemeClr w14:val="tx1"/>
                  </w14:solidFill>
                </w14:textFill>
              </w:rPr>
            </w:pPr>
            <w:r>
              <w:rPr>
                <w:rFonts w:hint="eastAsia" w:cs="Times New Roman"/>
                <w:lang w:val="en-US" w:eastAsia="zh-CN"/>
              </w:rPr>
              <w:t>0（不新增占地）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2" w:type="pct"/>
            <w:vAlign w:val="center"/>
          </w:tcPr>
          <w:p>
            <w:pPr>
              <w:autoSpaceDE w:val="0"/>
              <w:autoSpaceDN w:val="0"/>
              <w:adjustRightInd w:val="0"/>
              <w:snapToGrid w:val="0"/>
              <w:spacing w:line="240" w:lineRule="auto"/>
              <w:ind w:firstLine="0" w:firstLineChars="0"/>
              <w:jc w:val="center"/>
              <w:textAlignment w:val="auto"/>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专项评价设置情况</w:t>
            </w:r>
          </w:p>
        </w:tc>
        <w:tc>
          <w:tcPr>
            <w:tcW w:w="4047" w:type="pct"/>
            <w:gridSpan w:val="3"/>
            <w:vAlign w:val="center"/>
          </w:tcPr>
          <w:p>
            <w:pPr>
              <w:ind w:left="0" w:lef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2" w:type="pct"/>
            <w:vAlign w:val="center"/>
          </w:tcPr>
          <w:p>
            <w:pPr>
              <w:autoSpaceDE w:val="0"/>
              <w:autoSpaceDN w:val="0"/>
              <w:adjustRightInd w:val="0"/>
              <w:snapToGrid w:val="0"/>
              <w:spacing w:line="240" w:lineRule="auto"/>
              <w:ind w:firstLine="0" w:firstLineChars="0"/>
              <w:jc w:val="center"/>
              <w:textAlignment w:val="auto"/>
              <w:rPr>
                <w:rFonts w:cs="Times New Roman"/>
                <w:color w:val="000000" w:themeColor="text1"/>
                <w:kern w:val="0"/>
                <w:szCs w:val="24"/>
                <w14:textFill>
                  <w14:solidFill>
                    <w14:schemeClr w14:val="tx1"/>
                  </w14:solidFill>
                </w14:textFill>
              </w:rPr>
            </w:pPr>
            <w:r>
              <w:rPr>
                <w:rFonts w:cs="Times New Roman"/>
                <w:color w:val="000000" w:themeColor="text1"/>
                <w:szCs w:val="24"/>
                <w14:textFill>
                  <w14:solidFill>
                    <w14:schemeClr w14:val="tx1"/>
                  </w14:solidFill>
                </w14:textFill>
              </w:rPr>
              <w:t>规划情况</w:t>
            </w:r>
          </w:p>
        </w:tc>
        <w:tc>
          <w:tcPr>
            <w:tcW w:w="4047" w:type="pct"/>
            <w:gridSpan w:val="3"/>
            <w:vAlign w:val="center"/>
          </w:tcPr>
          <w:p>
            <w:pPr>
              <w:ind w:left="0" w:leftChars="0" w:firstLine="0" w:firstLineChars="0"/>
              <w:rPr>
                <w:rFonts w:hint="eastAsia"/>
              </w:rPr>
            </w:pPr>
            <w:r>
              <w:rPr>
                <w:rFonts w:hint="eastAsia"/>
                <w:lang w:val="en-US" w:eastAsia="zh-CN"/>
              </w:rPr>
              <w:t>规划：</w:t>
            </w:r>
            <w:r>
              <w:rPr>
                <w:rFonts w:hint="eastAsia"/>
              </w:rPr>
              <w:t>《轮台工业园区国土空间专项规划（2024—2035年）》</w:t>
            </w:r>
          </w:p>
          <w:p>
            <w:pPr>
              <w:ind w:left="0" w:leftChars="0" w:firstLine="0" w:firstLineChars="0"/>
              <w:rPr>
                <w:rFonts w:hint="eastAsia"/>
                <w:lang w:val="en-US" w:eastAsia="zh-CN"/>
              </w:rPr>
            </w:pPr>
            <w:r>
              <w:rPr>
                <w:rFonts w:hint="eastAsia"/>
                <w:lang w:val="en-US" w:eastAsia="zh-CN"/>
              </w:rPr>
              <w:t>批复名称：关于对</w:t>
            </w:r>
            <w:r>
              <w:rPr>
                <w:rFonts w:hint="eastAsia"/>
              </w:rPr>
              <w:t>《轮台工业园区国土空间专项规划（2024—2035）》</w:t>
            </w:r>
            <w:r>
              <w:rPr>
                <w:rFonts w:hint="eastAsia"/>
                <w:lang w:val="en-US" w:eastAsia="zh-CN"/>
              </w:rPr>
              <w:t>的批复</w:t>
            </w:r>
          </w:p>
          <w:p>
            <w:pPr>
              <w:ind w:left="0" w:leftChars="0" w:firstLine="0" w:firstLineChars="0"/>
              <w:rPr>
                <w:rFonts w:hint="eastAsia"/>
                <w:lang w:val="en-US" w:eastAsia="zh-CN"/>
              </w:rPr>
            </w:pPr>
            <w:r>
              <w:rPr>
                <w:rFonts w:hint="eastAsia"/>
                <w:lang w:val="en-US" w:eastAsia="zh-CN"/>
              </w:rPr>
              <w:t>批复时间：2025年2月12日</w:t>
            </w:r>
          </w:p>
          <w:p>
            <w:pPr>
              <w:ind w:left="0" w:leftChars="0" w:firstLine="0" w:firstLineChars="0"/>
              <w:rPr>
                <w:rFonts w:hint="default"/>
                <w:lang w:val="en-US" w:eastAsia="zh-CN"/>
              </w:rPr>
            </w:pPr>
            <w:r>
              <w:rPr>
                <w:rFonts w:hint="eastAsia"/>
                <w:lang w:val="en-US" w:eastAsia="zh-CN"/>
              </w:rPr>
              <w:t>批复单位：轮台县人民政府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2" w:type="pct"/>
            <w:vAlign w:val="center"/>
          </w:tcPr>
          <w:p>
            <w:pPr>
              <w:adjustRightInd w:val="0"/>
              <w:snapToGrid w:val="0"/>
              <w:spacing w:line="240" w:lineRule="auto"/>
              <w:ind w:firstLine="0" w:firstLineChars="0"/>
              <w:jc w:val="center"/>
              <w:textAlignment w:val="auto"/>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规划环境影响</w:t>
            </w:r>
          </w:p>
          <w:p>
            <w:pPr>
              <w:adjustRightInd w:val="0"/>
              <w:snapToGrid w:val="0"/>
              <w:spacing w:line="240" w:lineRule="auto"/>
              <w:ind w:firstLine="0" w:firstLineChars="0"/>
              <w:jc w:val="center"/>
              <w:textAlignment w:val="auto"/>
              <w:rPr>
                <w:rFonts w:cs="Times New Roman"/>
                <w:color w:val="000000" w:themeColor="text1"/>
                <w:kern w:val="0"/>
                <w:szCs w:val="24"/>
                <w14:textFill>
                  <w14:solidFill>
                    <w14:schemeClr w14:val="tx1"/>
                  </w14:solidFill>
                </w14:textFill>
              </w:rPr>
            </w:pPr>
            <w:r>
              <w:rPr>
                <w:rFonts w:cs="Times New Roman"/>
                <w:color w:val="000000" w:themeColor="text1"/>
                <w:szCs w:val="24"/>
                <w14:textFill>
                  <w14:solidFill>
                    <w14:schemeClr w14:val="tx1"/>
                  </w14:solidFill>
                </w14:textFill>
              </w:rPr>
              <w:t>评价情况</w:t>
            </w:r>
          </w:p>
        </w:tc>
        <w:tc>
          <w:tcPr>
            <w:tcW w:w="4047" w:type="pct"/>
            <w:gridSpan w:val="3"/>
          </w:tcPr>
          <w:p>
            <w:pPr>
              <w:ind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2" w:type="pct"/>
            <w:vAlign w:val="center"/>
          </w:tcPr>
          <w:p>
            <w:pPr>
              <w:autoSpaceDE w:val="0"/>
              <w:autoSpaceDN w:val="0"/>
              <w:adjustRightInd w:val="0"/>
              <w:snapToGrid w:val="0"/>
              <w:spacing w:line="240" w:lineRule="auto"/>
              <w:ind w:firstLine="0" w:firstLineChars="0"/>
              <w:jc w:val="center"/>
              <w:textAlignment w:val="auto"/>
              <w:rPr>
                <w:rFonts w:cs="Times New Roman"/>
                <w:color w:val="000000" w:themeColor="text1"/>
                <w:kern w:val="0"/>
                <w:szCs w:val="24"/>
                <w14:textFill>
                  <w14:solidFill>
                    <w14:schemeClr w14:val="tx1"/>
                  </w14:solidFill>
                </w14:textFill>
              </w:rPr>
            </w:pPr>
            <w:r>
              <w:rPr>
                <w:rFonts w:cs="Times New Roman"/>
                <w:color w:val="000000" w:themeColor="text1"/>
                <w:kern w:val="0"/>
                <w:szCs w:val="24"/>
                <w:highlight w:val="none"/>
                <w14:textFill>
                  <w14:solidFill>
                    <w14:schemeClr w14:val="tx1"/>
                  </w14:solidFill>
                </w14:textFill>
              </w:rPr>
              <w:t>规划及规划环境影响评价符合性分析</w:t>
            </w:r>
          </w:p>
        </w:tc>
        <w:tc>
          <w:tcPr>
            <w:tcW w:w="4047" w:type="pct"/>
            <w:gridSpan w:val="3"/>
          </w:tcPr>
          <w:p>
            <w:pPr>
              <w:bidi w:val="0"/>
              <w:ind w:left="0" w:leftChars="0" w:firstLine="0" w:firstLineChars="0"/>
              <w:rPr>
                <w:rFonts w:hint="eastAsia"/>
                <w:b/>
                <w:bCs/>
                <w:lang w:val="en-US" w:eastAsia="zh-CN"/>
              </w:rPr>
            </w:pPr>
            <w:r>
              <w:rPr>
                <w:rFonts w:hint="eastAsia"/>
                <w:b/>
                <w:bCs/>
              </w:rPr>
              <w:t>与《轮台工业园区国土空间专项规划（2024—2035年）》的符合性</w:t>
            </w:r>
            <w:r>
              <w:rPr>
                <w:rFonts w:hint="eastAsia"/>
                <w:b/>
                <w:bCs/>
                <w:lang w:val="en-US" w:eastAsia="zh-CN"/>
              </w:rPr>
              <w:t>分析</w:t>
            </w:r>
          </w:p>
          <w:p>
            <w:pPr>
              <w:bidi w:val="0"/>
              <w:rPr>
                <w:rFonts w:hint="eastAsia"/>
              </w:rPr>
            </w:pPr>
            <w:r>
              <w:rPr>
                <w:rFonts w:hint="eastAsia"/>
              </w:rPr>
              <w:t>《轮台工业园区国土空间专项规划（2024—2035年）》于2025年2月12日取得了轮台县人民政府出具的审批意见。根据《规划》，轮台工业园区自治区批复的范围为34.8平方公里，园区采取“一园两区”模式，县城以西20公里为拉依苏石油化工区、县城东部为红桥石油服务区，本项目位于红桥石油服务区。</w:t>
            </w:r>
          </w:p>
          <w:p>
            <w:pPr>
              <w:ind w:firstLine="480"/>
              <w:rPr>
                <w:rFonts w:hint="eastAsia"/>
                <w:b/>
                <w:bCs/>
              </w:rPr>
            </w:pPr>
            <w:r>
              <w:rPr>
                <w:rFonts w:hint="eastAsia"/>
                <w:b/>
                <w:bCs/>
                <w:lang w:val="en-US" w:eastAsia="zh-CN"/>
              </w:rPr>
              <w:t>（1）</w:t>
            </w:r>
            <w:r>
              <w:rPr>
                <w:rFonts w:hint="eastAsia"/>
                <w:b/>
                <w:bCs/>
              </w:rPr>
              <w:t>供热规划</w:t>
            </w:r>
          </w:p>
          <w:p>
            <w:pPr>
              <w:ind w:firstLine="480"/>
            </w:pPr>
            <w:r>
              <w:rPr>
                <w:rFonts w:hint="eastAsia"/>
                <w:b w:val="0"/>
                <w:bCs w:val="0"/>
              </w:rPr>
              <w:t>现状</w:t>
            </w:r>
            <w:r>
              <w:rPr>
                <w:rFonts w:hint="eastAsia"/>
              </w:rPr>
              <w:t>：</w:t>
            </w:r>
            <w:bookmarkStart w:id="1" w:name="OLE_LINK122"/>
            <w:r>
              <w:rPr>
                <w:rFonts w:hint="eastAsia"/>
              </w:rPr>
              <w:t>红桥石油服务区</w:t>
            </w:r>
            <w:bookmarkEnd w:id="1"/>
            <w:r>
              <w:rPr>
                <w:rFonts w:hint="eastAsia"/>
              </w:rPr>
              <w:t>目前无集中供热设施，企业生产用热及建筑采暖用热均依托自建燃气锅炉或燃气壁挂炉。</w:t>
            </w:r>
          </w:p>
          <w:p>
            <w:pPr>
              <w:ind w:firstLine="480"/>
              <w:rPr>
                <w:rFonts w:hint="eastAsia"/>
              </w:rPr>
            </w:pPr>
            <w:r>
              <w:rPr>
                <w:rFonts w:hint="eastAsia"/>
                <w:b w:val="0"/>
                <w:bCs w:val="0"/>
              </w:rPr>
              <w:t>热源规划</w:t>
            </w:r>
            <w:r>
              <w:rPr>
                <w:rFonts w:hint="eastAsia"/>
              </w:rPr>
              <w:t>：红桥石油服务区由于工业企业热负荷普遍较低，多为冬季取暖及原材料加热用低温蒸汽，季节性较强；并且工业企业生产工艺设备多样，工艺生产对热媒的品种、参数要求各不相同，本次规划不考虑集中工业生产热源，工业企业可根据自身需要建设燃气锅炉房。</w:t>
            </w:r>
          </w:p>
          <w:p>
            <w:pPr>
              <w:ind w:firstLine="480"/>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燃气工程规划</w:t>
            </w:r>
          </w:p>
          <w:p>
            <w:pPr>
              <w:ind w:firstLine="480"/>
            </w:pPr>
            <w:r>
              <w:rPr>
                <w:rFonts w:hint="eastAsia"/>
              </w:rPr>
              <w:t>现状：红桥石油服务区燃气来自中石化西北天然气销售中心拉依苏门站，该管线采用中压燃气管线，管网起点压力为3MPa.G，设计压力为0.4MPa；天然气经管道输送至下游企业后再经减压使用。</w:t>
            </w:r>
          </w:p>
          <w:p>
            <w:pPr>
              <w:ind w:firstLine="480"/>
              <w:rPr>
                <w:rFonts w:hint="eastAsia"/>
              </w:rPr>
            </w:pPr>
            <w:r>
              <w:rPr>
                <w:rFonts w:hint="eastAsia"/>
              </w:rPr>
              <w:t>规划：红桥石油服务区属于历史比较长的园区，该园区现状已经全部铺设好燃气管道，该园区现状燃气来自中石化西北天然气销售中心拉依苏门站，该管线采用中压燃气管线，现状燃气管道管径为DN200，现状管道材料采用GB15558.1标准，现状材料选用聚乙烯。</w:t>
            </w:r>
          </w:p>
          <w:p>
            <w:pPr>
              <w:numPr>
                <w:ilvl w:val="0"/>
                <w:numId w:val="0"/>
              </w:numPr>
              <w:bidi w:val="0"/>
              <w:ind w:leftChars="0" w:firstLine="480" w:firstLineChars="200"/>
              <w:rPr>
                <w:rFonts w:hint="default"/>
                <w:lang w:val="en-US" w:eastAsia="zh-CN"/>
              </w:rPr>
            </w:pPr>
            <w:r>
              <w:rPr>
                <w:rFonts w:hint="eastAsia"/>
              </w:rPr>
              <w:t>规划红桥石油服务区不建设集中工业生产热源，</w:t>
            </w:r>
            <w:r>
              <w:rPr>
                <w:rFonts w:hint="eastAsia"/>
                <w:lang w:val="en-US" w:eastAsia="zh-CN"/>
              </w:rPr>
              <w:t>本项目建设1台4.2MW燃气常压热水锅炉，用于</w:t>
            </w:r>
            <w:r>
              <w:rPr>
                <w:rFonts w:hint="eastAsia" w:cs="Times New Roman"/>
                <w:color w:val="000000" w:themeColor="text1"/>
                <w:szCs w:val="24"/>
                <w:lang w:eastAsia="zh-CN"/>
                <w14:textFill>
                  <w14:solidFill>
                    <w14:schemeClr w14:val="tx1"/>
                  </w14:solidFill>
                </w14:textFill>
              </w:rPr>
              <w:t>巴州鸿源石油装备器材有限公司</w:t>
            </w:r>
            <w:r>
              <w:rPr>
                <w:rFonts w:hint="eastAsia"/>
                <w:lang w:val="en-US" w:eastAsia="zh-CN"/>
              </w:rPr>
              <w:t>办公生活区冬季供暖，</w:t>
            </w:r>
            <w:r>
              <w:rPr>
                <w:rFonts w:hint="eastAsia"/>
              </w:rPr>
              <w:t>燃气由园区燃气管道供给，符合规划中热源规划及燃气工程规划要求。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23" w:hRule="atLeast"/>
          <w:jc w:val="center"/>
        </w:trPr>
        <w:tc>
          <w:tcPr>
            <w:tcW w:w="952" w:type="pct"/>
            <w:vAlign w:val="center"/>
          </w:tcPr>
          <w:p>
            <w:pPr>
              <w:autoSpaceDE w:val="0"/>
              <w:autoSpaceDN w:val="0"/>
              <w:adjustRightInd w:val="0"/>
              <w:snapToGrid w:val="0"/>
              <w:spacing w:line="240" w:lineRule="auto"/>
              <w:ind w:firstLine="0" w:firstLineChars="0"/>
              <w:jc w:val="center"/>
              <w:textAlignment w:val="auto"/>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其他符合性分析</w:t>
            </w:r>
          </w:p>
        </w:tc>
        <w:tc>
          <w:tcPr>
            <w:tcW w:w="4047" w:type="pct"/>
            <w:gridSpan w:val="3"/>
            <w:vAlign w:val="center"/>
          </w:tcPr>
          <w:p>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w:t>
            </w: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产业政策符合性分析</w:t>
            </w:r>
          </w:p>
          <w:p>
            <w:pPr>
              <w:ind w:firstLine="480"/>
            </w:pPr>
            <w:r>
              <w:rPr>
                <w:rFonts w:hint="eastAsia" w:ascii="宋体" w:hAnsi="宋体" w:cs="宋体"/>
                <w:color w:val="000000"/>
                <w:kern w:val="0"/>
                <w:lang w:bidi="ar"/>
              </w:rPr>
              <w:t>根据《国民经济行业分类》（</w:t>
            </w:r>
            <w:r>
              <w:rPr>
                <w:color w:val="000000"/>
                <w:kern w:val="0"/>
                <w:lang w:bidi="ar"/>
              </w:rPr>
              <w:t>GB/T4754-2017</w:t>
            </w:r>
            <w:r>
              <w:rPr>
                <w:rFonts w:hint="eastAsia" w:ascii="宋体" w:hAnsi="宋体" w:cs="宋体"/>
                <w:color w:val="000000"/>
                <w:kern w:val="0"/>
                <w:lang w:bidi="ar"/>
              </w:rPr>
              <w:t>）</w:t>
            </w:r>
            <w:r>
              <w:rPr>
                <w:rFonts w:hint="eastAsia" w:ascii="宋体" w:hAnsi="宋体" w:cs="宋体"/>
                <w:color w:val="000000"/>
                <w:kern w:val="0"/>
                <w:lang w:eastAsia="zh-CN" w:bidi="ar"/>
              </w:rPr>
              <w:t>，</w:t>
            </w:r>
            <w:r>
              <w:rPr>
                <w:rFonts w:hint="eastAsia"/>
                <w:color w:val="000000" w:themeColor="text1"/>
                <w:lang w:val="en-US" w:eastAsia="zh-CN"/>
                <w14:textFill>
                  <w14:solidFill>
                    <w14:schemeClr w14:val="tx1"/>
                  </w14:solidFill>
                </w14:textFill>
              </w:rPr>
              <w:t>本项目行业类别为“</w:t>
            </w:r>
            <w:r>
              <w:rPr>
                <w:color w:val="000000"/>
                <w:kern w:val="0"/>
                <w:lang w:bidi="ar"/>
              </w:rPr>
              <w:t>D4430</w:t>
            </w:r>
            <w:r>
              <w:rPr>
                <w:rFonts w:hint="eastAsia" w:ascii="宋体" w:hAnsi="宋体" w:cs="宋体"/>
                <w:color w:val="000000"/>
                <w:kern w:val="0"/>
                <w:lang w:bidi="ar"/>
              </w:rPr>
              <w:t>热力生产和供应</w:t>
            </w:r>
            <w:r>
              <w:rPr>
                <w:rFonts w:hint="eastAsia" w:ascii="宋体" w:hAnsi="宋体" w:cs="宋体"/>
                <w:color w:val="000000"/>
                <w:kern w:val="0"/>
                <w:lang w:val="en-US" w:eastAsia="zh-CN" w:bidi="ar"/>
              </w:rPr>
              <w:t>业</w:t>
            </w:r>
            <w:r>
              <w:rPr>
                <w:rFonts w:hint="eastAsia"/>
                <w:color w:val="000000" w:themeColor="text1"/>
                <w:lang w:val="en-US" w:eastAsia="zh-CN"/>
                <w14:textFill>
                  <w14:solidFill>
                    <w14:schemeClr w14:val="tx1"/>
                  </w14:solidFill>
                </w14:textFill>
              </w:rPr>
              <w:t>”，</w:t>
            </w:r>
            <w:r>
              <w:rPr>
                <w:rFonts w:hint="eastAsia" w:ascii="宋体" w:hAnsi="宋体" w:cs="宋体"/>
                <w:color w:val="000000"/>
                <w:kern w:val="0"/>
                <w:lang w:bidi="ar"/>
              </w:rPr>
              <w:t>所采用的工艺与设备不属</w:t>
            </w:r>
            <w:r>
              <w:rPr>
                <w:rFonts w:hint="eastAsia" w:ascii="宋体" w:hAnsi="宋体" w:cs="宋体"/>
                <w:color w:val="000000"/>
                <w:kern w:val="0"/>
                <w:lang w:val="en-US" w:eastAsia="zh-CN" w:bidi="ar"/>
              </w:rPr>
              <w:t>于</w:t>
            </w:r>
            <w:r>
              <w:rPr>
                <w:rFonts w:hint="eastAsia"/>
                <w:color w:val="000000" w:themeColor="text1"/>
                <w:lang w:val="en-US" w:eastAsia="zh-CN"/>
                <w14:textFill>
                  <w14:solidFill>
                    <w14:schemeClr w14:val="tx1"/>
                  </w14:solidFill>
                </w14:textFill>
              </w:rPr>
              <w:t>《产业结构调整指导目录（2024年本）》的鼓励类、限制类和淘汰类。鼓励类、限制类和淘汰类之外的，且符合国家有关法律、法规和政策规定的属于允许类。</w:t>
            </w:r>
            <w:r>
              <w:rPr>
                <w:rFonts w:hint="eastAsia"/>
              </w:rPr>
              <w:t>因此，本项目建设符合国家产业政策。</w:t>
            </w:r>
          </w:p>
          <w:p>
            <w:pPr>
              <w:pStyle w:val="5"/>
              <w:rPr>
                <w:color w:val="000000" w:themeColor="text1"/>
                <w14:textFill>
                  <w14:solidFill>
                    <w14:schemeClr w14:val="tx1"/>
                  </w14:solidFill>
                </w14:textFill>
              </w:rPr>
            </w:pPr>
            <w:bookmarkStart w:id="2" w:name="_Hlk97287319"/>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选址合理性分析</w:t>
            </w:r>
          </w:p>
          <w:p>
            <w:pPr>
              <w:ind w:firstLine="480"/>
            </w:pPr>
            <w:r>
              <w:rPr>
                <w:rFonts w:hint="eastAsia" w:hAnsi="宋体"/>
                <w:color w:val="000000"/>
                <w:szCs w:val="25"/>
              </w:rPr>
              <w:t>本项目位于</w:t>
            </w:r>
            <w:r>
              <w:rPr>
                <w:rFonts w:hint="eastAsia" w:eastAsia="宋体"/>
                <w:color w:val="auto"/>
                <w:lang w:eastAsia="zh-CN"/>
              </w:rPr>
              <w:t>轮台县红桥石油服务区</w:t>
            </w:r>
            <w:r>
              <w:rPr>
                <w:rFonts w:hint="eastAsia"/>
                <w:color w:val="auto"/>
                <w:lang w:val="en-US" w:eastAsia="zh-CN"/>
              </w:rPr>
              <w:t>沙漠公路与鸿源路交叉口西南侧</w:t>
            </w:r>
            <w:r>
              <w:rPr>
                <w:rFonts w:hint="eastAsia" w:cs="Times New Roman"/>
                <w:color w:val="000000" w:themeColor="text1"/>
                <w:szCs w:val="24"/>
                <w:lang w:eastAsia="zh-CN"/>
                <w14:textFill>
                  <w14:solidFill>
                    <w14:schemeClr w14:val="tx1"/>
                  </w14:solidFill>
                </w14:textFill>
              </w:rPr>
              <w:t>巴州鸿源石油装备器材有限公司</w:t>
            </w:r>
            <w:r>
              <w:rPr>
                <w:rFonts w:hint="eastAsia" w:cs="Times New Roman"/>
                <w:color w:val="000000" w:themeColor="text1"/>
                <w:szCs w:val="24"/>
                <w:lang w:val="en-US" w:eastAsia="zh-CN"/>
                <w14:textFill>
                  <w14:solidFill>
                    <w14:schemeClr w14:val="tx1"/>
                  </w14:solidFill>
                </w14:textFill>
              </w:rPr>
              <w:t>院内，</w:t>
            </w:r>
            <w:r>
              <w:rPr>
                <w:rFonts w:hint="eastAsia" w:ascii="Times New Roman" w:hAnsi="Times New Roman" w:cs="Times New Roman"/>
                <w:color w:val="000000"/>
                <w:kern w:val="0"/>
                <w:lang w:val="en-US" w:eastAsia="zh-CN" w:bidi="ar"/>
              </w:rPr>
              <w:t>主要用于</w:t>
            </w:r>
            <w:r>
              <w:rPr>
                <w:rFonts w:hint="eastAsia" w:cs="Times New Roman"/>
                <w:color w:val="000000" w:themeColor="text1"/>
                <w:szCs w:val="24"/>
                <w:lang w:eastAsia="zh-CN"/>
                <w14:textFill>
                  <w14:solidFill>
                    <w14:schemeClr w14:val="tx1"/>
                  </w14:solidFill>
                </w14:textFill>
              </w:rPr>
              <w:t>巴州鸿源石油装备器材有限公司</w:t>
            </w:r>
            <w:r>
              <w:rPr>
                <w:rFonts w:hint="eastAsia" w:cs="Times New Roman"/>
                <w:color w:val="000000" w:themeColor="text1"/>
                <w:szCs w:val="24"/>
                <w:lang w:val="en-US" w:eastAsia="zh-CN"/>
                <w14:textFill>
                  <w14:solidFill>
                    <w14:schemeClr w14:val="tx1"/>
                  </w14:solidFill>
                </w14:textFill>
              </w:rPr>
              <w:t>冬季供暖，依托原有锅炉房建设，不新增占地，</w:t>
            </w:r>
            <w:r>
              <w:rPr>
                <w:rFonts w:hint="eastAsia"/>
                <w:color w:val="auto"/>
                <w:lang w:val="en-US" w:eastAsia="zh-CN"/>
              </w:rPr>
              <w:t>项目区周边500m范围内</w:t>
            </w:r>
            <w:r>
              <w:rPr>
                <w:rFonts w:hint="eastAsia"/>
                <w:color w:val="auto"/>
              </w:rPr>
              <w:t>无饮用水源地、自然保护区、文物景观等环境敏感目标</w:t>
            </w:r>
            <w:r>
              <w:rPr>
                <w:rFonts w:hint="eastAsia"/>
                <w:color w:val="auto"/>
                <w:lang w:eastAsia="zh-CN"/>
              </w:rPr>
              <w:t>，</w:t>
            </w:r>
            <w:r>
              <w:rPr>
                <w:rFonts w:hint="eastAsia"/>
                <w:color w:val="auto"/>
              </w:rPr>
              <w:t>项目选址合理可行</w:t>
            </w:r>
            <w:r>
              <w:t>。</w:t>
            </w:r>
          </w:p>
          <w:p>
            <w:pPr>
              <w:pStyle w:val="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w:t>
            </w:r>
            <w:r>
              <w:rPr>
                <w:rFonts w:hint="eastAsia"/>
              </w:rPr>
              <w:t>生态环境分区管控</w:t>
            </w:r>
            <w:r>
              <w:rPr>
                <w:rFonts w:hint="eastAsia"/>
                <w:color w:val="000000" w:themeColor="text1"/>
                <w14:textFill>
                  <w14:solidFill>
                    <w14:schemeClr w14:val="tx1"/>
                  </w14:solidFill>
                </w14:textFill>
              </w:rPr>
              <w:t>相</w:t>
            </w:r>
            <w:r>
              <w:rPr>
                <w:color w:val="000000" w:themeColor="text1"/>
                <w14:textFill>
                  <w14:solidFill>
                    <w14:schemeClr w14:val="tx1"/>
                  </w14:solidFill>
                </w14:textFill>
              </w:rPr>
              <w:t>符性</w:t>
            </w:r>
            <w:r>
              <w:rPr>
                <w:rFonts w:hint="eastAsia"/>
                <w:color w:val="000000" w:themeColor="text1"/>
                <w14:textFill>
                  <w14:solidFill>
                    <w14:schemeClr w14:val="tx1"/>
                  </w14:solidFill>
                </w14:textFill>
              </w:rPr>
              <w:t>分析</w:t>
            </w:r>
          </w:p>
          <w:p>
            <w:pPr>
              <w:ind w:firstLine="480"/>
              <w:rPr>
                <w:rFonts w:cs="Times New Roman"/>
                <w:color w:val="000000" w:themeColor="text1"/>
                <w:szCs w:val="24"/>
                <w14:textFill>
                  <w14:solidFill>
                    <w14:schemeClr w14:val="tx1"/>
                  </w14:solidFill>
                </w14:textFill>
              </w:rPr>
            </w:pPr>
            <w:r>
              <w:rPr>
                <w:spacing w:val="-4"/>
                <w:sz w:val="24"/>
                <w:szCs w:val="24"/>
                <w:lang w:eastAsia="zh-CN"/>
              </w:rPr>
              <w:t>根据</w:t>
            </w:r>
            <w:r>
              <w:rPr>
                <w:spacing w:val="-3"/>
                <w:sz w:val="24"/>
                <w:szCs w:val="24"/>
                <w:lang w:eastAsia="zh-CN"/>
              </w:rPr>
              <w:t>《关于印发〈新疆维吾尔自治区生态环境分区管控动态更新成果〉的通知》（新环环评发〔</w:t>
            </w:r>
            <w:r>
              <w:rPr>
                <w:rFonts w:ascii="Times New Roman" w:hAnsi="Times New Roman" w:eastAsia="Times New Roman" w:cs="Times New Roman"/>
                <w:spacing w:val="-3"/>
                <w:sz w:val="24"/>
                <w:szCs w:val="24"/>
                <w:lang w:eastAsia="zh-CN"/>
              </w:rPr>
              <w:t>2024</w:t>
            </w:r>
            <w:r>
              <w:rPr>
                <w:spacing w:val="-3"/>
                <w:sz w:val="24"/>
                <w:szCs w:val="24"/>
                <w:lang w:eastAsia="zh-CN"/>
              </w:rPr>
              <w:t>〕</w:t>
            </w:r>
            <w:r>
              <w:rPr>
                <w:rFonts w:ascii="Times New Roman" w:hAnsi="Times New Roman" w:eastAsia="Times New Roman" w:cs="Times New Roman"/>
                <w:spacing w:val="-3"/>
                <w:sz w:val="24"/>
                <w:szCs w:val="24"/>
                <w:lang w:eastAsia="zh-CN"/>
              </w:rPr>
              <w:t>157</w:t>
            </w:r>
            <w:r>
              <w:rPr>
                <w:spacing w:val="-3"/>
                <w:sz w:val="24"/>
                <w:szCs w:val="24"/>
                <w:lang w:eastAsia="zh-CN"/>
              </w:rPr>
              <w:t>号）。</w:t>
            </w:r>
            <w:r>
              <w:rPr>
                <w:rFonts w:hint="eastAsia"/>
                <w:spacing w:val="-3"/>
                <w:sz w:val="24"/>
                <w:szCs w:val="24"/>
                <w:lang w:val="en-US" w:eastAsia="zh-CN"/>
              </w:rPr>
              <w:t>本</w:t>
            </w:r>
            <w:r>
              <w:rPr>
                <w:spacing w:val="-3"/>
                <w:sz w:val="24"/>
                <w:szCs w:val="24"/>
                <w:lang w:eastAsia="zh-CN"/>
              </w:rPr>
              <w:t>项目与自治区符合性分</w:t>
            </w:r>
            <w:r>
              <w:rPr>
                <w:spacing w:val="-4"/>
                <w:sz w:val="24"/>
                <w:szCs w:val="24"/>
                <w:lang w:eastAsia="zh-CN"/>
              </w:rPr>
              <w:t>析见下表。</w:t>
            </w:r>
          </w:p>
          <w:p>
            <w:pPr>
              <w:pStyle w:val="34"/>
              <w:bidi w:val="0"/>
            </w:pPr>
            <w:r>
              <w:rPr>
                <w:rFonts w:hint="eastAsia"/>
              </w:rPr>
              <w:t>表</w:t>
            </w:r>
            <w:r>
              <w:t>1-</w:t>
            </w:r>
            <w:r>
              <w:rPr>
                <w:rFonts w:hint="eastAsia"/>
                <w:lang w:val="en-US" w:eastAsia="zh-CN"/>
              </w:rPr>
              <w:t>1</w:t>
            </w:r>
            <w:r>
              <w:t xml:space="preserve">  </w:t>
            </w:r>
            <w:r>
              <w:rPr>
                <w:rFonts w:hint="eastAsia"/>
              </w:rPr>
              <w:t>本项目与生态环境分区管控符合性分析一览表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58"/>
              <w:gridCol w:w="300"/>
              <w:gridCol w:w="482"/>
              <w:gridCol w:w="3372"/>
              <w:gridCol w:w="1906"/>
              <w:gridCol w:w="6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1"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名称</w:t>
                  </w:r>
                </w:p>
              </w:tc>
              <w:tc>
                <w:tcPr>
                  <w:tcW w:w="2917" w:type="pct"/>
                  <w:gridSpan w:val="3"/>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文件要求</w:t>
                  </w:r>
                </w:p>
              </w:tc>
              <w:tc>
                <w:tcPr>
                  <w:tcW w:w="1338"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本项目</w:t>
                  </w:r>
                </w:p>
              </w:tc>
              <w:tc>
                <w:tcPr>
                  <w:tcW w:w="421"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1" w:type="pct"/>
                  <w:vMerge w:val="restar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《新疆维吾尔自治区生态环境分区管控方案》</w:t>
                  </w:r>
                </w:p>
              </w:tc>
              <w:tc>
                <w:tcPr>
                  <w:tcW w:w="549" w:type="pct"/>
                  <w:gridSpan w:val="2"/>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生态保护红线</w:t>
                  </w:r>
                </w:p>
              </w:tc>
              <w:tc>
                <w:tcPr>
                  <w:tcW w:w="2368"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按照</w:t>
                  </w:r>
                  <w:r>
                    <w:rPr>
                      <w:rFonts w:hint="eastAsia" w:cs="Times New Roman"/>
                      <w:sz w:val="21"/>
                      <w:szCs w:val="21"/>
                      <w:lang w:eastAsia="zh-CN"/>
                    </w:rPr>
                    <w:t>“</w:t>
                  </w:r>
                  <w:r>
                    <w:rPr>
                      <w:rFonts w:hint="eastAsia" w:cs="Times New Roman"/>
                      <w:sz w:val="21"/>
                      <w:szCs w:val="21"/>
                    </w:rPr>
                    <w:t>生态功能不降低、面积不减少、性质不改变</w:t>
                  </w:r>
                  <w:r>
                    <w:rPr>
                      <w:rFonts w:hint="eastAsia" w:cs="Times New Roman"/>
                      <w:sz w:val="21"/>
                      <w:szCs w:val="21"/>
                      <w:lang w:eastAsia="zh-CN"/>
                    </w:rPr>
                    <w:t>”</w:t>
                  </w:r>
                  <w:r>
                    <w:rPr>
                      <w:rFonts w:hint="eastAsia" w:cs="Times New Roman"/>
                      <w:sz w:val="21"/>
                      <w:szCs w:val="21"/>
                    </w:rPr>
                    <w:t>的基本要求，对划定的生态保护红线实施严格管控，保障和维护国家生态安全的底线和生命线</w:t>
                  </w:r>
                </w:p>
              </w:tc>
              <w:tc>
                <w:tcPr>
                  <w:tcW w:w="1338"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本项目不在生态保护红线范围内。</w:t>
                  </w:r>
                </w:p>
              </w:tc>
              <w:tc>
                <w:tcPr>
                  <w:tcW w:w="421"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21" w:type="pct"/>
                  <w:vMerge w:val="continue"/>
                  <w:vAlign w:val="center"/>
                </w:tcPr>
                <w:p>
                  <w:pPr>
                    <w:spacing w:line="240" w:lineRule="auto"/>
                    <w:ind w:firstLine="0" w:firstLineChars="0"/>
                    <w:contextualSpacing/>
                    <w:jc w:val="center"/>
                    <w:rPr>
                      <w:rFonts w:cs="Times New Roman"/>
                      <w:sz w:val="21"/>
                      <w:szCs w:val="21"/>
                    </w:rPr>
                  </w:pPr>
                </w:p>
              </w:tc>
              <w:tc>
                <w:tcPr>
                  <w:tcW w:w="549" w:type="pct"/>
                  <w:gridSpan w:val="2"/>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环境质量底线</w:t>
                  </w:r>
                </w:p>
              </w:tc>
              <w:tc>
                <w:tcPr>
                  <w:tcW w:w="2368"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全区水环境质量持续改善，受污染地表水体得到优先治理，饮用水安全保障水平持续提升，</w:t>
                  </w:r>
                  <w:r>
                    <w:rPr>
                      <w:rFonts w:hint="eastAsia" w:cs="Times New Roman"/>
                      <w:sz w:val="21"/>
                      <w:szCs w:val="21"/>
                      <w:lang w:eastAsia="zh-CN"/>
                    </w:rPr>
                    <w:t>地下水</w:t>
                  </w:r>
                  <w:r>
                    <w:rPr>
                      <w:rFonts w:hint="eastAsia" w:cs="Times New Roman"/>
                      <w:sz w:val="21"/>
                      <w:szCs w:val="21"/>
                    </w:rPr>
                    <w:t>超采得到严格控制，</w:t>
                  </w:r>
                  <w:r>
                    <w:rPr>
                      <w:rFonts w:hint="eastAsia" w:cs="Times New Roman"/>
                      <w:sz w:val="21"/>
                      <w:szCs w:val="21"/>
                      <w:lang w:eastAsia="zh-CN"/>
                    </w:rPr>
                    <w:t>地下水</w:t>
                  </w:r>
                  <w:r>
                    <w:rPr>
                      <w:rFonts w:hint="eastAsia" w:cs="Times New Roman"/>
                      <w:sz w:val="21"/>
                      <w:szCs w:val="21"/>
                    </w:rPr>
                    <w:t>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1338" w:type="pct"/>
                  <w:vAlign w:val="center"/>
                </w:tcPr>
                <w:p>
                  <w:pPr>
                    <w:spacing w:line="240" w:lineRule="auto"/>
                    <w:ind w:firstLine="0" w:firstLineChars="0"/>
                    <w:contextualSpacing/>
                    <w:jc w:val="center"/>
                    <w:rPr>
                      <w:rFonts w:cs="Times New Roman"/>
                      <w:sz w:val="21"/>
                      <w:szCs w:val="21"/>
                    </w:rPr>
                  </w:pPr>
                  <w:r>
                    <w:rPr>
                      <w:rFonts w:hint="eastAsia" w:ascii="Times New Roman" w:hAnsi="Times New Roman" w:eastAsia="宋体" w:cs="Times New Roman"/>
                      <w:sz w:val="21"/>
                      <w:szCs w:val="21"/>
                      <w:lang w:val="en-US" w:eastAsia="zh-CN"/>
                    </w:rPr>
                    <w:t>本项目废气、废水、固废均采用有效的环保措施，可稳定达标排放，</w:t>
                  </w:r>
                  <w:r>
                    <w:rPr>
                      <w:rFonts w:hint="eastAsia" w:ascii="Times New Roman" w:hAnsi="Times New Roman" w:eastAsia="宋体" w:cs="Times New Roman"/>
                      <w:sz w:val="21"/>
                      <w:szCs w:val="21"/>
                    </w:rPr>
                    <w:t>不会对区域大气环境、水环境、土壤环境产生影响。</w:t>
                  </w:r>
                </w:p>
              </w:tc>
              <w:tc>
                <w:tcPr>
                  <w:tcW w:w="421"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1" w:type="pct"/>
                  <w:vMerge w:val="continue"/>
                  <w:vAlign w:val="center"/>
                </w:tcPr>
                <w:p>
                  <w:pPr>
                    <w:spacing w:line="240" w:lineRule="auto"/>
                    <w:ind w:firstLine="0" w:firstLineChars="0"/>
                    <w:contextualSpacing/>
                    <w:jc w:val="center"/>
                    <w:rPr>
                      <w:rFonts w:cs="Times New Roman"/>
                      <w:sz w:val="21"/>
                      <w:szCs w:val="21"/>
                    </w:rPr>
                  </w:pPr>
                </w:p>
              </w:tc>
              <w:tc>
                <w:tcPr>
                  <w:tcW w:w="549" w:type="pct"/>
                  <w:gridSpan w:val="2"/>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资源利用上线</w:t>
                  </w:r>
                </w:p>
              </w:tc>
              <w:tc>
                <w:tcPr>
                  <w:tcW w:w="2368"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强化节约集约利用，持续提升资源能源利用效率，水资源、土地资源、能源消耗等达到国家、自治区下达的总量和强度控制目标</w:t>
                  </w:r>
                </w:p>
              </w:tc>
              <w:tc>
                <w:tcPr>
                  <w:tcW w:w="1338"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本项目主要利用资源为</w:t>
                  </w:r>
                  <w:r>
                    <w:rPr>
                      <w:rFonts w:hint="eastAsia" w:cs="Times New Roman"/>
                      <w:sz w:val="21"/>
                      <w:szCs w:val="21"/>
                      <w:lang w:val="en-US" w:eastAsia="zh-CN"/>
                    </w:rPr>
                    <w:t>锅炉</w:t>
                  </w:r>
                  <w:r>
                    <w:rPr>
                      <w:rFonts w:hint="eastAsia" w:cs="Times New Roman"/>
                      <w:sz w:val="21"/>
                      <w:szCs w:val="21"/>
                    </w:rPr>
                    <w:t>用水及用电，用水量及耗电量较小，</w:t>
                  </w:r>
                  <w:r>
                    <w:rPr>
                      <w:rFonts w:hint="eastAsia" w:cs="Times New Roman"/>
                      <w:sz w:val="21"/>
                      <w:szCs w:val="21"/>
                      <w:lang w:val="en-US" w:eastAsia="zh-CN"/>
                    </w:rPr>
                    <w:t>在原有锅炉房内建设，不新增占地</w:t>
                  </w:r>
                  <w:r>
                    <w:rPr>
                      <w:rFonts w:hint="eastAsia" w:cs="Times New Roman"/>
                      <w:sz w:val="21"/>
                      <w:szCs w:val="21"/>
                    </w:rPr>
                    <w:t>，对区域水资源、土地资源、能源消耗较小，不会超过资源利用上线。</w:t>
                  </w:r>
                </w:p>
              </w:tc>
              <w:tc>
                <w:tcPr>
                  <w:tcW w:w="421"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21" w:type="pct"/>
                  <w:vMerge w:val="continue"/>
                  <w:vAlign w:val="center"/>
                </w:tcPr>
                <w:p>
                  <w:pPr>
                    <w:spacing w:line="240" w:lineRule="auto"/>
                    <w:ind w:firstLine="0" w:firstLineChars="0"/>
                    <w:contextualSpacing/>
                    <w:jc w:val="center"/>
                    <w:rPr>
                      <w:rFonts w:cs="Times New Roman"/>
                      <w:sz w:val="21"/>
                      <w:szCs w:val="21"/>
                    </w:rPr>
                  </w:pPr>
                </w:p>
              </w:tc>
              <w:tc>
                <w:tcPr>
                  <w:tcW w:w="210"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环境管控单元</w:t>
                  </w:r>
                </w:p>
              </w:tc>
              <w:tc>
                <w:tcPr>
                  <w:tcW w:w="338" w:type="pct"/>
                  <w:vAlign w:val="center"/>
                </w:tcPr>
                <w:p>
                  <w:pPr>
                    <w:spacing w:line="240" w:lineRule="auto"/>
                    <w:ind w:firstLine="0" w:firstLineChars="0"/>
                    <w:contextualSpacing/>
                    <w:jc w:val="center"/>
                    <w:rPr>
                      <w:rFonts w:cs="Times New Roman"/>
                      <w:sz w:val="21"/>
                      <w:szCs w:val="21"/>
                    </w:rPr>
                  </w:pPr>
                  <w:r>
                    <w:rPr>
                      <w:rFonts w:cs="Times New Roman"/>
                      <w:sz w:val="21"/>
                      <w:szCs w:val="21"/>
                    </w:rPr>
                    <w:t>本项目属于重点管控单元</w:t>
                  </w:r>
                </w:p>
              </w:tc>
              <w:tc>
                <w:tcPr>
                  <w:tcW w:w="2368"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自治区划定环境管控单元，分为优先保护单元、重点管控单元和一般管控单元三类，实施分类管控。重点管控单元主要针对环境质量是否达标以及经济社会发展水平等因素，制定差别化的生态环境准入要求，对环境质量不达标区域，提出污染物削减比例要求，对环境质量达标区域，提出允许排放量建议指标</w:t>
                  </w:r>
                </w:p>
              </w:tc>
              <w:tc>
                <w:tcPr>
                  <w:tcW w:w="1338" w:type="pct"/>
                  <w:vAlign w:val="center"/>
                </w:tcPr>
                <w:p>
                  <w:pPr>
                    <w:spacing w:line="240" w:lineRule="auto"/>
                    <w:ind w:firstLine="0" w:firstLineChars="0"/>
                    <w:contextualSpacing/>
                    <w:jc w:val="center"/>
                    <w:rPr>
                      <w:rFonts w:cs="Times New Roman"/>
                      <w:sz w:val="21"/>
                      <w:szCs w:val="21"/>
                    </w:rPr>
                  </w:pPr>
                  <w:r>
                    <w:rPr>
                      <w:rFonts w:hint="eastAsia" w:ascii="Times New Roman" w:hAnsi="Times New Roman" w:eastAsia="宋体" w:cs="Times New Roman"/>
                      <w:sz w:val="21"/>
                      <w:szCs w:val="21"/>
                      <w:lang w:val="en-US" w:eastAsia="zh-CN"/>
                    </w:rPr>
                    <w:t>本项目废气、废水、固废均采用有效的环保措施，可稳定达标排放</w:t>
                  </w:r>
                  <w:r>
                    <w:rPr>
                      <w:rFonts w:hint="eastAsia" w:cs="Times New Roman"/>
                      <w:sz w:val="21"/>
                      <w:szCs w:val="21"/>
                    </w:rPr>
                    <w:t>，不会对厂区周围大气环境、地表水环境、声环境、</w:t>
                  </w:r>
                  <w:r>
                    <w:rPr>
                      <w:rFonts w:hint="eastAsia" w:cs="Times New Roman"/>
                      <w:sz w:val="21"/>
                      <w:szCs w:val="21"/>
                      <w:lang w:eastAsia="zh-CN"/>
                    </w:rPr>
                    <w:t>地下水</w:t>
                  </w:r>
                  <w:r>
                    <w:rPr>
                      <w:rFonts w:hint="eastAsia" w:cs="Times New Roman"/>
                      <w:sz w:val="21"/>
                      <w:szCs w:val="21"/>
                    </w:rPr>
                    <w:t>、土壤环境产生明显影响。</w:t>
                  </w:r>
                </w:p>
              </w:tc>
              <w:tc>
                <w:tcPr>
                  <w:tcW w:w="421" w:type="pct"/>
                  <w:vAlign w:val="center"/>
                </w:tcPr>
                <w:p>
                  <w:pPr>
                    <w:spacing w:line="240" w:lineRule="auto"/>
                    <w:ind w:firstLine="0" w:firstLineChars="0"/>
                    <w:contextualSpacing/>
                    <w:jc w:val="center"/>
                    <w:rPr>
                      <w:rFonts w:cs="Times New Roman"/>
                      <w:sz w:val="21"/>
                      <w:szCs w:val="21"/>
                    </w:rPr>
                  </w:pPr>
                  <w:r>
                    <w:rPr>
                      <w:rFonts w:hint="eastAsia" w:cs="Times New Roman"/>
                      <w:sz w:val="21"/>
                      <w:szCs w:val="21"/>
                    </w:rPr>
                    <w:t>符合</w:t>
                  </w:r>
                </w:p>
              </w:tc>
            </w:tr>
          </w:tbl>
          <w:p>
            <w:pPr>
              <w:pStyle w:val="34"/>
              <w:bidi w:val="0"/>
            </w:pPr>
            <w:r>
              <w:rPr>
                <w:rFonts w:hint="eastAsia"/>
              </w:rPr>
              <w:t>表</w:t>
            </w:r>
            <w:r>
              <w:t>1-</w:t>
            </w:r>
            <w:r>
              <w:rPr>
                <w:rFonts w:hint="eastAsia"/>
                <w:lang w:val="en-US" w:eastAsia="zh-CN"/>
              </w:rPr>
              <w:t>2</w:t>
            </w:r>
            <w:r>
              <w:t xml:space="preserve"> </w:t>
            </w:r>
            <w:r>
              <w:rPr>
                <w:rFonts w:hint="eastAsia"/>
              </w:rPr>
              <w:t xml:space="preserve"> 本项目与自治区重点环境管控单元分类管控要求符合性分析一览表</w:t>
            </w:r>
          </w:p>
          <w:tbl>
            <w:tblPr>
              <w:tblStyle w:val="21"/>
              <w:tblW w:w="71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91"/>
              <w:gridCol w:w="479"/>
              <w:gridCol w:w="3679"/>
              <w:gridCol w:w="2100"/>
              <w:gridCol w:w="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1002" w:hRule="atLeast"/>
                <w:jc w:val="center"/>
              </w:trPr>
              <w:tc>
                <w:tcPr>
                  <w:tcW w:w="271" w:type="pct"/>
                  <w:vMerge w:val="restart"/>
                  <w:tcBorders>
                    <w:top w:val="single" w:color="auto" w:sz="12" w:space="0"/>
                    <w:left w:val="single" w:color="auto" w:sz="12" w:space="0"/>
                    <w:bottom w:val="single" w:color="auto" w:sz="8" w:space="0"/>
                    <w:right w:val="single" w:color="auto" w:sz="4" w:space="0"/>
                  </w:tcBorders>
                  <w:vAlign w:val="center"/>
                </w:tcPr>
                <w:p>
                  <w:pPr>
                    <w:pStyle w:val="33"/>
                    <w:bidi w:val="0"/>
                  </w:pPr>
                  <w:r>
                    <w:rPr>
                      <w:rFonts w:hint="eastAsia"/>
                    </w:rPr>
                    <w:t>重点管控单元</w:t>
                  </w:r>
                </w:p>
              </w:tc>
              <w:tc>
                <w:tcPr>
                  <w:tcW w:w="2889"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pPr>
                    <w:pStyle w:val="33"/>
                    <w:bidi w:val="0"/>
                  </w:pPr>
                  <w:r>
                    <w:t>管控要求</w:t>
                  </w:r>
                </w:p>
              </w:tc>
              <w:tc>
                <w:tcPr>
                  <w:tcW w:w="1459" w:type="pct"/>
                  <w:tcBorders>
                    <w:top w:val="single" w:color="auto" w:sz="12" w:space="0"/>
                    <w:left w:val="single" w:color="auto" w:sz="4" w:space="0"/>
                    <w:bottom w:val="single" w:color="auto" w:sz="4" w:space="0"/>
                    <w:right w:val="single" w:color="auto" w:sz="4" w:space="0"/>
                  </w:tcBorders>
                  <w:vAlign w:val="center"/>
                </w:tcPr>
                <w:p>
                  <w:pPr>
                    <w:pStyle w:val="33"/>
                    <w:bidi w:val="0"/>
                  </w:pPr>
                  <w:r>
                    <w:t>本项目</w:t>
                  </w:r>
                </w:p>
              </w:tc>
              <w:tc>
                <w:tcPr>
                  <w:tcW w:w="380" w:type="pct"/>
                  <w:tcBorders>
                    <w:top w:val="single" w:color="auto" w:sz="12" w:space="0"/>
                    <w:left w:val="single" w:color="auto" w:sz="4" w:space="0"/>
                    <w:bottom w:val="single" w:color="auto" w:sz="4" w:space="0"/>
                    <w:right w:val="single" w:color="auto" w:sz="12" w:space="0"/>
                  </w:tcBorders>
                  <w:vAlign w:val="center"/>
                </w:tcPr>
                <w:p>
                  <w:pPr>
                    <w:pStyle w:val="33"/>
                    <w:bidi w:val="0"/>
                  </w:pPr>
                  <w: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2288" w:hRule="atLeast"/>
                <w:jc w:val="center"/>
              </w:trPr>
              <w:tc>
                <w:tcPr>
                  <w:tcW w:w="271" w:type="pct"/>
                  <w:vMerge w:val="continue"/>
                  <w:tcBorders>
                    <w:top w:val="single" w:color="auto" w:sz="8" w:space="0"/>
                    <w:left w:val="single" w:color="auto" w:sz="12" w:space="0"/>
                    <w:bottom w:val="single" w:color="auto" w:sz="8" w:space="0"/>
                    <w:right w:val="single" w:color="auto" w:sz="4" w:space="0"/>
                  </w:tcBorders>
                  <w:vAlign w:val="center"/>
                </w:tcPr>
                <w:p>
                  <w:pPr>
                    <w:pStyle w:val="33"/>
                    <w:bidi w:val="0"/>
                  </w:pP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pPr>
                  <w:r>
                    <w:rPr>
                      <w:rFonts w:hint="eastAsia"/>
                    </w:rPr>
                    <w:t>空间布局约束</w:t>
                  </w:r>
                </w:p>
              </w:tc>
              <w:tc>
                <w:tcPr>
                  <w:tcW w:w="2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rPr>
                      <w:rFonts w:hint="eastAsia"/>
                      <w:lang w:val="en-US" w:eastAsia="zh-CN"/>
                    </w:rPr>
                  </w:pPr>
                  <w:r>
                    <w:rPr>
                      <w:rFonts w:hint="eastAsia"/>
                      <w:lang w:val="en-US" w:eastAsia="zh-CN"/>
                    </w:rPr>
                    <w:t>1.执行总体管控要求中关于水、大气环境重点管控区的空间布局约束准入要求。</w:t>
                  </w:r>
                </w:p>
                <w:p>
                  <w:pPr>
                    <w:pStyle w:val="33"/>
                    <w:bidi w:val="0"/>
                  </w:pPr>
                  <w:r>
                    <w:rPr>
                      <w:rFonts w:hint="eastAsia"/>
                      <w:lang w:val="en-US" w:eastAsia="zh-CN"/>
                    </w:rPr>
                    <w:t>2.禁止引进能（水）耗不符合相关国家标准中准入值要求，且污染物排放和环境风险防控不符合国家（地方）标准及有关产业准入条件的高污染（排放）、高能（水）耗、高环境风险的工业项目。</w:t>
                  </w:r>
                </w:p>
              </w:tc>
              <w:tc>
                <w:tcPr>
                  <w:tcW w:w="1459" w:type="pct"/>
                  <w:tcBorders>
                    <w:top w:val="single" w:color="auto" w:sz="4" w:space="0"/>
                    <w:left w:val="single" w:color="auto" w:sz="4" w:space="0"/>
                    <w:right w:val="single" w:color="auto" w:sz="4" w:space="0"/>
                  </w:tcBorders>
                  <w:vAlign w:val="center"/>
                </w:tcPr>
                <w:p>
                  <w:pPr>
                    <w:pStyle w:val="33"/>
                    <w:bidi w:val="0"/>
                    <w:rPr>
                      <w:rFonts w:hint="default"/>
                      <w:lang w:val="en-US"/>
                    </w:rPr>
                  </w:pPr>
                  <w:r>
                    <w:rPr>
                      <w:rFonts w:hint="eastAsia" w:ascii="Times New Roman" w:hAnsi="Times New Roman" w:eastAsia="宋体" w:cs="Times New Roman"/>
                      <w:sz w:val="21"/>
                      <w:szCs w:val="21"/>
                      <w:lang w:val="en-US" w:eastAsia="zh-CN"/>
                    </w:rPr>
                    <w:t>本项目产生的废气、废水、固废均采用有效的环保措施，可稳定达标排放，不属于“三高”工业项目。</w:t>
                  </w:r>
                </w:p>
              </w:tc>
              <w:tc>
                <w:tcPr>
                  <w:tcW w:w="380" w:type="pct"/>
                  <w:tcBorders>
                    <w:top w:val="single" w:color="auto" w:sz="4" w:space="0"/>
                    <w:left w:val="single" w:color="auto" w:sz="4" w:space="0"/>
                    <w:right w:val="single" w:color="auto" w:sz="12" w:space="0"/>
                  </w:tcBorders>
                  <w:vAlign w:val="center"/>
                </w:tcPr>
                <w:p>
                  <w:pPr>
                    <w:pStyle w:val="33"/>
                    <w:bidi w:val="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539" w:hRule="atLeast"/>
                <w:jc w:val="center"/>
              </w:trPr>
              <w:tc>
                <w:tcPr>
                  <w:tcW w:w="271" w:type="pct"/>
                  <w:vMerge w:val="continue"/>
                  <w:tcBorders>
                    <w:top w:val="single" w:color="auto" w:sz="8" w:space="0"/>
                    <w:left w:val="single" w:color="auto" w:sz="12" w:space="0"/>
                    <w:bottom w:val="single" w:color="auto" w:sz="8" w:space="0"/>
                    <w:right w:val="single" w:color="auto" w:sz="4" w:space="0"/>
                  </w:tcBorders>
                  <w:vAlign w:val="center"/>
                </w:tcPr>
                <w:p>
                  <w:pPr>
                    <w:pStyle w:val="33"/>
                    <w:bidi w:val="0"/>
                  </w:pP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rPr>
                      <w:rFonts w:hint="default"/>
                      <w:lang w:val="en-US" w:eastAsia="zh-CN"/>
                    </w:rPr>
                  </w:pPr>
                  <w:r>
                    <w:rPr>
                      <w:rFonts w:hint="eastAsia"/>
                      <w:lang w:val="en-US" w:eastAsia="zh-CN"/>
                    </w:rPr>
                    <w:t>污染污排放管控</w:t>
                  </w:r>
                </w:p>
              </w:tc>
              <w:tc>
                <w:tcPr>
                  <w:tcW w:w="2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jc w:val="left"/>
                    <w:rPr>
                      <w:rFonts w:hint="default"/>
                      <w:lang w:val="en-US" w:eastAsia="zh-CN"/>
                    </w:rPr>
                  </w:pPr>
                  <w:r>
                    <w:rPr>
                      <w:rFonts w:hint="default"/>
                      <w:lang w:val="en-US" w:eastAsia="zh-CN"/>
                    </w:rPr>
                    <w:t>1.执行总体管控要求中关于水、大气环境重点管控区的污染物排放管控要求。</w:t>
                  </w:r>
                </w:p>
                <w:p>
                  <w:pPr>
                    <w:pStyle w:val="33"/>
                    <w:bidi w:val="0"/>
                    <w:jc w:val="left"/>
                    <w:rPr>
                      <w:rFonts w:hint="default"/>
                      <w:lang w:val="en-US" w:eastAsia="zh-CN"/>
                    </w:rPr>
                  </w:pPr>
                  <w:r>
                    <w:rPr>
                      <w:rFonts w:hint="default"/>
                      <w:lang w:val="en-US" w:eastAsia="zh-CN"/>
                    </w:rPr>
                    <w:t>2.大气排放污染物的企业事业单位和其他生产经营者应当履行大气污染防治的法定义务，执行大气污染物排放标准，遵守大气污染物排放总量控制要求。</w:t>
                  </w:r>
                </w:p>
                <w:p>
                  <w:pPr>
                    <w:pStyle w:val="33"/>
                    <w:bidi w:val="0"/>
                    <w:jc w:val="left"/>
                    <w:rPr>
                      <w:rFonts w:hint="default"/>
                      <w:lang w:val="en-US" w:eastAsia="zh-CN"/>
                    </w:rPr>
                  </w:pPr>
                  <w:r>
                    <w:rPr>
                      <w:rFonts w:hint="default"/>
                      <w:lang w:val="en-US" w:eastAsia="zh-CN"/>
                    </w:rPr>
                    <w:t>3.实施挥发性有机物及恶臭治理。加快石化企业脱硫以及动力车间脱硫、脱硝工作，加强罐区油气治理、装卸储运油气回收以及工艺废气挥发性有机物治理、恶臭治理。积极推进陶瓷、玻璃、砖瓦等建材行业二氧化硫、烟粉尘控制。在石化、有机化工、煤化工等重点行业开展挥发性有机物综合治理，在石化行业开展“泄露检测与修复”技术改造。建立挥发性有机物重点监管企业名录。积极推进加油站、储油库和油罐车开展油气回收，完成所有加油站、储油库和油罐车油气回收治理。</w:t>
                  </w:r>
                </w:p>
                <w:p>
                  <w:pPr>
                    <w:pStyle w:val="33"/>
                    <w:bidi w:val="0"/>
                    <w:jc w:val="left"/>
                  </w:pPr>
                  <w:r>
                    <w:rPr>
                      <w:rFonts w:hint="default"/>
                      <w:lang w:val="en-US" w:eastAsia="zh-CN"/>
                    </w:rPr>
                    <w:t>4.防治地下水污染。石化生产存贮销售企业和工业园区等区域应进行必要的防渗处理。加油站地下油罐全部更新为双层罐或完成防渗池设置。</w:t>
                  </w:r>
                </w:p>
              </w:tc>
              <w:tc>
                <w:tcPr>
                  <w:tcW w:w="1459" w:type="pct"/>
                  <w:tcBorders>
                    <w:top w:val="single" w:color="auto" w:sz="4" w:space="0"/>
                    <w:left w:val="single" w:color="auto" w:sz="4" w:space="0"/>
                    <w:bottom w:val="single" w:color="auto" w:sz="4" w:space="0"/>
                    <w:right w:val="single" w:color="auto" w:sz="4" w:space="0"/>
                  </w:tcBorders>
                  <w:vAlign w:val="center"/>
                </w:tcPr>
                <w:p>
                  <w:pPr>
                    <w:pStyle w:val="33"/>
                    <w:bidi w:val="0"/>
                    <w:rPr>
                      <w:rFonts w:hint="default" w:eastAsia="宋体"/>
                      <w:lang w:val="en-US" w:eastAsia="zh-CN"/>
                    </w:rPr>
                  </w:pPr>
                  <w:r>
                    <w:rPr>
                      <w:rFonts w:hint="eastAsia"/>
                      <w:lang w:val="en-US" w:eastAsia="zh-CN"/>
                    </w:rPr>
                    <w:t>本项目</w:t>
                  </w:r>
                  <w:r>
                    <w:rPr>
                      <w:rFonts w:hint="eastAsia"/>
                    </w:rPr>
                    <w:t>使用清洁能源天然气作为燃料，采用低氮燃烧器，</w:t>
                  </w:r>
                  <w:r>
                    <w:rPr>
                      <w:rFonts w:hint="eastAsia"/>
                      <w:lang w:val="en-US" w:eastAsia="zh-CN"/>
                    </w:rPr>
                    <w:t>锅炉</w:t>
                  </w:r>
                  <w:r>
                    <w:rPr>
                      <w:rFonts w:hint="eastAsia"/>
                    </w:rPr>
                    <w:t>烟气通过</w:t>
                  </w:r>
                  <w:r>
                    <w:rPr>
                      <w:rFonts w:hint="eastAsia"/>
                      <w:lang w:val="en-US" w:eastAsia="zh-CN"/>
                    </w:rPr>
                    <w:t>1根16</w:t>
                  </w:r>
                  <w:r>
                    <w:rPr>
                      <w:rFonts w:hint="eastAsia"/>
                    </w:rPr>
                    <w:t>m高排气筒排放</w:t>
                  </w:r>
                  <w:r>
                    <w:rPr>
                      <w:rFonts w:hint="eastAsia"/>
                      <w:lang w:eastAsia="zh-CN"/>
                    </w:rPr>
                    <w:t>，</w:t>
                  </w:r>
                  <w:r>
                    <w:rPr>
                      <w:rFonts w:hint="eastAsia"/>
                    </w:rPr>
                    <w:t>颗粒物、二氧化硫执行《锅炉大气污染物排放标准》（GB13271-2014）表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限值中燃气锅炉标准；氮氧化物</w:t>
                  </w:r>
                  <w:r>
                    <w:rPr>
                      <w:rFonts w:hint="eastAsia"/>
                      <w:lang w:val="en-US" w:eastAsia="zh-CN"/>
                    </w:rPr>
                    <w:t>满足</w:t>
                  </w: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号）氮氧化物</w:t>
                  </w:r>
                  <w:r>
                    <w:rPr>
                      <w:rFonts w:hint="eastAsia"/>
                      <w:lang w:val="en-US" w:eastAsia="zh-CN"/>
                    </w:rPr>
                    <w:t>≤</w:t>
                  </w:r>
                  <w:r>
                    <w:rPr>
                      <w:rFonts w:hint="eastAsia"/>
                    </w:rPr>
                    <w:t>50mg/m</w:t>
                  </w:r>
                  <w:r>
                    <w:rPr>
                      <w:rFonts w:hint="eastAsia"/>
                      <w:vertAlign w:val="superscript"/>
                    </w:rPr>
                    <w:t>3</w:t>
                  </w:r>
                  <w:r>
                    <w:rPr>
                      <w:rFonts w:hint="eastAsia"/>
                    </w:rPr>
                    <w:t>的要求</w:t>
                  </w:r>
                  <w:r>
                    <w:rPr>
                      <w:rFonts w:hint="eastAsia"/>
                      <w:lang w:eastAsia="zh-CN"/>
                    </w:rPr>
                    <w:t>；</w:t>
                  </w:r>
                  <w:r>
                    <w:rPr>
                      <w:rFonts w:hint="eastAsia"/>
                      <w:lang w:val="en-US" w:eastAsia="zh-CN"/>
                    </w:rPr>
                    <w:t>不产生挥发性有机物和恶臭，锅炉房地面进行一般防渗。</w:t>
                  </w:r>
                </w:p>
              </w:tc>
              <w:tc>
                <w:tcPr>
                  <w:tcW w:w="380" w:type="pct"/>
                  <w:tcBorders>
                    <w:top w:val="single" w:color="auto" w:sz="4" w:space="0"/>
                    <w:left w:val="single" w:color="auto" w:sz="4" w:space="0"/>
                    <w:bottom w:val="single" w:color="auto" w:sz="4" w:space="0"/>
                    <w:right w:val="single" w:color="auto" w:sz="12" w:space="0"/>
                  </w:tcBorders>
                  <w:vAlign w:val="center"/>
                </w:tcPr>
                <w:p>
                  <w:pPr>
                    <w:pStyle w:val="33"/>
                    <w:bidi w:val="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539" w:hRule="atLeast"/>
                <w:jc w:val="center"/>
              </w:trPr>
              <w:tc>
                <w:tcPr>
                  <w:tcW w:w="271" w:type="pct"/>
                  <w:vMerge w:val="continue"/>
                  <w:tcBorders>
                    <w:top w:val="single" w:color="auto" w:sz="8" w:space="0"/>
                    <w:left w:val="single" w:color="auto" w:sz="12" w:space="0"/>
                    <w:bottom w:val="single" w:color="auto" w:sz="8" w:space="0"/>
                    <w:right w:val="single" w:color="auto" w:sz="4" w:space="0"/>
                  </w:tcBorders>
                  <w:vAlign w:val="center"/>
                </w:tcPr>
                <w:p>
                  <w:pPr>
                    <w:pStyle w:val="33"/>
                    <w:bidi w:val="0"/>
                  </w:pP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ind w:firstLine="0" w:firstLineChars="0"/>
                    <w:rPr>
                      <w:rFonts w:hint="eastAsia"/>
                      <w:lang w:val="en-US" w:eastAsia="zh-CN"/>
                    </w:rPr>
                  </w:pPr>
                  <w:r>
                    <w:rPr>
                      <w:rFonts w:hint="eastAsia"/>
                      <w:lang w:val="en-US" w:eastAsia="zh-CN"/>
                    </w:rPr>
                    <w:t>环境风险防控</w:t>
                  </w:r>
                </w:p>
              </w:tc>
              <w:tc>
                <w:tcPr>
                  <w:tcW w:w="2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rPr>
                      <w:rFonts w:hint="default"/>
                      <w:lang w:val="en-US" w:eastAsia="zh-CN"/>
                    </w:rPr>
                  </w:pPr>
                  <w:r>
                    <w:rPr>
                      <w:rFonts w:hint="eastAsia"/>
                      <w:lang w:val="en-US" w:eastAsia="zh-CN"/>
                    </w:rPr>
                    <w:t>1.</w:t>
                  </w:r>
                  <w:r>
                    <w:rPr>
                      <w:rFonts w:hint="default"/>
                      <w:lang w:val="en-US" w:eastAsia="zh-CN"/>
                    </w:rPr>
                    <w:t>执行总体管控要求中关于水、大气环境重点管控区的环境风险防控要求。</w:t>
                  </w:r>
                </w:p>
                <w:p>
                  <w:pPr>
                    <w:pStyle w:val="33"/>
                    <w:bidi w:val="0"/>
                    <w:rPr>
                      <w:rFonts w:hint="default"/>
                      <w:lang w:val="en-US" w:eastAsia="zh-CN"/>
                    </w:rPr>
                  </w:pPr>
                  <w:r>
                    <w:rPr>
                      <w:rFonts w:hint="eastAsia"/>
                      <w:lang w:val="en-US" w:eastAsia="zh-CN"/>
                    </w:rPr>
                    <w:t>2.</w:t>
                  </w:r>
                  <w:r>
                    <w:rPr>
                      <w:rFonts w:hint="default"/>
                      <w:lang w:val="en-US" w:eastAsia="zh-CN"/>
                    </w:rPr>
                    <w:t>定期评估</w:t>
                  </w:r>
                  <w:r>
                    <w:rPr>
                      <w:rFonts w:hint="eastAsia"/>
                      <w:lang w:val="en-US" w:eastAsia="zh-CN"/>
                    </w:rPr>
                    <w:t>地下水</w:t>
                  </w:r>
                  <w:r>
                    <w:rPr>
                      <w:rFonts w:hint="default"/>
                      <w:lang w:val="en-US" w:eastAsia="zh-CN"/>
                    </w:rPr>
                    <w:t>环境安全隐患，检查重点工业企业周边</w:t>
                  </w:r>
                  <w:r>
                    <w:rPr>
                      <w:rFonts w:hint="eastAsia"/>
                      <w:lang w:val="en-US" w:eastAsia="zh-CN"/>
                    </w:rPr>
                    <w:t>地下水</w:t>
                  </w:r>
                  <w:r>
                    <w:rPr>
                      <w:rFonts w:hint="default"/>
                      <w:lang w:val="en-US" w:eastAsia="zh-CN"/>
                    </w:rPr>
                    <w:t>污染状况，并定期公布污染</w:t>
                  </w:r>
                  <w:r>
                    <w:rPr>
                      <w:rFonts w:hint="eastAsia"/>
                      <w:lang w:val="en-US" w:eastAsia="zh-CN"/>
                    </w:rPr>
                    <w:t>地下水</w:t>
                  </w:r>
                  <w:r>
                    <w:rPr>
                      <w:rFonts w:hint="default"/>
                      <w:lang w:val="en-US" w:eastAsia="zh-CN"/>
                    </w:rPr>
                    <w:t>的企业名单。公布环境风险大、严重影响公众健康的</w:t>
                  </w:r>
                  <w:r>
                    <w:rPr>
                      <w:rFonts w:hint="eastAsia"/>
                      <w:lang w:val="en-US" w:eastAsia="zh-CN"/>
                    </w:rPr>
                    <w:t>地下水</w:t>
                  </w:r>
                  <w:r>
                    <w:rPr>
                      <w:rFonts w:hint="default"/>
                      <w:lang w:val="en-US" w:eastAsia="zh-CN"/>
                    </w:rPr>
                    <w:t>污染场地清单，开展修复试点。</w:t>
                  </w:r>
                </w:p>
                <w:p>
                  <w:pPr>
                    <w:pStyle w:val="33"/>
                    <w:bidi w:val="0"/>
                    <w:rPr>
                      <w:rFonts w:hint="default"/>
                      <w:lang w:val="en-US" w:eastAsia="zh-CN"/>
                    </w:rPr>
                  </w:pPr>
                  <w:r>
                    <w:rPr>
                      <w:rFonts w:hint="eastAsia"/>
                      <w:lang w:val="en-US" w:eastAsia="zh-CN"/>
                    </w:rPr>
                    <w:t>3.</w:t>
                  </w:r>
                  <w:r>
                    <w:rPr>
                      <w:rFonts w:hint="default"/>
                      <w:lang w:val="en-US" w:eastAsia="zh-CN"/>
                    </w:rPr>
                    <w:t>重点排污单位应当根据所在地重污染天气应急预案，编制本单位重污染天气应急响应方案。</w:t>
                  </w:r>
                </w:p>
                <w:p>
                  <w:pPr>
                    <w:pStyle w:val="33"/>
                    <w:bidi w:val="0"/>
                    <w:ind w:firstLine="0" w:firstLineChars="0"/>
                    <w:rPr>
                      <w:rFonts w:hint="default"/>
                      <w:lang w:val="en-US" w:eastAsia="zh-CN"/>
                    </w:rPr>
                  </w:pPr>
                  <w:r>
                    <w:rPr>
                      <w:rFonts w:hint="default"/>
                      <w:lang w:val="en-US" w:eastAsia="zh-CN"/>
                    </w:rPr>
                    <w:t>4.土壤环境重点监管企业全部纳入监督性环境监测范围，重点监测污染物为镉、汞、</w:t>
                  </w:r>
                  <w:r>
                    <w:rPr>
                      <w:rFonts w:hint="eastAsia"/>
                      <w:lang w:val="en-US" w:eastAsia="zh-CN"/>
                    </w:rPr>
                    <w:t>砷</w:t>
                  </w:r>
                  <w:r>
                    <w:rPr>
                      <w:rFonts w:hint="default"/>
                      <w:lang w:val="en-US" w:eastAsia="zh-CN"/>
                    </w:rPr>
                    <w:t>、铅、</w:t>
                  </w:r>
                  <w:r>
                    <w:rPr>
                      <w:rFonts w:hint="eastAsia"/>
                      <w:lang w:val="en-US" w:eastAsia="zh-CN"/>
                    </w:rPr>
                    <w:t>铬</w:t>
                  </w:r>
                  <w:r>
                    <w:rPr>
                      <w:rFonts w:hint="default"/>
                      <w:lang w:val="en-US" w:eastAsia="zh-CN"/>
                    </w:rPr>
                    <w:t>等重金属和多环芳烃、石油类等有机污染物。土壤环境监管重点行业企业拆除生产设施设备、构筑物和污染治理设施，要事先制定残留污染物清理和安全处置方案，并报所在地环境保护、工业和信息化部门备案；要严格按照有关规定 实施安全处理处置，防范拆除活动污染土壤。</w:t>
                  </w:r>
                </w:p>
              </w:tc>
              <w:tc>
                <w:tcPr>
                  <w:tcW w:w="1459" w:type="pct"/>
                  <w:tcBorders>
                    <w:top w:val="single" w:color="auto" w:sz="4" w:space="0"/>
                    <w:left w:val="single" w:color="auto" w:sz="4" w:space="0"/>
                    <w:bottom w:val="single" w:color="auto" w:sz="4" w:space="0"/>
                    <w:right w:val="single" w:color="auto" w:sz="4" w:space="0"/>
                  </w:tcBorders>
                  <w:vAlign w:val="center"/>
                </w:tcPr>
                <w:p>
                  <w:pPr>
                    <w:pStyle w:val="33"/>
                    <w:bidi w:val="0"/>
                    <w:ind w:firstLine="0" w:firstLineChars="0"/>
                    <w:rPr>
                      <w:rFonts w:hint="eastAsia" w:eastAsia="宋体"/>
                      <w:lang w:eastAsia="zh-CN"/>
                    </w:rPr>
                  </w:pPr>
                  <w:r>
                    <w:rPr>
                      <w:rFonts w:hint="eastAsia"/>
                      <w:lang w:val="en-US" w:eastAsia="zh-CN"/>
                    </w:rPr>
                    <w:t>本项目</w:t>
                  </w:r>
                  <w:r>
                    <w:rPr>
                      <w:rFonts w:hint="eastAsia"/>
                    </w:rPr>
                    <w:t>使用清洁能源天然气作为燃料，</w:t>
                  </w:r>
                  <w:r>
                    <w:rPr>
                      <w:rFonts w:hint="eastAsia"/>
                      <w:lang w:val="en-US" w:eastAsia="zh-CN"/>
                    </w:rPr>
                    <w:t>加装</w:t>
                  </w:r>
                  <w:r>
                    <w:rPr>
                      <w:rFonts w:hint="eastAsia"/>
                    </w:rPr>
                    <w:t>低氮燃烧器，</w:t>
                  </w:r>
                  <w:r>
                    <w:rPr>
                      <w:rFonts w:hint="eastAsia"/>
                      <w:lang w:val="en-US" w:eastAsia="zh-CN"/>
                    </w:rPr>
                    <w:t>锅炉</w:t>
                  </w:r>
                  <w:r>
                    <w:rPr>
                      <w:rFonts w:hint="eastAsia"/>
                    </w:rPr>
                    <w:t>烟气通过</w:t>
                  </w:r>
                  <w:r>
                    <w:rPr>
                      <w:rFonts w:hint="eastAsia"/>
                      <w:lang w:val="en-US" w:eastAsia="zh-CN"/>
                    </w:rPr>
                    <w:t>1根16</w:t>
                  </w:r>
                  <w:r>
                    <w:rPr>
                      <w:rFonts w:hint="eastAsia"/>
                    </w:rPr>
                    <w:t>m高排气筒</w:t>
                  </w:r>
                  <w:r>
                    <w:rPr>
                      <w:rFonts w:hint="eastAsia"/>
                      <w:lang w:val="en-US" w:eastAsia="zh-CN"/>
                    </w:rPr>
                    <w:t>达标</w:t>
                  </w:r>
                  <w:r>
                    <w:rPr>
                      <w:rFonts w:hint="eastAsia"/>
                    </w:rPr>
                    <w:t>排放</w:t>
                  </w:r>
                  <w:r>
                    <w:rPr>
                      <w:rFonts w:hint="eastAsia"/>
                      <w:lang w:eastAsia="zh-CN"/>
                    </w:rPr>
                    <w:t>；</w:t>
                  </w:r>
                  <w:r>
                    <w:rPr>
                      <w:rFonts w:hint="eastAsia" w:cs="Times New Roman"/>
                      <w:color w:val="000000" w:themeColor="text1"/>
                      <w:szCs w:val="24"/>
                      <w:lang w:eastAsia="zh-CN"/>
                      <w14:textFill>
                        <w14:solidFill>
                          <w14:schemeClr w14:val="tx1"/>
                        </w14:solidFill>
                      </w14:textFill>
                    </w:rPr>
                    <w:t>巴州鸿源石油装备器材有限公司</w:t>
                  </w:r>
                  <w:r>
                    <w:rPr>
                      <w:rFonts w:hint="eastAsia"/>
                      <w:lang w:val="en-US" w:eastAsia="zh-CN"/>
                    </w:rPr>
                    <w:t>已编制突发环境事件应急预案，建议</w:t>
                  </w:r>
                  <w:r>
                    <w:rPr>
                      <w:rFonts w:cs="Times New Roman"/>
                      <w:snapToGrid w:val="0"/>
                    </w:rPr>
                    <w:t>根据今后实际生产情况结合本报告中提出的事故应急预案，</w:t>
                  </w:r>
                  <w:r>
                    <w:rPr>
                      <w:rFonts w:hint="eastAsia" w:cs="Times New Roman"/>
                      <w:snapToGrid w:val="0"/>
                      <w:lang w:val="en-US" w:eastAsia="zh-CN"/>
                    </w:rPr>
                    <w:t>及时修编。本项目产生的废水主要包括锅炉废水和锅炉软化水装置产生的浓水，</w:t>
                  </w:r>
                  <w:r>
                    <w:rPr>
                      <w:rFonts w:hint="eastAsia"/>
                      <w:kern w:val="0"/>
                      <w:szCs w:val="21"/>
                    </w:rPr>
                    <w:t>排入园区污水管网，进入园区污水处理厂进一步处置</w:t>
                  </w:r>
                  <w:r>
                    <w:rPr>
                      <w:rFonts w:hint="eastAsia" w:cs="Times New Roman"/>
                      <w:snapToGrid w:val="0"/>
                      <w:lang w:val="en-US" w:eastAsia="zh-CN"/>
                    </w:rPr>
                    <w:t>。本项目不使用或产生有毒有害化学品，固体废物不在厂区内暂存。因此，正常情况下营运期锅炉房采取严格的防渗漏措施，不会对土壤造成地面漫流、垂直入渗影响，对周边土壤环境影响较小。</w:t>
                  </w:r>
                </w:p>
              </w:tc>
              <w:tc>
                <w:tcPr>
                  <w:tcW w:w="380" w:type="pct"/>
                  <w:tcBorders>
                    <w:top w:val="single" w:color="auto" w:sz="4" w:space="0"/>
                    <w:left w:val="single" w:color="auto" w:sz="4" w:space="0"/>
                    <w:bottom w:val="single" w:color="auto" w:sz="4" w:space="0"/>
                    <w:right w:val="single" w:color="auto" w:sz="12" w:space="0"/>
                  </w:tcBorders>
                  <w:vAlign w:val="center"/>
                </w:tcPr>
                <w:p>
                  <w:pPr>
                    <w:pStyle w:val="33"/>
                    <w:bidi w:val="0"/>
                    <w:ind w:firstLine="0" w:firstLineChars="0"/>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539" w:hRule="atLeast"/>
                <w:jc w:val="center"/>
              </w:trPr>
              <w:tc>
                <w:tcPr>
                  <w:tcW w:w="271" w:type="pct"/>
                  <w:vMerge w:val="continue"/>
                  <w:tcBorders>
                    <w:top w:val="single" w:color="auto" w:sz="8" w:space="0"/>
                    <w:left w:val="single" w:color="auto" w:sz="12" w:space="0"/>
                    <w:bottom w:val="single" w:color="auto" w:sz="8" w:space="0"/>
                    <w:right w:val="single" w:color="auto" w:sz="4" w:space="0"/>
                  </w:tcBorders>
                  <w:vAlign w:val="center"/>
                </w:tcPr>
                <w:p>
                  <w:pPr>
                    <w:pStyle w:val="33"/>
                    <w:bidi w:val="0"/>
                  </w:pP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ind w:firstLine="0" w:firstLineChars="0"/>
                    <w:rPr>
                      <w:rFonts w:hint="eastAsia"/>
                      <w:lang w:val="en-US" w:eastAsia="zh-CN"/>
                    </w:rPr>
                  </w:pPr>
                  <w:r>
                    <w:rPr>
                      <w:rFonts w:hint="eastAsia"/>
                      <w:lang w:val="en-US" w:eastAsia="zh-CN"/>
                    </w:rPr>
                    <w:t>资源开发效率要求</w:t>
                  </w:r>
                </w:p>
              </w:tc>
              <w:tc>
                <w:tcPr>
                  <w:tcW w:w="25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
                    <w:bidi w:val="0"/>
                    <w:rPr>
                      <w:rFonts w:hint="eastAsia"/>
                      <w:lang w:val="en-US" w:eastAsia="zh-CN"/>
                    </w:rPr>
                  </w:pPr>
                  <w:r>
                    <w:rPr>
                      <w:rFonts w:hint="eastAsia"/>
                      <w:lang w:val="en-US" w:eastAsia="zh-CN"/>
                    </w:rPr>
                    <w:t>1.执行总体管控要求中关于水、大气环境重点管控区的资源利用效率要求。</w:t>
                  </w:r>
                </w:p>
                <w:p>
                  <w:pPr>
                    <w:pStyle w:val="33"/>
                    <w:bidi w:val="0"/>
                    <w:ind w:firstLine="0" w:firstLineChars="0"/>
                    <w:rPr>
                      <w:rFonts w:hint="default"/>
                      <w:lang w:val="en-US" w:eastAsia="zh-CN"/>
                    </w:rPr>
                  </w:pPr>
                  <w:r>
                    <w:rPr>
                      <w:rFonts w:hint="eastAsia"/>
                      <w:lang w:val="en-US" w:eastAsia="zh-CN"/>
                    </w:rPr>
                    <w:t>2.强化工业水循环利用。推进加强洗煤废水循环利用。在高耗水行业开展试点示范，筛选具有明显经济效益的节水治污技术。鼓励纺织印染、石油石化、煤化工等高耗水企业废水深度处理回用。具备使用再生水条件但未充分利用的项目，不得批准其新增取水许可。</w:t>
                  </w:r>
                </w:p>
              </w:tc>
              <w:tc>
                <w:tcPr>
                  <w:tcW w:w="1459" w:type="pct"/>
                  <w:tcBorders>
                    <w:top w:val="single" w:color="auto" w:sz="4" w:space="0"/>
                    <w:left w:val="single" w:color="auto" w:sz="4" w:space="0"/>
                    <w:bottom w:val="single" w:color="auto" w:sz="4" w:space="0"/>
                    <w:right w:val="single" w:color="auto" w:sz="4" w:space="0"/>
                  </w:tcBorders>
                  <w:vAlign w:val="center"/>
                </w:tcPr>
                <w:p>
                  <w:pPr>
                    <w:pStyle w:val="33"/>
                    <w:bidi w:val="0"/>
                    <w:ind w:firstLine="0" w:firstLineChars="0"/>
                  </w:pPr>
                  <w:r>
                    <w:rPr>
                      <w:rFonts w:hint="eastAsia" w:cs="Times New Roman"/>
                      <w:snapToGrid w:val="0"/>
                      <w:lang w:val="en-US" w:eastAsia="zh-CN"/>
                    </w:rPr>
                    <w:t>本项目产生的废水主要包括锅炉废水和锅炉软化水装置产生的浓水，</w:t>
                  </w:r>
                  <w:r>
                    <w:rPr>
                      <w:rFonts w:hint="eastAsia"/>
                      <w:kern w:val="0"/>
                      <w:szCs w:val="21"/>
                    </w:rPr>
                    <w:t>排入园区污水管网，进入园区污水处理厂进一步处置</w:t>
                  </w:r>
                  <w:r>
                    <w:rPr>
                      <w:rFonts w:hint="eastAsia"/>
                      <w:kern w:val="0"/>
                      <w:szCs w:val="21"/>
                      <w:lang w:eastAsia="zh-CN"/>
                    </w:rPr>
                    <w:t>。</w:t>
                  </w:r>
                </w:p>
              </w:tc>
              <w:tc>
                <w:tcPr>
                  <w:tcW w:w="380" w:type="pct"/>
                  <w:tcBorders>
                    <w:top w:val="single" w:color="auto" w:sz="4" w:space="0"/>
                    <w:left w:val="single" w:color="auto" w:sz="4" w:space="0"/>
                    <w:bottom w:val="single" w:color="auto" w:sz="4" w:space="0"/>
                    <w:right w:val="single" w:color="auto" w:sz="12" w:space="0"/>
                  </w:tcBorders>
                  <w:vAlign w:val="center"/>
                </w:tcPr>
                <w:p>
                  <w:pPr>
                    <w:pStyle w:val="33"/>
                    <w:bidi w:val="0"/>
                    <w:ind w:firstLine="0" w:firstLineChars="0"/>
                  </w:pPr>
                  <w:r>
                    <w:t>符合</w:t>
                  </w:r>
                </w:p>
              </w:tc>
            </w:tr>
          </w:tbl>
          <w:p>
            <w:pPr>
              <w:pStyle w:val="34"/>
              <w:bidi w:val="0"/>
            </w:pPr>
            <w:r>
              <w:rPr>
                <w:rFonts w:hint="eastAsia"/>
              </w:rPr>
              <w:t>表</w:t>
            </w:r>
            <w:r>
              <w:t>1-</w:t>
            </w:r>
            <w:r>
              <w:rPr>
                <w:rFonts w:hint="eastAsia"/>
                <w:lang w:val="en-US" w:eastAsia="zh-CN"/>
              </w:rPr>
              <w:t>3</w:t>
            </w:r>
            <w:r>
              <w:t xml:space="preserve">  </w:t>
            </w:r>
            <w:r>
              <w:rPr>
                <w:rFonts w:hint="eastAsia"/>
              </w:rPr>
              <w:t>本项目与七大片</w:t>
            </w:r>
            <w:r>
              <w:rPr>
                <w:rFonts w:hint="eastAsia"/>
                <w:lang w:val="en-US" w:eastAsia="zh-CN"/>
              </w:rPr>
              <w:t>区</w:t>
            </w:r>
            <w:r>
              <w:rPr>
                <w:rFonts w:hint="eastAsia"/>
              </w:rPr>
              <w:t>天山南坡片区总体管控要求符合性分析一览表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5"/>
              <w:gridCol w:w="3844"/>
              <w:gridCol w:w="1693"/>
              <w:gridCol w:w="6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664" w:type="pct"/>
                  <w:vMerge w:val="restar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天山南坡片区总体管控要求</w:t>
                  </w:r>
                </w:p>
              </w:tc>
              <w:tc>
                <w:tcPr>
                  <w:tcW w:w="2700"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管控要求</w:t>
                  </w:r>
                </w:p>
              </w:tc>
              <w:tc>
                <w:tcPr>
                  <w:tcW w:w="1189"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本项目</w:t>
                  </w:r>
                </w:p>
              </w:tc>
              <w:tc>
                <w:tcPr>
                  <w:tcW w:w="447"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69" w:type="dxa"/>
                  <w:vMerge w:val="continue"/>
                  <w:vAlign w:val="center"/>
                </w:tcPr>
                <w:p>
                  <w:pPr>
                    <w:widowControl/>
                    <w:spacing w:line="240" w:lineRule="auto"/>
                    <w:ind w:firstLine="0" w:firstLineChars="0"/>
                    <w:jc w:val="center"/>
                    <w:textAlignment w:val="auto"/>
                    <w:rPr>
                      <w:rFonts w:hint="eastAsia" w:ascii="宋体" w:hAnsi="宋体" w:cs="Times New Roman"/>
                      <w:color w:val="000000"/>
                      <w:kern w:val="0"/>
                      <w:sz w:val="21"/>
                      <w:szCs w:val="21"/>
                    </w:rPr>
                  </w:pPr>
                </w:p>
              </w:tc>
              <w:tc>
                <w:tcPr>
                  <w:tcW w:w="2700"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189"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本项目不在托木尔峰和天山南坡中段冰雪水源及生物多样性保护生态功能区</w:t>
                  </w:r>
                </w:p>
              </w:tc>
              <w:tc>
                <w:tcPr>
                  <w:tcW w:w="447"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69" w:type="dxa"/>
                  <w:vMerge w:val="continue"/>
                  <w:vAlign w:val="center"/>
                </w:tcPr>
                <w:p>
                  <w:pPr>
                    <w:widowControl/>
                    <w:spacing w:line="240" w:lineRule="auto"/>
                    <w:ind w:firstLine="0" w:firstLineChars="0"/>
                    <w:jc w:val="center"/>
                    <w:textAlignment w:val="auto"/>
                    <w:rPr>
                      <w:rFonts w:hint="eastAsia" w:ascii="宋体" w:hAnsi="宋体" w:cs="Times New Roman"/>
                      <w:color w:val="000000"/>
                      <w:kern w:val="0"/>
                      <w:sz w:val="21"/>
                      <w:szCs w:val="21"/>
                    </w:rPr>
                  </w:pPr>
                </w:p>
              </w:tc>
              <w:tc>
                <w:tcPr>
                  <w:tcW w:w="2700"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snapToGrid w:val="0"/>
                      <w:color w:val="000000"/>
                      <w:kern w:val="0"/>
                      <w:sz w:val="21"/>
                      <w:szCs w:val="21"/>
                    </w:rPr>
                    <w:t>重点做好塔里木盆地北缘荒漠化防治。加强荒漠植被及河岸荒漠林保护，规范油气勘探开发作业，建立油田和公路扰动区域工程与生物相结合的防风固沙体系，逐步形成生态屏障。</w:t>
                  </w:r>
                </w:p>
              </w:tc>
              <w:tc>
                <w:tcPr>
                  <w:tcW w:w="1189"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snapToGrid w:val="0"/>
                      <w:color w:val="000000"/>
                      <w:kern w:val="0"/>
                      <w:sz w:val="21"/>
                      <w:szCs w:val="21"/>
                    </w:rPr>
                    <w:t>本项目不涉及油气勘探开发</w:t>
                  </w:r>
                </w:p>
              </w:tc>
              <w:tc>
                <w:tcPr>
                  <w:tcW w:w="447"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69" w:type="dxa"/>
                  <w:vMerge w:val="continue"/>
                  <w:vAlign w:val="center"/>
                </w:tcPr>
                <w:p>
                  <w:pPr>
                    <w:widowControl/>
                    <w:spacing w:line="240" w:lineRule="auto"/>
                    <w:ind w:firstLine="0" w:firstLineChars="0"/>
                    <w:jc w:val="center"/>
                    <w:textAlignment w:val="auto"/>
                    <w:rPr>
                      <w:rFonts w:hint="eastAsia" w:ascii="宋体" w:hAnsi="宋体" w:cs="Times New Roman"/>
                      <w:color w:val="000000"/>
                      <w:kern w:val="0"/>
                      <w:sz w:val="21"/>
                      <w:szCs w:val="21"/>
                    </w:rPr>
                  </w:pPr>
                </w:p>
              </w:tc>
              <w:tc>
                <w:tcPr>
                  <w:tcW w:w="2700" w:type="pct"/>
                  <w:vAlign w:val="center"/>
                </w:tcPr>
                <w:p>
                  <w:pPr>
                    <w:spacing w:line="240" w:lineRule="auto"/>
                    <w:ind w:firstLine="0" w:firstLineChars="0"/>
                    <w:jc w:val="center"/>
                    <w:textAlignment w:val="auto"/>
                    <w:rPr>
                      <w:rFonts w:hint="eastAsia" w:ascii="宋体" w:hAnsi="宋体" w:cs="Times New Roman"/>
                      <w:snapToGrid w:val="0"/>
                      <w:color w:val="000000"/>
                      <w:kern w:val="0"/>
                      <w:sz w:val="21"/>
                      <w:szCs w:val="21"/>
                    </w:rPr>
                  </w:pPr>
                  <w:r>
                    <w:rPr>
                      <w:rFonts w:hint="eastAsia" w:ascii="宋体" w:hAnsi="宋体" w:cs="Times New Roman"/>
                      <w:snapToGrid w:val="0"/>
                      <w:color w:val="000000"/>
                      <w:kern w:val="0"/>
                      <w:sz w:val="21"/>
                      <w:szCs w:val="21"/>
                    </w:rPr>
                    <w:t>推进塔里木河流域用水结构调整，维护塔里木河、博斯腾湖基本生态用水</w:t>
                  </w:r>
                </w:p>
              </w:tc>
              <w:tc>
                <w:tcPr>
                  <w:tcW w:w="1189" w:type="pct"/>
                  <w:vAlign w:val="center"/>
                </w:tcPr>
                <w:p>
                  <w:pPr>
                    <w:spacing w:line="240" w:lineRule="auto"/>
                    <w:ind w:firstLine="0" w:firstLineChars="0"/>
                    <w:jc w:val="center"/>
                    <w:textAlignment w:val="auto"/>
                    <w:rPr>
                      <w:rFonts w:hint="eastAsia" w:ascii="宋体" w:hAnsi="宋体" w:cs="Times New Roman"/>
                      <w:snapToGrid w:val="0"/>
                      <w:color w:val="000000"/>
                      <w:kern w:val="0"/>
                      <w:sz w:val="21"/>
                      <w:szCs w:val="21"/>
                    </w:rPr>
                  </w:pPr>
                  <w:r>
                    <w:rPr>
                      <w:rFonts w:hint="eastAsia" w:ascii="宋体" w:hAnsi="宋体" w:cs="Times New Roman"/>
                      <w:snapToGrid w:val="0"/>
                      <w:color w:val="000000"/>
                      <w:kern w:val="0"/>
                      <w:sz w:val="21"/>
                      <w:szCs w:val="21"/>
                    </w:rPr>
                    <w:t>本项目不涉及塔里木河、博斯腾湖生态用水</w:t>
                  </w:r>
                </w:p>
              </w:tc>
              <w:tc>
                <w:tcPr>
                  <w:tcW w:w="447"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69" w:type="dxa"/>
                  <w:vMerge w:val="continue"/>
                  <w:vAlign w:val="center"/>
                </w:tcPr>
                <w:p>
                  <w:pPr>
                    <w:widowControl/>
                    <w:spacing w:line="240" w:lineRule="auto"/>
                    <w:ind w:firstLine="0" w:firstLineChars="0"/>
                    <w:jc w:val="center"/>
                    <w:textAlignment w:val="auto"/>
                    <w:rPr>
                      <w:rFonts w:hint="eastAsia" w:ascii="宋体" w:hAnsi="宋体" w:cs="Times New Roman"/>
                      <w:color w:val="000000"/>
                      <w:kern w:val="0"/>
                      <w:sz w:val="21"/>
                      <w:szCs w:val="21"/>
                    </w:rPr>
                  </w:pPr>
                </w:p>
              </w:tc>
              <w:tc>
                <w:tcPr>
                  <w:tcW w:w="2700" w:type="pct"/>
                  <w:vAlign w:val="center"/>
                </w:tcPr>
                <w:p>
                  <w:pPr>
                    <w:spacing w:line="240" w:lineRule="auto"/>
                    <w:ind w:firstLine="0" w:firstLineChars="0"/>
                    <w:jc w:val="center"/>
                    <w:textAlignment w:val="auto"/>
                    <w:rPr>
                      <w:rFonts w:hint="eastAsia" w:ascii="宋体" w:hAnsi="宋体" w:cs="Times New Roman"/>
                      <w:snapToGrid w:val="0"/>
                      <w:color w:val="000000"/>
                      <w:kern w:val="0"/>
                      <w:sz w:val="21"/>
                      <w:szCs w:val="21"/>
                    </w:rPr>
                  </w:pPr>
                  <w:r>
                    <w:rPr>
                      <w:rFonts w:hint="eastAsia" w:ascii="宋体" w:hAnsi="宋体" w:cs="Times New Roman"/>
                      <w:snapToGrid w:val="0"/>
                      <w:color w:val="000000"/>
                      <w:kern w:val="0"/>
                      <w:sz w:val="21"/>
                      <w:szCs w:val="21"/>
                    </w:rPr>
                    <w:t>加强塔里木河流域水环境风险管控。加大博斯腾湖污染源头达标排放治理和监督力度，实施博斯腾湖综合治理。</w:t>
                  </w:r>
                </w:p>
              </w:tc>
              <w:tc>
                <w:tcPr>
                  <w:tcW w:w="1189" w:type="pct"/>
                  <w:vAlign w:val="center"/>
                </w:tcPr>
                <w:p>
                  <w:pPr>
                    <w:spacing w:line="240" w:lineRule="auto"/>
                    <w:ind w:firstLine="0" w:firstLineChars="0"/>
                    <w:jc w:val="center"/>
                    <w:textAlignment w:val="auto"/>
                    <w:rPr>
                      <w:rFonts w:hint="eastAsia" w:ascii="宋体" w:hAnsi="宋体" w:cs="Times New Roman"/>
                      <w:snapToGrid w:val="0"/>
                      <w:color w:val="000000"/>
                      <w:kern w:val="0"/>
                      <w:sz w:val="21"/>
                      <w:szCs w:val="21"/>
                    </w:rPr>
                  </w:pPr>
                  <w:r>
                    <w:rPr>
                      <w:rFonts w:hint="eastAsia" w:ascii="宋体" w:hAnsi="宋体" w:cs="Times New Roman"/>
                      <w:snapToGrid w:val="0"/>
                      <w:color w:val="000000"/>
                      <w:kern w:val="0"/>
                      <w:sz w:val="21"/>
                      <w:szCs w:val="21"/>
                    </w:rPr>
                    <w:t>本项目不涉及</w:t>
                  </w:r>
                </w:p>
              </w:tc>
              <w:tc>
                <w:tcPr>
                  <w:tcW w:w="447"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69" w:type="dxa"/>
                  <w:vMerge w:val="continue"/>
                  <w:vAlign w:val="center"/>
                </w:tcPr>
                <w:p>
                  <w:pPr>
                    <w:widowControl/>
                    <w:spacing w:line="240" w:lineRule="auto"/>
                    <w:ind w:firstLine="0" w:firstLineChars="0"/>
                    <w:jc w:val="center"/>
                    <w:textAlignment w:val="auto"/>
                    <w:rPr>
                      <w:rFonts w:hint="eastAsia" w:ascii="宋体" w:hAnsi="宋体" w:cs="Times New Roman"/>
                      <w:color w:val="000000"/>
                      <w:kern w:val="0"/>
                      <w:sz w:val="21"/>
                      <w:szCs w:val="21"/>
                    </w:rPr>
                  </w:pPr>
                </w:p>
              </w:tc>
              <w:tc>
                <w:tcPr>
                  <w:tcW w:w="2700" w:type="pct"/>
                  <w:vAlign w:val="center"/>
                </w:tcPr>
                <w:p>
                  <w:pPr>
                    <w:spacing w:line="240" w:lineRule="auto"/>
                    <w:ind w:firstLine="0" w:firstLineChars="0"/>
                    <w:jc w:val="center"/>
                    <w:textAlignment w:val="auto"/>
                    <w:rPr>
                      <w:rFonts w:hint="eastAsia" w:ascii="宋体" w:hAnsi="宋体" w:cs="Times New Roman"/>
                      <w:snapToGrid w:val="0"/>
                      <w:color w:val="000000"/>
                      <w:kern w:val="0"/>
                      <w:sz w:val="21"/>
                      <w:szCs w:val="21"/>
                    </w:rPr>
                  </w:pPr>
                  <w:r>
                    <w:rPr>
                      <w:rFonts w:hint="eastAsia" w:ascii="宋体" w:hAnsi="宋体" w:cs="Times New Roman"/>
                      <w:snapToGrid w:val="0"/>
                      <w:color w:val="000000"/>
                      <w:kern w:val="0"/>
                      <w:sz w:val="21"/>
                      <w:szCs w:val="21"/>
                    </w:rPr>
                    <w:t>加强油（气）资源开发区土壤环境污染综合整治。强化涉重金属行业污染防控与工业废物处理处置。</w:t>
                  </w:r>
                </w:p>
              </w:tc>
              <w:tc>
                <w:tcPr>
                  <w:tcW w:w="1189" w:type="pct"/>
                  <w:vAlign w:val="center"/>
                </w:tcPr>
                <w:p>
                  <w:pPr>
                    <w:spacing w:line="240" w:lineRule="auto"/>
                    <w:ind w:firstLine="0" w:firstLineChars="0"/>
                    <w:jc w:val="center"/>
                    <w:textAlignment w:val="auto"/>
                    <w:rPr>
                      <w:rFonts w:hint="eastAsia" w:ascii="宋体" w:hAnsi="宋体" w:cs="Times New Roman"/>
                      <w:snapToGrid w:val="0"/>
                      <w:color w:val="000000"/>
                      <w:kern w:val="0"/>
                      <w:sz w:val="21"/>
                      <w:szCs w:val="21"/>
                    </w:rPr>
                  </w:pPr>
                  <w:r>
                    <w:rPr>
                      <w:rFonts w:hint="eastAsia" w:ascii="宋体" w:hAnsi="宋体" w:cs="Times New Roman"/>
                      <w:snapToGrid w:val="0"/>
                      <w:color w:val="000000"/>
                      <w:kern w:val="0"/>
                      <w:sz w:val="21"/>
                      <w:szCs w:val="21"/>
                    </w:rPr>
                    <w:t>本项目不涉及油气开发，不涉及重金属排放</w:t>
                  </w:r>
                </w:p>
              </w:tc>
              <w:tc>
                <w:tcPr>
                  <w:tcW w:w="447" w:type="pct"/>
                  <w:vAlign w:val="center"/>
                </w:tcPr>
                <w:p>
                  <w:pPr>
                    <w:spacing w:line="240" w:lineRule="auto"/>
                    <w:ind w:firstLine="0" w:firstLineChars="0"/>
                    <w:jc w:val="center"/>
                    <w:textAlignment w:val="auto"/>
                    <w:rPr>
                      <w:rFonts w:hint="eastAsia" w:ascii="宋体" w:hAnsi="宋体" w:cs="Times New Roman"/>
                      <w:color w:val="000000"/>
                      <w:kern w:val="0"/>
                      <w:sz w:val="21"/>
                      <w:szCs w:val="21"/>
                    </w:rPr>
                  </w:pPr>
                  <w:r>
                    <w:rPr>
                      <w:rFonts w:hint="eastAsia" w:ascii="宋体" w:hAnsi="宋体" w:cs="Times New Roman"/>
                      <w:color w:val="000000"/>
                      <w:kern w:val="0"/>
                      <w:sz w:val="21"/>
                      <w:szCs w:val="21"/>
                    </w:rPr>
                    <w:t>符合</w:t>
                  </w:r>
                </w:p>
              </w:tc>
            </w:tr>
          </w:tbl>
          <w:p>
            <w:pPr>
              <w:spacing w:before="120" w:after="60" w:line="240" w:lineRule="auto"/>
              <w:ind w:firstLine="0" w:firstLineChars="0"/>
              <w:outlineLvl w:val="2"/>
              <w:rPr>
                <w:rFonts w:cs="Times New Roman"/>
                <w:b/>
                <w:bCs/>
                <w:szCs w:val="32"/>
              </w:rPr>
            </w:pPr>
            <w:r>
              <w:rPr>
                <w:rFonts w:hint="eastAsia" w:cs="Times New Roman"/>
                <w:b/>
                <w:bCs/>
                <w:szCs w:val="32"/>
                <w:lang w:val="en-US" w:eastAsia="zh-CN"/>
              </w:rPr>
              <w:t>1.4</w:t>
            </w:r>
            <w:r>
              <w:rPr>
                <w:rFonts w:hint="default" w:ascii="Times New Roman" w:hAnsi="Times New Roman" w:cs="Times New Roman"/>
                <w:b/>
                <w:bCs/>
                <w:sz w:val="24"/>
                <w:szCs w:val="24"/>
                <w:lang w:eastAsia="zh-CN"/>
              </w:rPr>
              <w:t>本项目与巴音郭楞蒙古自治州生</w:t>
            </w:r>
            <w:r>
              <w:rPr>
                <w:rFonts w:hint="eastAsia" w:ascii="Times New Roman" w:hAnsi="Times New Roman" w:cs="Times New Roman"/>
                <w:b/>
                <w:bCs/>
                <w:sz w:val="24"/>
                <w:szCs w:val="24"/>
                <w:lang w:eastAsia="zh-CN"/>
              </w:rPr>
              <w:t>态环</w:t>
            </w:r>
            <w:r>
              <w:rPr>
                <w:rFonts w:hint="eastAsia" w:ascii="Times New Roman" w:hAnsi="Times New Roman" w:cs="Times New Roman"/>
                <w:b/>
                <w:bCs/>
                <w:sz w:val="24"/>
                <w:szCs w:val="32"/>
                <w:lang w:eastAsia="zh-CN"/>
              </w:rPr>
              <w:t>境分区管控方案符合性分析</w:t>
            </w:r>
          </w:p>
          <w:p>
            <w:pPr>
              <w:ind w:firstLine="480"/>
              <w:rPr>
                <w:rFonts w:cs="Times New Roman"/>
              </w:rPr>
            </w:pPr>
            <w:r>
              <w:rPr>
                <w:spacing w:val="-3"/>
                <w:sz w:val="24"/>
                <w:szCs w:val="24"/>
                <w:lang w:eastAsia="zh-CN"/>
              </w:rPr>
              <w:t>本</w:t>
            </w:r>
            <w:r>
              <w:rPr>
                <w:rFonts w:hint="eastAsia"/>
                <w:spacing w:val="-3"/>
                <w:sz w:val="24"/>
                <w:szCs w:val="24"/>
                <w:lang w:val="en-US" w:eastAsia="zh-CN"/>
              </w:rPr>
              <w:t>项目</w:t>
            </w:r>
            <w:r>
              <w:rPr>
                <w:spacing w:val="-3"/>
                <w:sz w:val="24"/>
                <w:szCs w:val="24"/>
                <w:lang w:eastAsia="zh-CN"/>
              </w:rPr>
              <w:t>建设地点位于新疆维吾尔自治区</w:t>
            </w:r>
            <w:r>
              <w:rPr>
                <w:rFonts w:hint="eastAsia"/>
                <w:spacing w:val="-3"/>
                <w:sz w:val="24"/>
                <w:szCs w:val="24"/>
                <w:lang w:val="en-US" w:eastAsia="zh-CN"/>
              </w:rPr>
              <w:t>轮台县</w:t>
            </w:r>
            <w:r>
              <w:rPr>
                <w:spacing w:val="-3"/>
                <w:sz w:val="24"/>
                <w:szCs w:val="24"/>
                <w:lang w:eastAsia="zh-CN"/>
              </w:rPr>
              <w:t>，根据《巴音郭楞蒙</w:t>
            </w:r>
            <w:r>
              <w:rPr>
                <w:spacing w:val="1"/>
                <w:sz w:val="24"/>
                <w:szCs w:val="24"/>
                <w:lang w:eastAsia="zh-CN"/>
              </w:rPr>
              <w:t>古自治州生态环境分区管控动态更新成果（</w:t>
            </w:r>
            <w:r>
              <w:rPr>
                <w:rFonts w:ascii="Times New Roman" w:hAnsi="Times New Roman" w:eastAsia="Times New Roman" w:cs="Times New Roman"/>
                <w:spacing w:val="1"/>
                <w:sz w:val="24"/>
                <w:szCs w:val="24"/>
                <w:lang w:eastAsia="zh-CN"/>
              </w:rPr>
              <w:t>2023</w:t>
            </w:r>
            <w:r>
              <w:rPr>
                <w:spacing w:val="1"/>
                <w:sz w:val="24"/>
                <w:szCs w:val="24"/>
                <w:lang w:eastAsia="zh-CN"/>
              </w:rPr>
              <w:t>年）》</w:t>
            </w:r>
            <w:r>
              <w:rPr>
                <w:spacing w:val="-2"/>
                <w:sz w:val="24"/>
                <w:szCs w:val="24"/>
                <w:lang w:eastAsia="zh-CN"/>
              </w:rPr>
              <w:t>（巴政办发〔</w:t>
            </w:r>
            <w:r>
              <w:rPr>
                <w:rFonts w:ascii="Times New Roman" w:hAnsi="Times New Roman" w:eastAsia="Times New Roman" w:cs="Times New Roman"/>
                <w:spacing w:val="-2"/>
                <w:sz w:val="24"/>
                <w:szCs w:val="24"/>
                <w:lang w:eastAsia="zh-CN"/>
              </w:rPr>
              <w:t>2024</w:t>
            </w:r>
            <w:r>
              <w:rPr>
                <w:spacing w:val="-2"/>
                <w:sz w:val="24"/>
                <w:szCs w:val="24"/>
                <w:lang w:eastAsia="zh-CN"/>
              </w:rPr>
              <w:t>〕</w:t>
            </w:r>
            <w:r>
              <w:rPr>
                <w:rFonts w:ascii="Times New Roman" w:hAnsi="Times New Roman" w:eastAsia="Times New Roman" w:cs="Times New Roman"/>
                <w:spacing w:val="-2"/>
                <w:sz w:val="24"/>
                <w:szCs w:val="24"/>
                <w:lang w:eastAsia="zh-CN"/>
              </w:rPr>
              <w:t>32</w:t>
            </w:r>
            <w:r>
              <w:rPr>
                <w:spacing w:val="-2"/>
                <w:sz w:val="24"/>
                <w:szCs w:val="24"/>
                <w:lang w:eastAsia="zh-CN"/>
              </w:rPr>
              <w:t>号</w:t>
            </w:r>
            <w:r>
              <w:rPr>
                <w:spacing w:val="12"/>
                <w:sz w:val="24"/>
                <w:szCs w:val="24"/>
                <w:lang w:eastAsia="zh-CN"/>
              </w:rPr>
              <w:t>），</w:t>
            </w:r>
            <w:r>
              <w:rPr>
                <w:spacing w:val="-2"/>
                <w:sz w:val="24"/>
                <w:szCs w:val="24"/>
                <w:lang w:eastAsia="zh-CN"/>
              </w:rPr>
              <w:t>本</w:t>
            </w:r>
            <w:r>
              <w:rPr>
                <w:rFonts w:hint="eastAsia"/>
                <w:spacing w:val="-2"/>
                <w:sz w:val="24"/>
                <w:szCs w:val="24"/>
                <w:lang w:val="en-US" w:eastAsia="zh-CN"/>
              </w:rPr>
              <w:t>项目</w:t>
            </w:r>
            <w:r>
              <w:rPr>
                <w:spacing w:val="-2"/>
                <w:sz w:val="24"/>
                <w:szCs w:val="24"/>
                <w:lang w:eastAsia="zh-CN"/>
              </w:rPr>
              <w:t>所在环境管控单元管控要求详见</w:t>
            </w:r>
            <w:r>
              <w:rPr>
                <w:spacing w:val="-6"/>
                <w:sz w:val="24"/>
                <w:szCs w:val="24"/>
                <w:lang w:eastAsia="zh-CN"/>
              </w:rPr>
              <w:t>下表。</w:t>
            </w:r>
          </w:p>
          <w:p>
            <w:pPr>
              <w:pStyle w:val="34"/>
              <w:bidi w:val="0"/>
              <w:rPr>
                <w:rFonts w:hint="eastAsia"/>
              </w:rPr>
            </w:pPr>
            <w:r>
              <w:rPr>
                <w:rFonts w:hint="eastAsia"/>
              </w:rPr>
              <w:t>表1</w:t>
            </w:r>
            <w:r>
              <w:t>-</w:t>
            </w:r>
            <w:r>
              <w:rPr>
                <w:rFonts w:hint="eastAsia"/>
                <w:lang w:val="en-US" w:eastAsia="zh-CN"/>
              </w:rPr>
              <w:t>4</w:t>
            </w:r>
            <w:r>
              <w:t xml:space="preserve">  </w:t>
            </w:r>
            <w:r>
              <w:rPr>
                <w:rFonts w:hint="eastAsia"/>
              </w:rPr>
              <w:t>本项目与《巴音郭楞蒙古自治州生态环境分区管控方案》符合性一览表</w:t>
            </w:r>
          </w:p>
          <w:tbl>
            <w:tblPr>
              <w:tblStyle w:val="22"/>
              <w:tblW w:w="726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64"/>
              <w:gridCol w:w="370"/>
              <w:gridCol w:w="1284"/>
              <w:gridCol w:w="1847"/>
              <w:gridCol w:w="2569"/>
              <w:gridCol w:w="73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1457" w:type="pct"/>
                  <w:gridSpan w:val="3"/>
                  <w:tcBorders>
                    <w:tl2br w:val="nil"/>
                    <w:tr2bl w:val="nil"/>
                  </w:tcBorders>
                  <w:vAlign w:val="center"/>
                </w:tcPr>
                <w:p>
                  <w:pPr>
                    <w:pStyle w:val="33"/>
                    <w:bidi w:val="0"/>
                    <w:rPr>
                      <w:rFonts w:hint="eastAsia"/>
                    </w:rPr>
                  </w:pPr>
                  <w:r>
                    <w:rPr>
                      <w:rFonts w:hint="eastAsia"/>
                    </w:rPr>
                    <w:t>环境管控单元编码</w:t>
                  </w:r>
                </w:p>
              </w:tc>
              <w:tc>
                <w:tcPr>
                  <w:tcW w:w="1270" w:type="pct"/>
                  <w:tcBorders>
                    <w:tl2br w:val="nil"/>
                    <w:tr2bl w:val="nil"/>
                  </w:tcBorders>
                  <w:vAlign w:val="center"/>
                </w:tcPr>
                <w:p>
                  <w:pPr>
                    <w:pStyle w:val="33"/>
                    <w:bidi w:val="0"/>
                    <w:rPr>
                      <w:rFonts w:hint="default"/>
                      <w:lang w:val="en-US" w:eastAsia="zh-CN"/>
                    </w:rPr>
                  </w:pPr>
                  <w:r>
                    <w:rPr>
                      <w:rFonts w:hint="default"/>
                    </w:rPr>
                    <w:t>ZH6528</w:t>
                  </w:r>
                  <w:r>
                    <w:rPr>
                      <w:rFonts w:hint="eastAsia"/>
                      <w:lang w:val="en-US" w:eastAsia="zh-CN"/>
                    </w:rPr>
                    <w:t>2220004</w:t>
                  </w:r>
                </w:p>
              </w:tc>
              <w:tc>
                <w:tcPr>
                  <w:tcW w:w="1767" w:type="pct"/>
                  <w:vMerge w:val="restart"/>
                  <w:tcBorders>
                    <w:tl2br w:val="nil"/>
                    <w:tr2bl w:val="nil"/>
                  </w:tcBorders>
                  <w:vAlign w:val="center"/>
                </w:tcPr>
                <w:p>
                  <w:pPr>
                    <w:pStyle w:val="33"/>
                    <w:bidi w:val="0"/>
                    <w:rPr>
                      <w:rFonts w:hint="eastAsia"/>
                    </w:rPr>
                  </w:pPr>
                  <w:r>
                    <w:rPr>
                      <w:rFonts w:hint="eastAsia"/>
                    </w:rPr>
                    <w:t>本工程情况</w:t>
                  </w:r>
                </w:p>
              </w:tc>
              <w:tc>
                <w:tcPr>
                  <w:tcW w:w="504" w:type="pct"/>
                  <w:vMerge w:val="restart"/>
                  <w:tcBorders>
                    <w:tl2br w:val="nil"/>
                    <w:tr2bl w:val="nil"/>
                  </w:tcBorders>
                  <w:vAlign w:val="center"/>
                </w:tcPr>
                <w:p>
                  <w:pPr>
                    <w:pStyle w:val="33"/>
                    <w:bidi w:val="0"/>
                    <w:rPr>
                      <w:rFonts w:hint="eastAsia"/>
                    </w:rPr>
                  </w:pPr>
                  <w:r>
                    <w:rPr>
                      <w:rFonts w:hint="eastAsia"/>
                    </w:rPr>
                    <w:t>相符性分析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457" w:type="pct"/>
                  <w:gridSpan w:val="3"/>
                  <w:tcBorders>
                    <w:tl2br w:val="nil"/>
                    <w:tr2bl w:val="nil"/>
                  </w:tcBorders>
                  <w:vAlign w:val="center"/>
                </w:tcPr>
                <w:p>
                  <w:pPr>
                    <w:pStyle w:val="33"/>
                    <w:bidi w:val="0"/>
                    <w:rPr>
                      <w:rFonts w:hint="eastAsia"/>
                    </w:rPr>
                  </w:pPr>
                  <w:r>
                    <w:rPr>
                      <w:rFonts w:hint="eastAsia"/>
                    </w:rPr>
                    <w:t>环境管控单元名称</w:t>
                  </w:r>
                </w:p>
              </w:tc>
              <w:tc>
                <w:tcPr>
                  <w:tcW w:w="1270" w:type="pct"/>
                  <w:tcBorders>
                    <w:tl2br w:val="nil"/>
                    <w:tr2bl w:val="nil"/>
                  </w:tcBorders>
                  <w:vAlign w:val="center"/>
                </w:tcPr>
                <w:p>
                  <w:pPr>
                    <w:pStyle w:val="33"/>
                    <w:bidi w:val="0"/>
                    <w:rPr>
                      <w:rFonts w:hint="default"/>
                      <w:lang w:val="en-US"/>
                    </w:rPr>
                  </w:pPr>
                  <w:r>
                    <w:rPr>
                      <w:rFonts w:hint="eastAsia"/>
                      <w:lang w:val="en-US" w:eastAsia="zh-CN"/>
                    </w:rPr>
                    <w:t>轮台工业园区</w:t>
                  </w:r>
                </w:p>
              </w:tc>
              <w:tc>
                <w:tcPr>
                  <w:tcW w:w="1767" w:type="pct"/>
                  <w:vMerge w:val="continue"/>
                  <w:tcBorders>
                    <w:tl2br w:val="nil"/>
                    <w:tr2bl w:val="nil"/>
                  </w:tcBorders>
                  <w:vAlign w:val="center"/>
                </w:tcPr>
                <w:p>
                  <w:pPr>
                    <w:pStyle w:val="33"/>
                    <w:bidi w:val="0"/>
                    <w:rPr>
                      <w:rFonts w:hint="eastAsia"/>
                    </w:rPr>
                  </w:pPr>
                </w:p>
              </w:tc>
              <w:tc>
                <w:tcPr>
                  <w:tcW w:w="504" w:type="pct"/>
                  <w:vMerge w:val="continue"/>
                  <w:tcBorders>
                    <w:tl2br w:val="nil"/>
                    <w:tr2bl w:val="nil"/>
                  </w:tcBorders>
                  <w:vAlign w:val="center"/>
                </w:tcPr>
                <w:p>
                  <w:pPr>
                    <w:pStyle w:val="33"/>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1457" w:type="pct"/>
                  <w:gridSpan w:val="3"/>
                  <w:tcBorders>
                    <w:tl2br w:val="nil"/>
                    <w:tr2bl w:val="nil"/>
                  </w:tcBorders>
                  <w:vAlign w:val="center"/>
                </w:tcPr>
                <w:p>
                  <w:pPr>
                    <w:pStyle w:val="33"/>
                    <w:bidi w:val="0"/>
                    <w:rPr>
                      <w:rFonts w:hint="eastAsia"/>
                    </w:rPr>
                  </w:pPr>
                  <w:r>
                    <w:rPr>
                      <w:rFonts w:hint="eastAsia"/>
                    </w:rPr>
                    <w:t>环境管控单元类别</w:t>
                  </w:r>
                </w:p>
              </w:tc>
              <w:tc>
                <w:tcPr>
                  <w:tcW w:w="1270" w:type="pct"/>
                  <w:tcBorders>
                    <w:tl2br w:val="nil"/>
                    <w:tr2bl w:val="nil"/>
                  </w:tcBorders>
                  <w:vAlign w:val="center"/>
                </w:tcPr>
                <w:p>
                  <w:pPr>
                    <w:pStyle w:val="33"/>
                    <w:bidi w:val="0"/>
                    <w:rPr>
                      <w:rFonts w:hint="eastAsia"/>
                    </w:rPr>
                  </w:pPr>
                  <w:r>
                    <w:rPr>
                      <w:rFonts w:hint="eastAsia"/>
                      <w:lang w:val="en-US" w:eastAsia="zh-CN"/>
                    </w:rPr>
                    <w:t>重点</w:t>
                  </w:r>
                  <w:r>
                    <w:rPr>
                      <w:rFonts w:hint="eastAsia"/>
                    </w:rPr>
                    <w:t>管控单元</w:t>
                  </w:r>
                </w:p>
              </w:tc>
              <w:tc>
                <w:tcPr>
                  <w:tcW w:w="1767" w:type="pct"/>
                  <w:vMerge w:val="continue"/>
                  <w:tcBorders>
                    <w:tl2br w:val="nil"/>
                    <w:tr2bl w:val="nil"/>
                  </w:tcBorders>
                  <w:vAlign w:val="center"/>
                </w:tcPr>
                <w:p>
                  <w:pPr>
                    <w:pStyle w:val="33"/>
                    <w:bidi w:val="0"/>
                    <w:rPr>
                      <w:rFonts w:hint="eastAsia"/>
                    </w:rPr>
                  </w:pPr>
                </w:p>
              </w:tc>
              <w:tc>
                <w:tcPr>
                  <w:tcW w:w="504" w:type="pct"/>
                  <w:vMerge w:val="continue"/>
                  <w:tcBorders>
                    <w:tl2br w:val="nil"/>
                    <w:tr2bl w:val="nil"/>
                  </w:tcBorders>
                  <w:vAlign w:val="center"/>
                </w:tcPr>
                <w:p>
                  <w:pPr>
                    <w:pStyle w:val="33"/>
                    <w:bidi w:val="0"/>
                    <w:rPr>
                      <w:rFonts w:hint="eastAsia"/>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319" w:type="pct"/>
                  <w:vMerge w:val="restart"/>
                  <w:tcBorders>
                    <w:tl2br w:val="nil"/>
                    <w:tr2bl w:val="nil"/>
                  </w:tcBorders>
                  <w:vAlign w:val="center"/>
                </w:tcPr>
                <w:p>
                  <w:pPr>
                    <w:pStyle w:val="33"/>
                    <w:bidi w:val="0"/>
                    <w:rPr>
                      <w:rFonts w:hint="eastAsia"/>
                    </w:rPr>
                  </w:pPr>
                  <w:r>
                    <w:rPr>
                      <w:rFonts w:hint="eastAsia"/>
                    </w:rPr>
                    <w:t>管控要求</w:t>
                  </w:r>
                </w:p>
              </w:tc>
              <w:tc>
                <w:tcPr>
                  <w:tcW w:w="254" w:type="pct"/>
                  <w:tcBorders>
                    <w:tl2br w:val="nil"/>
                    <w:tr2bl w:val="nil"/>
                  </w:tcBorders>
                  <w:vAlign w:val="center"/>
                </w:tcPr>
                <w:p>
                  <w:pPr>
                    <w:pStyle w:val="33"/>
                    <w:bidi w:val="0"/>
                    <w:rPr>
                      <w:rFonts w:hint="eastAsia"/>
                    </w:rPr>
                  </w:pPr>
                  <w:r>
                    <w:rPr>
                      <w:rFonts w:hint="eastAsia"/>
                    </w:rPr>
                    <w:t>空间布局约束</w:t>
                  </w:r>
                </w:p>
              </w:tc>
              <w:tc>
                <w:tcPr>
                  <w:tcW w:w="2154" w:type="pct"/>
                  <w:gridSpan w:val="2"/>
                  <w:tcBorders>
                    <w:tl2br w:val="nil"/>
                    <w:tr2bl w:val="nil"/>
                  </w:tcBorders>
                  <w:vAlign w:val="center"/>
                </w:tcPr>
                <w:p>
                  <w:pPr>
                    <w:pStyle w:val="33"/>
                    <w:bidi w:val="0"/>
                    <w:rPr>
                      <w:rFonts w:hint="eastAsia"/>
                    </w:rPr>
                  </w:pPr>
                  <w:r>
                    <w:t>禁止引进能（水）耗不符合相关国家标准中准入值要求，且污染物排放和环境风险防控不符合国家（地方）标准及有关产业准入条件的高污染（排放）、高能（水）耗、高环境风险的工业项目。</w:t>
                  </w:r>
                </w:p>
              </w:tc>
              <w:tc>
                <w:tcPr>
                  <w:tcW w:w="1767" w:type="pct"/>
                  <w:tcBorders>
                    <w:tl2br w:val="nil"/>
                    <w:tr2bl w:val="nil"/>
                  </w:tcBorders>
                  <w:vAlign w:val="center"/>
                </w:tcPr>
                <w:p>
                  <w:pPr>
                    <w:pStyle w:val="33"/>
                    <w:bidi w:val="0"/>
                    <w:rPr>
                      <w:rFonts w:hint="eastAsia"/>
                    </w:rPr>
                  </w:pPr>
                  <w:r>
                    <w:rPr>
                      <w:rFonts w:hint="eastAsia"/>
                      <w:lang w:val="en-US" w:eastAsia="zh-CN"/>
                    </w:rPr>
                    <w:t>本项目行业类别为“D4430热力生产和供应业”，所采用的工艺与设备不属于《产业结构调整指导目录（2024年本）》的鼓励类、限制类和淘汰类。鼓励类、限制类和淘汰类之外的，且符合国家有关法律、法规和政策规定的属于允许类。</w:t>
                  </w:r>
                </w:p>
              </w:tc>
              <w:tc>
                <w:tcPr>
                  <w:tcW w:w="504" w:type="pct"/>
                  <w:tcBorders>
                    <w:tl2br w:val="nil"/>
                    <w:tr2bl w:val="nil"/>
                  </w:tcBorders>
                  <w:vAlign w:val="center"/>
                </w:tcPr>
                <w:p>
                  <w:pPr>
                    <w:pStyle w:val="33"/>
                    <w:bidi w:val="0"/>
                    <w:rPr>
                      <w:rFonts w:hint="eastAsia"/>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319" w:type="pct"/>
                  <w:vMerge w:val="continue"/>
                  <w:tcBorders>
                    <w:tl2br w:val="nil"/>
                    <w:tr2bl w:val="nil"/>
                  </w:tcBorders>
                  <w:vAlign w:val="center"/>
                </w:tcPr>
                <w:p>
                  <w:pPr>
                    <w:pStyle w:val="33"/>
                    <w:bidi w:val="0"/>
                    <w:rPr>
                      <w:rFonts w:hint="eastAsia"/>
                    </w:rPr>
                  </w:pPr>
                </w:p>
              </w:tc>
              <w:tc>
                <w:tcPr>
                  <w:tcW w:w="254" w:type="pct"/>
                  <w:tcBorders>
                    <w:tl2br w:val="nil"/>
                    <w:tr2bl w:val="nil"/>
                  </w:tcBorders>
                  <w:vAlign w:val="center"/>
                </w:tcPr>
                <w:p>
                  <w:pPr>
                    <w:pStyle w:val="33"/>
                    <w:bidi w:val="0"/>
                    <w:rPr>
                      <w:rFonts w:hint="eastAsia"/>
                    </w:rPr>
                  </w:pPr>
                  <w:r>
                    <w:rPr>
                      <w:rFonts w:hint="eastAsia"/>
                    </w:rPr>
                    <w:t>污染物排放管控</w:t>
                  </w:r>
                </w:p>
              </w:tc>
              <w:tc>
                <w:tcPr>
                  <w:tcW w:w="2154" w:type="pct"/>
                  <w:gridSpan w:val="2"/>
                  <w:tcBorders>
                    <w:tl2br w:val="nil"/>
                    <w:tr2bl w:val="nil"/>
                  </w:tcBorders>
                  <w:vAlign w:val="center"/>
                </w:tcPr>
                <w:p>
                  <w:pPr>
                    <w:pStyle w:val="33"/>
                    <w:bidi w:val="0"/>
                  </w:pPr>
                  <w:r>
                    <w:t>1.大气排放污染物的企业事业单位和其他生产经营者应当履行大气污染防治的法定义务，执行大气污染物排放标准，遵守大气污染物排放总量控制要求。</w:t>
                  </w:r>
                </w:p>
                <w:p>
                  <w:pPr>
                    <w:pStyle w:val="33"/>
                    <w:bidi w:val="0"/>
                  </w:pPr>
                  <w:r>
                    <w:t>2.实施挥发性有机物及恶臭治理。加快石化企业脱硫以及动力车间脱硫、脱硝工作，加强罐区油气治理、装卸储运油气回收以及工艺废气挥发性有机物治理、恶臭治理。积极推进陶瓷、玻璃、砖瓦等建材行业二氧化硫、烟粉尘控制。在石化、有机化工、煤化工等重点行业开展挥发性有机物综合治理，在石化行业开展“泄漏检测与修复”技术改造。建立挥发性有机物重点监管企业名录。积极推进加油站、储油库和油罐车开展油气回收，完成所有加油站、储油库和油罐车油气回收治理。</w:t>
                  </w:r>
                </w:p>
                <w:p>
                  <w:pPr>
                    <w:pStyle w:val="33"/>
                    <w:bidi w:val="0"/>
                    <w:rPr>
                      <w:rFonts w:hint="eastAsia"/>
                    </w:rPr>
                  </w:pPr>
                  <w:r>
                    <w:t>3.防治地下水污染。石化生产存贮销售企业和工业园区等区域应进行必要的防渗处理。加油站地下油罐全部更新为双层罐或完成防渗池设置。</w:t>
                  </w:r>
                </w:p>
              </w:tc>
              <w:tc>
                <w:tcPr>
                  <w:tcW w:w="1767" w:type="pct"/>
                  <w:tcBorders>
                    <w:tl2br w:val="nil"/>
                    <w:tr2bl w:val="nil"/>
                  </w:tcBorders>
                  <w:vAlign w:val="center"/>
                </w:tcPr>
                <w:p>
                  <w:pPr>
                    <w:pStyle w:val="33"/>
                    <w:bidi w:val="0"/>
                    <w:rPr>
                      <w:rFonts w:hint="default"/>
                      <w:lang w:val="en-US"/>
                    </w:rPr>
                  </w:pPr>
                  <w:r>
                    <w:rPr>
                      <w:rFonts w:hint="eastAsia"/>
                      <w:lang w:val="en-US" w:eastAsia="zh-CN"/>
                    </w:rPr>
                    <w:t>本项目</w:t>
                  </w:r>
                  <w:r>
                    <w:rPr>
                      <w:rFonts w:hint="eastAsia"/>
                    </w:rPr>
                    <w:t>使用清洁能源天然气作为燃料，</w:t>
                  </w:r>
                  <w:r>
                    <w:rPr>
                      <w:rFonts w:hint="eastAsia"/>
                      <w:lang w:val="en-US" w:eastAsia="zh-CN"/>
                    </w:rPr>
                    <w:t>加装</w:t>
                  </w:r>
                  <w:r>
                    <w:rPr>
                      <w:rFonts w:hint="eastAsia"/>
                    </w:rPr>
                    <w:t>低氮燃烧器，</w:t>
                  </w:r>
                  <w:r>
                    <w:rPr>
                      <w:rFonts w:hint="eastAsia"/>
                      <w:lang w:val="en-US" w:eastAsia="zh-CN"/>
                    </w:rPr>
                    <w:t>锅炉</w:t>
                  </w:r>
                  <w:r>
                    <w:rPr>
                      <w:rFonts w:hint="eastAsia"/>
                    </w:rPr>
                    <w:t>烟气通过</w:t>
                  </w:r>
                  <w:r>
                    <w:rPr>
                      <w:rFonts w:hint="eastAsia"/>
                      <w:lang w:val="en-US" w:eastAsia="zh-CN"/>
                    </w:rPr>
                    <w:t>1根16</w:t>
                  </w:r>
                  <w:r>
                    <w:rPr>
                      <w:rFonts w:hint="eastAsia"/>
                    </w:rPr>
                    <w:t>m高排气筒</w:t>
                  </w:r>
                  <w:r>
                    <w:rPr>
                      <w:rFonts w:hint="eastAsia"/>
                      <w:lang w:val="en-US" w:eastAsia="zh-CN"/>
                    </w:rPr>
                    <w:t>达标</w:t>
                  </w:r>
                  <w:r>
                    <w:rPr>
                      <w:rFonts w:hint="eastAsia"/>
                    </w:rPr>
                    <w:t>排放</w:t>
                  </w:r>
                  <w:r>
                    <w:rPr>
                      <w:rFonts w:hint="eastAsia"/>
                      <w:lang w:eastAsia="zh-CN"/>
                    </w:rPr>
                    <w:t>；</w:t>
                  </w:r>
                  <w:r>
                    <w:rPr>
                      <w:rFonts w:hint="eastAsia" w:cs="Times New Roman"/>
                      <w:snapToGrid w:val="0"/>
                      <w:lang w:val="en-US" w:eastAsia="zh-CN"/>
                    </w:rPr>
                    <w:t>本项目产生的废水主要包括锅炉废水和锅炉软化水装置产生的浓水，</w:t>
                  </w:r>
                  <w:r>
                    <w:rPr>
                      <w:rFonts w:hint="eastAsia"/>
                      <w:kern w:val="0"/>
                      <w:szCs w:val="21"/>
                    </w:rPr>
                    <w:t>排入园区污水管网，进入园区污水处理厂进一步处置</w:t>
                  </w:r>
                  <w:r>
                    <w:rPr>
                      <w:rFonts w:hint="eastAsia" w:cs="Times New Roman"/>
                      <w:snapToGrid w:val="0"/>
                      <w:lang w:val="en-US" w:eastAsia="zh-CN"/>
                    </w:rPr>
                    <w:t>。本项目不使用或产生有毒有害化学品，固体废物不在厂区内暂存。因此，正常情况下营运期锅炉房采取严格的防渗漏措施，不会对土壤造成地面漫流、垂直入渗影响，对地下水环境影响较小。本项目</w:t>
                  </w:r>
                  <w:r>
                    <w:rPr>
                      <w:rFonts w:hint="eastAsia"/>
                      <w:lang w:val="en-US" w:eastAsia="zh-CN"/>
                    </w:rPr>
                    <w:t>不产生挥发性有机物和恶臭，锅炉房地面进行一般防渗。</w:t>
                  </w:r>
                </w:p>
              </w:tc>
              <w:tc>
                <w:tcPr>
                  <w:tcW w:w="504" w:type="pct"/>
                  <w:tcBorders>
                    <w:tl2br w:val="nil"/>
                    <w:tr2bl w:val="nil"/>
                  </w:tcBorders>
                  <w:vAlign w:val="center"/>
                </w:tcPr>
                <w:p>
                  <w:pPr>
                    <w:pStyle w:val="33"/>
                    <w:bidi w:val="0"/>
                    <w:rPr>
                      <w:rFonts w:hint="eastAsia"/>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319" w:type="pct"/>
                  <w:vMerge w:val="continue"/>
                  <w:tcBorders>
                    <w:tl2br w:val="nil"/>
                    <w:tr2bl w:val="nil"/>
                  </w:tcBorders>
                  <w:vAlign w:val="center"/>
                </w:tcPr>
                <w:p>
                  <w:pPr>
                    <w:pStyle w:val="33"/>
                    <w:bidi w:val="0"/>
                    <w:rPr>
                      <w:rFonts w:hint="eastAsia"/>
                    </w:rPr>
                  </w:pPr>
                </w:p>
              </w:tc>
              <w:tc>
                <w:tcPr>
                  <w:tcW w:w="254" w:type="pct"/>
                  <w:tcBorders>
                    <w:tl2br w:val="nil"/>
                    <w:tr2bl w:val="nil"/>
                  </w:tcBorders>
                  <w:shd w:val="clear" w:color="auto" w:fill="auto"/>
                  <w:vAlign w:val="center"/>
                </w:tcPr>
                <w:p>
                  <w:pPr>
                    <w:pStyle w:val="33"/>
                    <w:bidi w:val="0"/>
                    <w:rPr>
                      <w:rFonts w:hint="eastAsia"/>
                    </w:rPr>
                  </w:pPr>
                  <w:r>
                    <w:rPr>
                      <w:rFonts w:hint="eastAsia"/>
                    </w:rPr>
                    <w:t>环境风险防控</w:t>
                  </w:r>
                </w:p>
              </w:tc>
              <w:tc>
                <w:tcPr>
                  <w:tcW w:w="2154" w:type="pct"/>
                  <w:gridSpan w:val="2"/>
                  <w:tcBorders>
                    <w:tl2br w:val="nil"/>
                    <w:tr2bl w:val="nil"/>
                  </w:tcBorders>
                  <w:shd w:val="clear" w:color="auto" w:fill="auto"/>
                  <w:vAlign w:val="center"/>
                </w:tcPr>
                <w:p>
                  <w:pPr>
                    <w:pStyle w:val="33"/>
                    <w:bidi w:val="0"/>
                    <w:jc w:val="both"/>
                  </w:pPr>
                  <w:r>
                    <w:t>1.定期评估地下水环境安全隐患，检查重点工业企业周边地下水污染状况，并定期公布污染地下水的企业名单。公布环境风险大、严重影响公众健康的地下水污染场地清单，开展修复试点。</w:t>
                  </w:r>
                </w:p>
                <w:p>
                  <w:pPr>
                    <w:pStyle w:val="33"/>
                    <w:bidi w:val="0"/>
                  </w:pPr>
                  <w:r>
                    <w:t>2.重点排污单位应当根据所在地重污染天气应急预案，编制本单位重污染天气应急响应方案。</w:t>
                  </w:r>
                </w:p>
                <w:p>
                  <w:pPr>
                    <w:pStyle w:val="33"/>
                    <w:bidi w:val="0"/>
                    <w:rPr>
                      <w:rFonts w:hint="eastAsia"/>
                    </w:rPr>
                  </w:pPr>
                  <w:r>
                    <w:t>3.土壤环境重点监管企业全部纳入监督性环境监测范围，重点监测污染物为镉、</w:t>
                  </w:r>
                  <w:r>
                    <w:rPr>
                      <w:rFonts w:hint="default"/>
                      <w:lang w:val="en-US" w:eastAsia="zh-CN"/>
                    </w:rPr>
                    <w:t>汞、</w:t>
                  </w:r>
                  <w:r>
                    <w:rPr>
                      <w:rFonts w:hint="eastAsia"/>
                      <w:lang w:val="en-US" w:eastAsia="zh-CN"/>
                    </w:rPr>
                    <w:t>砷</w:t>
                  </w:r>
                  <w:r>
                    <w:rPr>
                      <w:rFonts w:hint="default"/>
                      <w:lang w:val="en-US" w:eastAsia="zh-CN"/>
                    </w:rPr>
                    <w:t>、铅、</w:t>
                  </w:r>
                  <w:r>
                    <w:rPr>
                      <w:rFonts w:hint="eastAsia"/>
                      <w:lang w:val="en-US" w:eastAsia="zh-CN"/>
                    </w:rPr>
                    <w:t>铬</w:t>
                  </w:r>
                  <w:r>
                    <w:t>等重金属和多环芳烃、石油类等有机污染物。土壤环境监管重点行业企业拆除生产设施设备、构筑物和污染治理设施，要事先制定残留污染物清理和安全处置方案，并报所在地环境保护、工业和信息化部门备案；要严格按照有关规定实施安全处理处置，防范拆除活动污染土壤。</w:t>
                  </w:r>
                </w:p>
              </w:tc>
              <w:tc>
                <w:tcPr>
                  <w:tcW w:w="1767" w:type="pct"/>
                  <w:tcBorders>
                    <w:tl2br w:val="nil"/>
                    <w:tr2bl w:val="nil"/>
                  </w:tcBorders>
                  <w:vAlign w:val="center"/>
                </w:tcPr>
                <w:p>
                  <w:pPr>
                    <w:pStyle w:val="33"/>
                    <w:bidi w:val="0"/>
                    <w:rPr>
                      <w:rFonts w:hint="eastAsia"/>
                    </w:rPr>
                  </w:pPr>
                  <w:r>
                    <w:rPr>
                      <w:rFonts w:hint="eastAsia" w:cs="Times New Roman"/>
                      <w:snapToGrid w:val="0"/>
                      <w:lang w:val="en-US" w:eastAsia="zh-CN"/>
                    </w:rPr>
                    <w:t>本项目产生的废水主要包括锅炉废水和锅炉软化水装置产生的浓水，</w:t>
                  </w:r>
                  <w:r>
                    <w:rPr>
                      <w:rFonts w:hint="eastAsia"/>
                      <w:kern w:val="0"/>
                      <w:szCs w:val="21"/>
                    </w:rPr>
                    <w:t>排入园区污水管网，进入园区污水处理厂进一步处置</w:t>
                  </w:r>
                  <w:r>
                    <w:rPr>
                      <w:rFonts w:hint="eastAsia" w:cs="Times New Roman"/>
                      <w:snapToGrid w:val="0"/>
                      <w:lang w:val="en-US" w:eastAsia="zh-CN"/>
                    </w:rPr>
                    <w:t>。本项目不使用或产生有毒有害化学品，固体废物不在厂区内暂存。因此，正常情况下营运期锅炉房采取严格的防渗漏措施，不会对土壤造成地面漫流、垂直入渗影响，对土壤、地下水环境影响较小。</w:t>
                  </w:r>
                  <w:r>
                    <w:rPr>
                      <w:rFonts w:hint="eastAsia" w:cs="Times New Roman"/>
                      <w:color w:val="000000" w:themeColor="text1"/>
                      <w:szCs w:val="24"/>
                      <w:lang w:eastAsia="zh-CN"/>
                      <w14:textFill>
                        <w14:solidFill>
                          <w14:schemeClr w14:val="tx1"/>
                        </w14:solidFill>
                      </w14:textFill>
                    </w:rPr>
                    <w:t>巴州鸿源石油装备器材有限公司</w:t>
                  </w:r>
                  <w:r>
                    <w:rPr>
                      <w:rFonts w:hint="eastAsia"/>
                      <w:lang w:val="en-US" w:eastAsia="zh-CN"/>
                    </w:rPr>
                    <w:t>已编制突发环境事件应急预案，建议</w:t>
                  </w:r>
                  <w:r>
                    <w:rPr>
                      <w:rFonts w:cs="Times New Roman"/>
                      <w:snapToGrid w:val="0"/>
                    </w:rPr>
                    <w:t>根据今后实际生产情况结合本报告中提出的事故应急预案，</w:t>
                  </w:r>
                  <w:r>
                    <w:rPr>
                      <w:rFonts w:hint="eastAsia" w:cs="Times New Roman"/>
                      <w:snapToGrid w:val="0"/>
                      <w:lang w:val="en-US" w:eastAsia="zh-CN"/>
                    </w:rPr>
                    <w:t>及时修编。</w:t>
                  </w:r>
                </w:p>
              </w:tc>
              <w:tc>
                <w:tcPr>
                  <w:tcW w:w="504" w:type="pct"/>
                  <w:tcBorders>
                    <w:tl2br w:val="nil"/>
                    <w:tr2bl w:val="nil"/>
                  </w:tcBorders>
                  <w:vAlign w:val="center"/>
                </w:tcPr>
                <w:p>
                  <w:pPr>
                    <w:pStyle w:val="33"/>
                    <w:bidi w:val="0"/>
                    <w:rPr>
                      <w:rFonts w:hint="eastAsia"/>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319" w:type="pct"/>
                  <w:vMerge w:val="continue"/>
                  <w:tcBorders>
                    <w:tl2br w:val="nil"/>
                    <w:tr2bl w:val="nil"/>
                  </w:tcBorders>
                  <w:vAlign w:val="center"/>
                </w:tcPr>
                <w:p>
                  <w:pPr>
                    <w:pStyle w:val="33"/>
                    <w:bidi w:val="0"/>
                    <w:rPr>
                      <w:rFonts w:hint="eastAsia"/>
                    </w:rPr>
                  </w:pPr>
                </w:p>
              </w:tc>
              <w:tc>
                <w:tcPr>
                  <w:tcW w:w="254" w:type="pct"/>
                  <w:tcBorders>
                    <w:tl2br w:val="nil"/>
                    <w:tr2bl w:val="nil"/>
                  </w:tcBorders>
                  <w:vAlign w:val="center"/>
                </w:tcPr>
                <w:p>
                  <w:pPr>
                    <w:pStyle w:val="33"/>
                    <w:bidi w:val="0"/>
                    <w:rPr>
                      <w:rFonts w:hint="eastAsia"/>
                    </w:rPr>
                  </w:pPr>
                  <w:r>
                    <w:rPr>
                      <w:rFonts w:hint="eastAsia"/>
                    </w:rPr>
                    <w:t>资源利用效率</w:t>
                  </w:r>
                </w:p>
              </w:tc>
              <w:tc>
                <w:tcPr>
                  <w:tcW w:w="2154" w:type="pct"/>
                  <w:gridSpan w:val="2"/>
                  <w:tcBorders>
                    <w:tl2br w:val="nil"/>
                    <w:tr2bl w:val="nil"/>
                  </w:tcBorders>
                  <w:vAlign w:val="center"/>
                </w:tcPr>
                <w:p>
                  <w:pPr>
                    <w:pStyle w:val="33"/>
                    <w:bidi w:val="0"/>
                    <w:rPr>
                      <w:rFonts w:hint="eastAsia"/>
                    </w:rPr>
                  </w:pPr>
                  <w:r>
                    <w:t>强化工业水循环利用。推进加强洗煤废水循环利用。在高耗水行业开展试点示范，筛选具有明显经济效益的节水治污技术。鼓励纺织印染、石油石化、煤化工等高耗水企业废水深度处理回用。具备使用再生水条件但未充分利用的项目，不得批准其新增取水许可。</w:t>
                  </w:r>
                </w:p>
              </w:tc>
              <w:tc>
                <w:tcPr>
                  <w:tcW w:w="1767" w:type="pct"/>
                  <w:tcBorders>
                    <w:tl2br w:val="nil"/>
                    <w:tr2bl w:val="nil"/>
                  </w:tcBorders>
                  <w:vAlign w:val="center"/>
                </w:tcPr>
                <w:p>
                  <w:pPr>
                    <w:pStyle w:val="33"/>
                    <w:bidi w:val="0"/>
                    <w:rPr>
                      <w:rFonts w:hint="default" w:cs="Times New Roman"/>
                      <w:snapToGrid w:val="0"/>
                      <w:lang w:val="en-US" w:eastAsia="zh-CN"/>
                    </w:rPr>
                  </w:pPr>
                  <w:r>
                    <w:rPr>
                      <w:rFonts w:hint="eastAsia" w:cs="Times New Roman"/>
                      <w:snapToGrid w:val="0"/>
                      <w:lang w:val="en-US" w:eastAsia="zh-CN"/>
                    </w:rPr>
                    <w:t>本项目产生的废水主要包括锅炉废水和锅炉软化水装置产生的浓水，</w:t>
                  </w:r>
                  <w:r>
                    <w:rPr>
                      <w:rFonts w:hint="eastAsia"/>
                      <w:kern w:val="0"/>
                      <w:szCs w:val="21"/>
                    </w:rPr>
                    <w:t>排入园区污水管网，进入园区污水处理厂进一步处置</w:t>
                  </w:r>
                  <w:r>
                    <w:rPr>
                      <w:rFonts w:hint="eastAsia" w:cs="Times New Roman"/>
                      <w:snapToGrid w:val="0"/>
                      <w:lang w:val="en-US" w:eastAsia="zh-CN"/>
                    </w:rPr>
                    <w:t>。</w:t>
                  </w:r>
                </w:p>
              </w:tc>
              <w:tc>
                <w:tcPr>
                  <w:tcW w:w="504" w:type="pct"/>
                  <w:tcBorders>
                    <w:tl2br w:val="nil"/>
                    <w:tr2bl w:val="nil"/>
                  </w:tcBorders>
                  <w:vAlign w:val="center"/>
                </w:tcPr>
                <w:p>
                  <w:pPr>
                    <w:pStyle w:val="33"/>
                    <w:bidi w:val="0"/>
                    <w:rPr>
                      <w:rFonts w:hint="eastAsia"/>
                    </w:rPr>
                  </w:pPr>
                  <w:r>
                    <w:rPr>
                      <w:rFonts w:hint="eastAsia"/>
                    </w:rPr>
                    <w:t>符合</w:t>
                  </w:r>
                </w:p>
              </w:tc>
            </w:tr>
            <w:bookmarkEnd w:id="2"/>
          </w:tbl>
          <w:p>
            <w:pPr>
              <w:ind w:firstLine="198" w:firstLineChars="82"/>
              <w:rPr>
                <w:b/>
                <w:color w:val="000000" w:themeColor="text1"/>
                <w:szCs w:val="21"/>
                <w14:textFill>
                  <w14:solidFill>
                    <w14:schemeClr w14:val="tx1"/>
                  </w14:solidFill>
                </w14:textFill>
              </w:rPr>
            </w:pPr>
            <w:bookmarkStart w:id="3" w:name="_Hlk97287333"/>
            <w:r>
              <w:rPr>
                <w:b/>
                <w:color w:val="000000" w:themeColor="text1"/>
                <w:szCs w:val="21"/>
                <w14:textFill>
                  <w14:solidFill>
                    <w14:schemeClr w14:val="tx1"/>
                  </w14:solidFill>
                </w14:textFill>
              </w:rPr>
              <w:t>5</w:t>
            </w:r>
            <w:r>
              <w:rPr>
                <w:rFonts w:hint="eastAsia"/>
                <w:b/>
                <w:color w:val="000000" w:themeColor="text1"/>
                <w:szCs w:val="21"/>
                <w14:textFill>
                  <w14:solidFill>
                    <w14:schemeClr w14:val="tx1"/>
                  </w14:solidFill>
                </w14:textFill>
              </w:rPr>
              <w:t>、其他符合性</w:t>
            </w:r>
            <w:r>
              <w:rPr>
                <w:b/>
                <w:color w:val="000000" w:themeColor="text1"/>
                <w:szCs w:val="21"/>
                <w14:textFill>
                  <w14:solidFill>
                    <w14:schemeClr w14:val="tx1"/>
                  </w14:solidFill>
                </w14:textFill>
              </w:rPr>
              <w:t>分析</w:t>
            </w:r>
          </w:p>
          <w:p>
            <w:pPr>
              <w:pStyle w:val="34"/>
              <w:bidi w:val="0"/>
            </w:pPr>
            <w:r>
              <w:rPr>
                <w:rFonts w:hint="eastAsia"/>
              </w:rPr>
              <w:t>表1</w:t>
            </w:r>
            <w:r>
              <w:t>-</w:t>
            </w:r>
            <w:r>
              <w:rPr>
                <w:rFonts w:hint="eastAsia"/>
                <w:lang w:val="en-US" w:eastAsia="zh-CN"/>
              </w:rPr>
              <w:t>5</w:t>
            </w:r>
            <w:r>
              <w:t xml:space="preserve">  </w:t>
            </w:r>
            <w:r>
              <w:rPr>
                <w:rFonts w:hint="eastAsia"/>
              </w:rPr>
              <w:t>其他符合性分析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1"/>
              <w:gridCol w:w="3066"/>
              <w:gridCol w:w="1901"/>
              <w:gridCol w:w="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20" w:type="pct"/>
                  <w:vAlign w:val="center"/>
                </w:tcPr>
                <w:p>
                  <w:pPr>
                    <w:pStyle w:val="33"/>
                    <w:bidi w:val="0"/>
                  </w:pPr>
                  <w:bookmarkStart w:id="4" w:name="_Hlk97245357"/>
                  <w:r>
                    <w:rPr>
                      <w:rFonts w:hint="eastAsia"/>
                    </w:rPr>
                    <w:t>规划</w:t>
                  </w:r>
                </w:p>
              </w:tc>
              <w:tc>
                <w:tcPr>
                  <w:tcW w:w="2153" w:type="pct"/>
                  <w:vAlign w:val="center"/>
                </w:tcPr>
                <w:p>
                  <w:pPr>
                    <w:pStyle w:val="33"/>
                    <w:bidi w:val="0"/>
                  </w:pPr>
                  <w:r>
                    <w:rPr>
                      <w:rFonts w:hint="eastAsia"/>
                    </w:rPr>
                    <w:t>规划要求</w:t>
                  </w:r>
                </w:p>
              </w:tc>
              <w:tc>
                <w:tcPr>
                  <w:tcW w:w="1335" w:type="pct"/>
                  <w:vAlign w:val="center"/>
                </w:tcPr>
                <w:p>
                  <w:pPr>
                    <w:pStyle w:val="33"/>
                    <w:bidi w:val="0"/>
                  </w:pPr>
                  <w:r>
                    <w:rPr>
                      <w:rFonts w:hint="eastAsia"/>
                    </w:rPr>
                    <w:t>本项目情况</w:t>
                  </w:r>
                </w:p>
              </w:tc>
              <w:tc>
                <w:tcPr>
                  <w:tcW w:w="590" w:type="pct"/>
                  <w:vAlign w:val="center"/>
                </w:tcPr>
                <w:p>
                  <w:pPr>
                    <w:pStyle w:val="33"/>
                    <w:bidi w:val="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20" w:type="pct"/>
                  <w:vAlign w:val="center"/>
                </w:tcPr>
                <w:p>
                  <w:pPr>
                    <w:pStyle w:val="33"/>
                    <w:bidi w:val="0"/>
                  </w:pPr>
                  <w:r>
                    <w:t>《自治州大气污染防治三年攻坚行动方案（2023－2025年）》</w:t>
                  </w:r>
                </w:p>
              </w:tc>
              <w:tc>
                <w:tcPr>
                  <w:tcW w:w="2153" w:type="pct"/>
                  <w:vAlign w:val="center"/>
                </w:tcPr>
                <w:p>
                  <w:pPr>
                    <w:pStyle w:val="33"/>
                    <w:bidi w:val="0"/>
                  </w:pPr>
                  <w:r>
                    <w:rPr>
                      <w:rFonts w:hint="eastAsia"/>
                      <w:lang w:val="en-US" w:eastAsia="zh-CN"/>
                    </w:rPr>
                    <w:t>加大燃煤锅炉污染治理，确保脱硫脱硝除尘设施运行正常，实现大气污染物稳定达标排放。</w:t>
                  </w:r>
                  <w:r>
                    <w:rPr>
                      <w:rFonts w:hint="default"/>
                      <w:lang w:val="en-US" w:eastAsia="zh-CN"/>
                    </w:rPr>
                    <w:t>2023</w:t>
                  </w:r>
                  <w:r>
                    <w:rPr>
                      <w:rFonts w:hint="eastAsia"/>
                      <w:lang w:val="en-US" w:eastAsia="zh-CN"/>
                    </w:rPr>
                    <w:t>年，全面淘汰县级建成区</w:t>
                  </w:r>
                  <w:r>
                    <w:rPr>
                      <w:rFonts w:hint="default"/>
                      <w:lang w:val="en-US" w:eastAsia="zh-CN"/>
                    </w:rPr>
                    <w:t>35</w:t>
                  </w:r>
                  <w:r>
                    <w:rPr>
                      <w:rFonts w:hint="eastAsia"/>
                      <w:lang w:val="en-US" w:eastAsia="zh-CN"/>
                    </w:rPr>
                    <w:t>蒸吨</w:t>
                  </w:r>
                  <w:r>
                    <w:rPr>
                      <w:rFonts w:hint="default"/>
                      <w:lang w:val="en-US" w:eastAsia="zh-CN"/>
                    </w:rPr>
                    <w:t>/</w:t>
                  </w:r>
                  <w:r>
                    <w:rPr>
                      <w:rFonts w:hint="eastAsia"/>
                      <w:lang w:val="en-US" w:eastAsia="zh-CN"/>
                    </w:rPr>
                    <w:t>小时及以下燃煤锅炉。实施</w:t>
                  </w:r>
                  <w:r>
                    <w:rPr>
                      <w:rFonts w:hint="default"/>
                      <w:lang w:val="en-US" w:eastAsia="zh-CN"/>
                    </w:rPr>
                    <w:t>65</w:t>
                  </w:r>
                  <w:r>
                    <w:rPr>
                      <w:rFonts w:hint="eastAsia"/>
                      <w:lang w:val="en-US" w:eastAsia="zh-CN"/>
                    </w:rPr>
                    <w:t>蒸吨／小时及以上燃煤锅炉超低排放改造，</w:t>
                  </w:r>
                  <w:r>
                    <w:rPr>
                      <w:rFonts w:hint="default"/>
                      <w:lang w:val="en-US" w:eastAsia="zh-CN"/>
                    </w:rPr>
                    <w:t>2023</w:t>
                  </w:r>
                  <w:r>
                    <w:rPr>
                      <w:rFonts w:hint="eastAsia"/>
                      <w:lang w:val="en-US" w:eastAsia="zh-CN"/>
                    </w:rPr>
                    <w:t>年改造完成</w:t>
                  </w:r>
                  <w:r>
                    <w:rPr>
                      <w:rFonts w:hint="default"/>
                      <w:lang w:val="en-US" w:eastAsia="zh-CN"/>
                    </w:rPr>
                    <w:t>11</w:t>
                  </w:r>
                  <w:r>
                    <w:rPr>
                      <w:rFonts w:hint="eastAsia"/>
                      <w:lang w:val="en-US" w:eastAsia="zh-CN"/>
                    </w:rPr>
                    <w:t>台，</w:t>
                  </w:r>
                  <w:r>
                    <w:rPr>
                      <w:rFonts w:hint="default"/>
                      <w:lang w:val="en-US" w:eastAsia="zh-CN"/>
                    </w:rPr>
                    <w:t>2024</w:t>
                  </w:r>
                  <w:r>
                    <w:rPr>
                      <w:rFonts w:hint="eastAsia"/>
                      <w:lang w:val="en-US" w:eastAsia="zh-CN"/>
                    </w:rPr>
                    <w:t>年</w:t>
                  </w:r>
                  <w:r>
                    <w:rPr>
                      <w:rFonts w:hint="default"/>
                      <w:lang w:val="en-US" w:eastAsia="zh-CN"/>
                    </w:rPr>
                    <w:t>8</w:t>
                  </w:r>
                  <w:r>
                    <w:rPr>
                      <w:rFonts w:hint="eastAsia"/>
                      <w:lang w:val="en-US" w:eastAsia="zh-CN"/>
                    </w:rPr>
                    <w:t>台，</w:t>
                  </w:r>
                  <w:r>
                    <w:rPr>
                      <w:rFonts w:hint="default"/>
                      <w:lang w:val="en-US" w:eastAsia="zh-CN"/>
                    </w:rPr>
                    <w:t>2025</w:t>
                  </w:r>
                  <w:r>
                    <w:rPr>
                      <w:rFonts w:hint="eastAsia"/>
                      <w:lang w:val="en-US" w:eastAsia="zh-CN"/>
                    </w:rPr>
                    <w:t>年</w:t>
                  </w:r>
                  <w:r>
                    <w:rPr>
                      <w:rFonts w:hint="default"/>
                      <w:lang w:val="en-US" w:eastAsia="zh-CN"/>
                    </w:rPr>
                    <w:t>6</w:t>
                  </w:r>
                  <w:r>
                    <w:rPr>
                      <w:rFonts w:hint="eastAsia"/>
                      <w:lang w:val="en-US" w:eastAsia="zh-CN"/>
                    </w:rPr>
                    <w:t>台。推进燃气锅炉低氮燃烧改造，</w:t>
                  </w:r>
                  <w:r>
                    <w:rPr>
                      <w:rFonts w:hint="default"/>
                      <w:lang w:val="en-US" w:eastAsia="zh-CN"/>
                    </w:rPr>
                    <w:t>2023</w:t>
                  </w:r>
                  <w:r>
                    <w:rPr>
                      <w:rFonts w:hint="eastAsia"/>
                      <w:lang w:val="en-US" w:eastAsia="zh-CN"/>
                    </w:rPr>
                    <w:t>年，库尔勒市、尉犁县、库尔勒经济技术开发区和中石油、中石化等国企全部完成改造，其他县至少完成</w:t>
                  </w:r>
                  <w:r>
                    <w:rPr>
                      <w:rFonts w:hint="default"/>
                      <w:lang w:val="en-US" w:eastAsia="zh-CN"/>
                    </w:rPr>
                    <w:t>60%</w:t>
                  </w:r>
                  <w:r>
                    <w:rPr>
                      <w:rFonts w:hint="eastAsia"/>
                      <w:lang w:val="en-US" w:eastAsia="zh-CN"/>
                    </w:rPr>
                    <w:t>；</w:t>
                  </w:r>
                  <w:r>
                    <w:rPr>
                      <w:rFonts w:hint="default"/>
                      <w:lang w:val="en-US" w:eastAsia="zh-CN"/>
                    </w:rPr>
                    <w:t>2024</w:t>
                  </w:r>
                  <w:r>
                    <w:rPr>
                      <w:rFonts w:hint="eastAsia"/>
                      <w:lang w:val="en-US" w:eastAsia="zh-CN"/>
                    </w:rPr>
                    <w:t>年，各县全部完成改造。</w:t>
                  </w:r>
                </w:p>
              </w:tc>
              <w:tc>
                <w:tcPr>
                  <w:tcW w:w="1335" w:type="pct"/>
                  <w:vAlign w:val="center"/>
                </w:tcPr>
                <w:p>
                  <w:pPr>
                    <w:pStyle w:val="33"/>
                    <w:bidi w:val="0"/>
                  </w:pPr>
                  <w:r>
                    <w:rPr>
                      <w:rFonts w:hint="eastAsia"/>
                      <w:lang w:val="en-US" w:eastAsia="zh-CN"/>
                    </w:rPr>
                    <w:t>本项目建设1台4.2MW燃气常压热水锅炉，用于办公生活区冬季供暖，采用</w:t>
                  </w:r>
                  <w:r>
                    <w:rPr>
                      <w:rFonts w:hint="eastAsia"/>
                    </w:rPr>
                    <w:t>清洁能源天然气作为燃料</w:t>
                  </w:r>
                  <w:r>
                    <w:rPr>
                      <w:rFonts w:hint="eastAsia"/>
                      <w:lang w:val="en-US" w:eastAsia="zh-CN"/>
                    </w:rPr>
                    <w:t>，加装低氮燃烧器。</w:t>
                  </w:r>
                </w:p>
              </w:tc>
              <w:tc>
                <w:tcPr>
                  <w:tcW w:w="590" w:type="pct"/>
                  <w:vAlign w:val="center"/>
                </w:tcPr>
                <w:p>
                  <w:pPr>
                    <w:pStyle w:val="33"/>
                    <w:bidi w:val="0"/>
                    <w:rPr>
                      <w:rFonts w:hint="eastAsia"/>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20" w:type="pct"/>
                  <w:vAlign w:val="center"/>
                </w:tcPr>
                <w:p>
                  <w:pPr>
                    <w:pStyle w:val="33"/>
                    <w:bidi w:val="0"/>
                    <w:rPr>
                      <w:rFonts w:hint="eastAsia"/>
                    </w:rPr>
                  </w:pPr>
                  <w:r>
                    <w:rPr>
                      <w:rFonts w:hint="eastAsia"/>
                    </w:rPr>
                    <w:t>《新疆维吾尔自治区大气污染防治条例》</w:t>
                  </w:r>
                </w:p>
              </w:tc>
              <w:tc>
                <w:tcPr>
                  <w:tcW w:w="2153" w:type="pct"/>
                  <w:vAlign w:val="center"/>
                </w:tcPr>
                <w:p>
                  <w:pPr>
                    <w:pStyle w:val="33"/>
                    <w:bidi w:val="0"/>
                    <w:rPr>
                      <w:rFonts w:hint="eastAsia"/>
                    </w:rPr>
                  </w:pPr>
                  <w:r>
                    <w:rPr>
                      <w:rFonts w:hint="eastAsia"/>
                      <w:lang w:val="en-US" w:eastAsia="zh-CN"/>
                    </w:rPr>
                    <w:t>推进城市建成区、工业园区实行集中供热，使用清洁燃料。在集中供热管网覆盖区域内，禁止新建、改建、扩建燃煤供热锅炉，集中供热管网覆盖前，已建成使用的燃煤供热锅炉应当限期停止使用。在集中供热未覆盖的区域，鼓励使用清洁能源替代，推广使用高效节能环保型锅炉。城市人民政府应当限期淘汰不符合国家和自治区规定规模的燃煤锅炉。</w:t>
                  </w:r>
                </w:p>
              </w:tc>
              <w:tc>
                <w:tcPr>
                  <w:tcW w:w="1335" w:type="pct"/>
                  <w:vAlign w:val="center"/>
                </w:tcPr>
                <w:p>
                  <w:pPr>
                    <w:pStyle w:val="33"/>
                    <w:bidi w:val="0"/>
                    <w:rPr>
                      <w:rFonts w:hint="eastAsia"/>
                      <w:lang w:eastAsia="zh-CN"/>
                    </w:rPr>
                  </w:pPr>
                  <w:r>
                    <w:rPr>
                      <w:rFonts w:hint="eastAsia"/>
                      <w:lang w:val="en-US" w:eastAsia="zh-CN"/>
                    </w:rPr>
                    <w:t>本项目建设1台4.2MW燃气常压热水锅炉，用于办公生活区冬季供暖，采用</w:t>
                  </w:r>
                  <w:r>
                    <w:rPr>
                      <w:rFonts w:hint="eastAsia"/>
                    </w:rPr>
                    <w:t>清洁能源天然气作为燃料</w:t>
                  </w:r>
                  <w:r>
                    <w:rPr>
                      <w:rFonts w:hint="eastAsia"/>
                      <w:lang w:val="en-US" w:eastAsia="zh-CN"/>
                    </w:rPr>
                    <w:t>，加装低氮燃烧器。</w:t>
                  </w:r>
                </w:p>
              </w:tc>
              <w:tc>
                <w:tcPr>
                  <w:tcW w:w="590" w:type="pct"/>
                  <w:vAlign w:val="center"/>
                </w:tcPr>
                <w:p>
                  <w:pPr>
                    <w:pStyle w:val="33"/>
                    <w:bidi w:val="0"/>
                    <w:rPr>
                      <w:rFonts w:hint="eastAsia"/>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4" w:hRule="atLeast"/>
              </w:trPr>
              <w:tc>
                <w:tcPr>
                  <w:tcW w:w="920" w:type="pct"/>
                  <w:vAlign w:val="center"/>
                </w:tcPr>
                <w:p>
                  <w:pPr>
                    <w:pStyle w:val="33"/>
                    <w:bidi w:val="0"/>
                  </w:pPr>
                  <w:bookmarkStart w:id="5" w:name="_Hlk193733430"/>
                  <w:r>
                    <w:rPr>
                      <w:rFonts w:hint="eastAsia"/>
                    </w:rPr>
                    <w:t>《新疆维吾尔自治区2025年空气质量持续改善行动实施方案》（新政办发〔2024〕58号）</w:t>
                  </w:r>
                </w:p>
              </w:tc>
              <w:tc>
                <w:tcPr>
                  <w:tcW w:w="2153" w:type="pct"/>
                  <w:vAlign w:val="center"/>
                </w:tcPr>
                <w:p>
                  <w:pPr>
                    <w:pStyle w:val="33"/>
                    <w:bidi w:val="0"/>
                  </w:pPr>
                  <w:r>
                    <w:rPr>
                      <w:rFonts w:hint="eastAsia"/>
                    </w:rPr>
                    <w:t>持续推进散煤治理。加强天然气、电力等清洁能源保供，因地制宜成片推进清洁取暖改造，加强改造后运行管理。推进农业生产领域散煤治理。提升建筑能效水平，稳步实施既有农房节能改造。依法将整体完成清洁取暖改造的区域划定为高污染燃料禁燃区，强化散煤管控，防止散煤复烧。对暂未实施清洁取暖的地区，强化商品煤质量监管。</w:t>
                  </w:r>
                </w:p>
              </w:tc>
              <w:tc>
                <w:tcPr>
                  <w:tcW w:w="1335" w:type="pct"/>
                  <w:vAlign w:val="center"/>
                </w:tcPr>
                <w:p>
                  <w:pPr>
                    <w:pStyle w:val="33"/>
                    <w:bidi w:val="0"/>
                  </w:pPr>
                  <w:r>
                    <w:rPr>
                      <w:rFonts w:hint="eastAsia"/>
                      <w:lang w:val="en-US" w:eastAsia="zh-CN"/>
                    </w:rPr>
                    <w:t>本项目建设1台4.2MW燃气常压热水锅炉，用于办公生活区冬季供暖，采用</w:t>
                  </w:r>
                  <w:r>
                    <w:rPr>
                      <w:rFonts w:hint="eastAsia"/>
                    </w:rPr>
                    <w:t>清洁能源天然气作为燃料</w:t>
                  </w:r>
                  <w:r>
                    <w:rPr>
                      <w:rFonts w:hint="eastAsia"/>
                      <w:lang w:val="en-US" w:eastAsia="zh-CN"/>
                    </w:rPr>
                    <w:t>，加装低氮燃烧器。</w:t>
                  </w:r>
                </w:p>
              </w:tc>
              <w:tc>
                <w:tcPr>
                  <w:tcW w:w="590" w:type="pct"/>
                  <w:vAlign w:val="center"/>
                </w:tcPr>
                <w:p>
                  <w:pPr>
                    <w:pStyle w:val="33"/>
                    <w:bidi w:val="0"/>
                    <w:rPr>
                      <w:rFonts w:hint="eastAsia"/>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4" w:hRule="atLeast"/>
              </w:trPr>
              <w:tc>
                <w:tcPr>
                  <w:tcW w:w="920" w:type="pct"/>
                  <w:vAlign w:val="center"/>
                </w:tcPr>
                <w:p>
                  <w:pPr>
                    <w:pStyle w:val="33"/>
                    <w:bidi w:val="0"/>
                    <w:rPr>
                      <w:rFonts w:hint="eastAsia"/>
                    </w:rPr>
                  </w:pPr>
                  <w:r>
                    <w:t>《环保厅2016年第45号公告关于重点区域执行大气污染物特别排放限值的公告》</w:t>
                  </w:r>
                </w:p>
              </w:tc>
              <w:tc>
                <w:tcPr>
                  <w:tcW w:w="2153" w:type="pct"/>
                  <w:vAlign w:val="center"/>
                </w:tcPr>
                <w:p>
                  <w:pPr>
                    <w:pStyle w:val="33"/>
                    <w:bidi w:val="0"/>
                    <w:rPr>
                      <w:rFonts w:hint="eastAsia"/>
                    </w:rPr>
                  </w:pPr>
                  <w:r>
                    <w:t>重点区域内各级环保部门要严格按照大气污染物特别排放限值要求，审批所有新建项目，并严格按照“三同时”制度进行管理，确保满足特别排放限值要求。重点区域内现有火电、钢铁、水泥、石化企业以及燃煤锅炉不能达到大气污染物特别排放限值的，应根据超标情况制定限期治理措施，确保在规定时间内达到特别排放限值要求。</w:t>
                  </w:r>
                </w:p>
              </w:tc>
              <w:tc>
                <w:tcPr>
                  <w:tcW w:w="1335" w:type="pct"/>
                  <w:vAlign w:val="center"/>
                </w:tcPr>
                <w:p>
                  <w:pPr>
                    <w:pStyle w:val="33"/>
                    <w:bidi w:val="0"/>
                    <w:rPr>
                      <w:rFonts w:hint="eastAsia"/>
                    </w:rPr>
                  </w:pPr>
                  <w:r>
                    <w:rPr>
                      <w:rFonts w:hint="eastAsia"/>
                      <w:lang w:val="en-US" w:eastAsia="zh-CN"/>
                    </w:rPr>
                    <w:t>本项目位于轮台工业园区</w:t>
                  </w:r>
                  <w:r>
                    <w:rPr>
                      <w:rFonts w:hint="eastAsia"/>
                      <w:lang w:eastAsia="zh-CN"/>
                    </w:rPr>
                    <w:t>，</w:t>
                  </w:r>
                  <w:r>
                    <w:rPr>
                      <w:rFonts w:hint="eastAsia"/>
                      <w:lang w:val="en-US" w:eastAsia="zh-CN"/>
                    </w:rPr>
                    <w:t>不属于</w:t>
                  </w:r>
                  <w:r>
                    <w:t>重点区域</w:t>
                  </w:r>
                  <w:r>
                    <w:rPr>
                      <w:rFonts w:hint="eastAsia"/>
                      <w:lang w:val="en-US" w:eastAsia="zh-CN"/>
                    </w:rPr>
                    <w:t>。</w:t>
                  </w:r>
                </w:p>
              </w:tc>
              <w:tc>
                <w:tcPr>
                  <w:tcW w:w="590" w:type="pct"/>
                  <w:vAlign w:val="center"/>
                </w:tcPr>
                <w:p>
                  <w:pPr>
                    <w:pStyle w:val="33"/>
                    <w:bidi w:val="0"/>
                    <w:rPr>
                      <w:rFonts w:hint="eastAsia"/>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4" w:hRule="atLeast"/>
              </w:trPr>
              <w:tc>
                <w:tcPr>
                  <w:tcW w:w="920" w:type="pct"/>
                  <w:vAlign w:val="center"/>
                </w:tcPr>
                <w:p>
                  <w:pPr>
                    <w:pStyle w:val="33"/>
                    <w:bidi w:val="0"/>
                    <w:rPr>
                      <w:rFonts w:hint="eastAsia"/>
                      <w:lang w:val="en-US" w:eastAsia="zh-CN"/>
                    </w:rPr>
                  </w:pPr>
                  <w:r>
                    <w:rPr>
                      <w:rFonts w:hint="eastAsia"/>
                      <w:lang w:val="en-US" w:eastAsia="zh-CN"/>
                    </w:rPr>
                    <w:t>《国务院关于印发〈空气质量持续改善行动计划〉的通知》</w:t>
                  </w:r>
                </w:p>
                <w:p>
                  <w:pPr>
                    <w:pStyle w:val="33"/>
                    <w:bidi w:val="0"/>
                  </w:pPr>
                  <w:r>
                    <w:rPr>
                      <w:rFonts w:hint="eastAsia"/>
                      <w:lang w:val="en-US" w:eastAsia="zh-CN"/>
                    </w:rPr>
                    <w:t>国发〔2023〕24号</w:t>
                  </w:r>
                </w:p>
              </w:tc>
              <w:tc>
                <w:tcPr>
                  <w:tcW w:w="2153" w:type="pct"/>
                  <w:vAlign w:val="center"/>
                </w:tcPr>
                <w:p>
                  <w:pPr>
                    <w:pStyle w:val="33"/>
                    <w:bidi w:val="0"/>
                  </w:pPr>
                  <w:r>
                    <w:rPr>
                      <w:rFonts w:hint="eastAsia"/>
                      <w:lang w:val="en-US" w:eastAsia="zh-CN"/>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eastAsia"/>
                      <w:vertAlign w:val="subscript"/>
                      <w:lang w:val="en-US" w:eastAsia="zh-CN"/>
                    </w:rPr>
                    <w:t>2.5</w:t>
                  </w:r>
                  <w:r>
                    <w:rPr>
                      <w:rFonts w:hint="eastAsia"/>
                      <w:lang w:val="en-US" w:eastAsia="zh-CN"/>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335" w:type="pct"/>
                  <w:vAlign w:val="center"/>
                </w:tcPr>
                <w:p>
                  <w:pPr>
                    <w:pStyle w:val="33"/>
                    <w:bidi w:val="0"/>
                    <w:rPr>
                      <w:rFonts w:hint="eastAsia"/>
                      <w:lang w:val="en-US" w:eastAsia="zh-CN"/>
                    </w:rPr>
                  </w:pPr>
                  <w:r>
                    <w:rPr>
                      <w:rFonts w:hint="eastAsia"/>
                      <w:lang w:val="en-US" w:eastAsia="zh-CN"/>
                    </w:rPr>
                    <w:t>本项目建设1台4.2MW燃气常压热水锅炉，用于办公生活区冬季供暖，采用</w:t>
                  </w:r>
                  <w:r>
                    <w:rPr>
                      <w:rFonts w:hint="eastAsia"/>
                    </w:rPr>
                    <w:t>清洁能源天然气作为燃料</w:t>
                  </w:r>
                  <w:r>
                    <w:rPr>
                      <w:rFonts w:hint="eastAsia"/>
                      <w:lang w:val="en-US" w:eastAsia="zh-CN"/>
                    </w:rPr>
                    <w:t>，加装低氮燃烧器。</w:t>
                  </w:r>
                </w:p>
              </w:tc>
              <w:tc>
                <w:tcPr>
                  <w:tcW w:w="590" w:type="pct"/>
                  <w:vAlign w:val="center"/>
                </w:tcPr>
                <w:p>
                  <w:pPr>
                    <w:pStyle w:val="33"/>
                    <w:bidi w:val="0"/>
                    <w:rPr>
                      <w:rFonts w:hint="eastAsia"/>
                    </w:rPr>
                  </w:pPr>
                  <w:r>
                    <w:rPr>
                      <w:rFonts w:hint="eastAsia"/>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4" w:hRule="atLeast"/>
              </w:trPr>
              <w:tc>
                <w:tcPr>
                  <w:tcW w:w="920" w:type="pct"/>
                  <w:vAlign w:val="center"/>
                </w:tcPr>
                <w:p>
                  <w:pPr>
                    <w:pStyle w:val="33"/>
                    <w:bidi w:val="0"/>
                    <w:rPr>
                      <w:rFonts w:hint="eastAsia"/>
                      <w:lang w:val="en-US" w:eastAsia="zh-CN"/>
                    </w:rPr>
                  </w:pPr>
                  <w:r>
                    <w:rPr>
                      <w:rFonts w:hint="eastAsia"/>
                      <w:lang w:val="en-US" w:eastAsia="zh-CN"/>
                    </w:rPr>
                    <w:t>《关于开展自治区2022年度夏秋季大气污染防治“冬病夏治”工作的通知》（新环大气函〔2022〕483号）</w:t>
                  </w:r>
                </w:p>
              </w:tc>
              <w:tc>
                <w:tcPr>
                  <w:tcW w:w="2153" w:type="pct"/>
                  <w:vAlign w:val="center"/>
                </w:tcPr>
                <w:p>
                  <w:pPr>
                    <w:pStyle w:val="33"/>
                    <w:bidi w:val="0"/>
                    <w:rPr>
                      <w:rFonts w:hint="eastAsia"/>
                      <w:lang w:val="en-US" w:eastAsia="zh-CN"/>
                    </w:rPr>
                  </w:pPr>
                  <w:r>
                    <w:rPr>
                      <w:rFonts w:hint="eastAsia"/>
                      <w:lang w:val="en-US" w:eastAsia="zh-CN"/>
                    </w:rPr>
                    <w:t>推进清洁取暖，加大散煤治理力度：按照宜电则电、宜气则气、宜热则热的原则，因地制宜推进冬季清洁取暖。乌鲁木齐市、昌吉州分别制定本行政区北方地区清洁取暖项目年度改造方案，“乌一昌”区域9月底前完成约5.5万户散煤用户清洁取暖改造，其他地（州、市）积极申报中央大气污染防治资金清洁取暖项目。各地要对已实施散煤替代的区域开展巡查，严防散煤复烧；对暂未实施的地区，加大散煤经销点监督检查力度，严厉打击销售劣质煤，确保燃煤质量符合标准要求。推进设施农业、粮食烘干等农业生产加工领域燃煤设施实施清洁能源改造。各地已完成清洁取暖改造的区域划定为高污染燃料禁燃区，9月底前完成划定工作，报生态环境厅备案。</w:t>
                  </w:r>
                </w:p>
                <w:p>
                  <w:pPr>
                    <w:pStyle w:val="33"/>
                    <w:bidi w:val="0"/>
                    <w:rPr>
                      <w:rFonts w:hint="eastAsia"/>
                      <w:lang w:val="en-US" w:eastAsia="zh-CN"/>
                    </w:rPr>
                  </w:pPr>
                  <w:r>
                    <w:rPr>
                      <w:rFonts w:hint="eastAsia"/>
                      <w:lang w:val="en-US" w:eastAsia="zh-CN"/>
                    </w:rPr>
                    <w:t>加快推进燃煤锅炉超低排放改造和燃气锅炉低氮燃烧改造。2022年10月底前，县级及以上城市建成区淘汰30%现有35蒸吨/小时及以下的燃煤锅炉，“乌-昌-石”区域淘汰50%现有65蒸吨/小时以下燃煤锅炉。重点区域保留的燃煤锅炉基本完成超低排放改造，其他地区65蒸吨/小时及以上燃煤锅炉（含电力）累计完成总数的60%。</w:t>
                  </w:r>
                </w:p>
              </w:tc>
              <w:tc>
                <w:tcPr>
                  <w:tcW w:w="1335" w:type="pct"/>
                  <w:vAlign w:val="center"/>
                </w:tcPr>
                <w:p>
                  <w:pPr>
                    <w:pStyle w:val="33"/>
                    <w:bidi w:val="0"/>
                    <w:rPr>
                      <w:rFonts w:hint="eastAsia"/>
                      <w:lang w:val="en-US" w:eastAsia="zh-CN"/>
                    </w:rPr>
                  </w:pPr>
                  <w:r>
                    <w:rPr>
                      <w:rFonts w:hint="eastAsia"/>
                      <w:lang w:val="en-US" w:eastAsia="zh-CN"/>
                    </w:rPr>
                    <w:t>本项目建设1台4.2MW燃气常压热水锅炉，用于办公生活区冬季供暖，采用</w:t>
                  </w:r>
                  <w:r>
                    <w:rPr>
                      <w:rFonts w:hint="eastAsia"/>
                    </w:rPr>
                    <w:t>清洁能源天然气作为燃料</w:t>
                  </w:r>
                  <w:r>
                    <w:rPr>
                      <w:rFonts w:hint="eastAsia"/>
                      <w:lang w:val="en-US" w:eastAsia="zh-CN"/>
                    </w:rPr>
                    <w:t>，加装低氮燃烧器。</w:t>
                  </w:r>
                </w:p>
              </w:tc>
              <w:tc>
                <w:tcPr>
                  <w:tcW w:w="590" w:type="pct"/>
                  <w:vAlign w:val="center"/>
                </w:tcPr>
                <w:p>
                  <w:pPr>
                    <w:pStyle w:val="33"/>
                    <w:bidi w:val="0"/>
                    <w:rPr>
                      <w:rFonts w:hint="eastAsia"/>
                      <w:lang w:val="en-US" w:eastAsia="zh-CN"/>
                    </w:rPr>
                  </w:pPr>
                  <w:r>
                    <w:rPr>
                      <w:rFonts w:hint="eastAsia"/>
                      <w:lang w:val="en-US" w:eastAsia="zh-CN"/>
                    </w:rPr>
                    <w:t>符合</w:t>
                  </w:r>
                </w:p>
              </w:tc>
            </w:tr>
            <w:bookmarkEnd w:id="3"/>
            <w:bookmarkEnd w:id="4"/>
            <w:bookmarkEnd w:id="5"/>
          </w:tbl>
          <w:p>
            <w:pPr>
              <w:pStyle w:val="2"/>
              <w:ind w:left="480" w:firstLine="480"/>
            </w:pPr>
          </w:p>
        </w:tc>
      </w:tr>
    </w:tbl>
    <w:p>
      <w:pPr>
        <w:pStyle w:val="4"/>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二、建设项目工程分析</w:t>
      </w:r>
    </w:p>
    <w:tbl>
      <w:tblPr>
        <w:tblStyle w:val="21"/>
        <w:tblW w:w="1760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0"/>
        <w:gridCol w:w="8547"/>
        <w:gridCol w:w="85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510" w:type="dxa"/>
            <w:vAlign w:val="center"/>
          </w:tcPr>
          <w:p>
            <w:pPr>
              <w:widowControl/>
              <w:adjustRightInd w:val="0"/>
              <w:snapToGrid w:val="0"/>
              <w:spacing w:line="240" w:lineRule="auto"/>
              <w:ind w:firstLine="0" w:firstLineChars="0"/>
              <w:jc w:val="center"/>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建设内容</w:t>
            </w:r>
          </w:p>
        </w:tc>
        <w:tc>
          <w:tcPr>
            <w:tcW w:w="8547" w:type="dxa"/>
          </w:tcPr>
          <w:p>
            <w:pPr>
              <w:pStyle w:val="5"/>
              <w:rPr>
                <w:rFonts w:hint="default" w:eastAsia="宋体" w:cs="Times New Roman"/>
                <w:color w:val="000000" w:themeColor="text1"/>
                <w:kern w:val="0"/>
                <w:lang w:val="en-US" w:eastAsia="zh-CN"/>
                <w14:textFill>
                  <w14:solidFill>
                    <w14:schemeClr w14:val="tx1"/>
                  </w14:solidFill>
                </w14:textFill>
              </w:rPr>
            </w:pPr>
            <w:r>
              <w:rPr>
                <w:rFonts w:hint="eastAsia" w:cs="Times New Roman"/>
                <w:color w:val="000000" w:themeColor="text1"/>
                <w:kern w:val="0"/>
                <w:lang w:val="en-US" w:eastAsia="zh-CN"/>
                <w14:textFill>
                  <w14:solidFill>
                    <w14:schemeClr w14:val="tx1"/>
                  </w14:solidFill>
                </w14:textFill>
              </w:rPr>
              <w:t>2.1项目背景</w:t>
            </w:r>
          </w:p>
          <w:p>
            <w:pPr>
              <w:rPr>
                <w:rFonts w:hint="default"/>
                <w:lang w:val="en-US"/>
              </w:rPr>
            </w:pPr>
            <w:r>
              <w:rPr>
                <w:rFonts w:hint="eastAsia"/>
                <w:color w:val="auto"/>
                <w:lang w:eastAsia="zh-CN"/>
              </w:rPr>
              <w:t>巴州鸿源石油装备器材有限公司</w:t>
            </w:r>
            <w:r>
              <w:rPr>
                <w:rFonts w:hint="eastAsia"/>
                <w:color w:val="auto"/>
                <w:lang w:val="en-US" w:eastAsia="zh-CN"/>
              </w:rPr>
              <w:t>于2024年8月编制了《</w:t>
            </w:r>
            <w:r>
              <w:rPr>
                <w:rFonts w:hint="eastAsia"/>
                <w:color w:val="auto"/>
                <w:lang w:eastAsia="zh-CN"/>
              </w:rPr>
              <w:t>巴州鸿源石油装备器材有限公司</w:t>
            </w:r>
            <w:r>
              <w:rPr>
                <w:rFonts w:hint="eastAsia"/>
                <w:color w:val="auto"/>
                <w:lang w:val="en-US" w:eastAsia="zh-CN"/>
              </w:rPr>
              <w:t>油管修复技术改造</w:t>
            </w:r>
            <w:r>
              <w:rPr>
                <w:rFonts w:hint="eastAsia"/>
                <w:color w:val="auto"/>
                <w:lang w:eastAsia="zh-CN"/>
              </w:rPr>
              <w:t>项目</w:t>
            </w:r>
            <w:r>
              <w:rPr>
                <w:rFonts w:hint="eastAsia"/>
                <w:color w:val="auto"/>
                <w:lang w:val="en-US" w:eastAsia="zh-CN"/>
              </w:rPr>
              <w:t>环境影响评价报告表》，2024年9月4日取得《关于</w:t>
            </w:r>
            <w:r>
              <w:rPr>
                <w:rFonts w:hint="eastAsia"/>
                <w:color w:val="auto"/>
                <w:lang w:eastAsia="zh-CN"/>
              </w:rPr>
              <w:t>巴州鸿源石油装备器材有限公司</w:t>
            </w:r>
            <w:r>
              <w:rPr>
                <w:rFonts w:hint="eastAsia"/>
                <w:color w:val="auto"/>
                <w:lang w:val="en-US" w:eastAsia="zh-CN"/>
              </w:rPr>
              <w:t>油管修复技术改造</w:t>
            </w:r>
            <w:r>
              <w:rPr>
                <w:rFonts w:hint="eastAsia"/>
                <w:color w:val="auto"/>
                <w:lang w:eastAsia="zh-CN"/>
              </w:rPr>
              <w:t>项目</w:t>
            </w:r>
            <w:r>
              <w:rPr>
                <w:rFonts w:hint="eastAsia"/>
                <w:color w:val="auto"/>
                <w:lang w:val="en-US" w:eastAsia="zh-CN"/>
              </w:rPr>
              <w:t>的批复</w:t>
            </w:r>
            <w:r>
              <w:rPr>
                <w:rFonts w:hint="eastAsia"/>
                <w:color w:val="auto"/>
                <w:lang w:eastAsia="zh-CN"/>
              </w:rPr>
              <w:t>》（</w:t>
            </w:r>
            <w:r>
              <w:rPr>
                <w:rFonts w:hint="eastAsia"/>
                <w:color w:val="auto"/>
                <w:lang w:val="en-US" w:eastAsia="zh-CN"/>
              </w:rPr>
              <w:t>巴环评价函</w:t>
            </w:r>
            <w:r>
              <w:rPr>
                <w:rFonts w:hint="eastAsia"/>
                <w:lang w:val="en-US" w:eastAsia="zh-CN"/>
              </w:rPr>
              <w:t>〔2024〕</w:t>
            </w:r>
            <w:r>
              <w:rPr>
                <w:rFonts w:hint="eastAsia"/>
                <w:color w:val="auto"/>
                <w:lang w:val="en-US" w:eastAsia="zh-CN"/>
              </w:rPr>
              <w:t>205号），原环评设计</w:t>
            </w:r>
            <w:r>
              <w:rPr>
                <w:rFonts w:hint="eastAsia"/>
                <w:highlight w:val="none"/>
                <w:lang w:val="en-US" w:eastAsia="zh-CN"/>
              </w:rPr>
              <w:t>冬季综合楼、食堂、门卫室采暖采用1台1.4MW燃气常压热水锅炉供给，现计划拆除原有锅炉，用1台4.2MW燃气常压热水锅炉代替原有1.4MW燃气常压热水锅炉，因此，本项目针对技术改造锅炉进行此次环境影响评价。</w:t>
            </w:r>
          </w:p>
          <w:p>
            <w:pPr>
              <w:pStyle w:val="5"/>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2</w:t>
            </w:r>
            <w:r>
              <w:rPr>
                <w:rFonts w:hint="eastAsia" w:cs="Times New Roman"/>
                <w:color w:val="000000" w:themeColor="text1"/>
                <w:kern w:val="0"/>
                <w14:textFill>
                  <w14:solidFill>
                    <w14:schemeClr w14:val="tx1"/>
                  </w14:solidFill>
                </w14:textFill>
              </w:rPr>
              <w:t>.</w:t>
            </w:r>
            <w:r>
              <w:rPr>
                <w:rFonts w:hint="eastAsia" w:cs="Times New Roman"/>
                <w:color w:val="000000" w:themeColor="text1"/>
                <w:kern w:val="0"/>
                <w:lang w:val="en-US" w:eastAsia="zh-CN"/>
                <w14:textFill>
                  <w14:solidFill>
                    <w14:schemeClr w14:val="tx1"/>
                  </w14:solidFill>
                </w14:textFill>
              </w:rPr>
              <w:t>2</w:t>
            </w:r>
            <w:r>
              <w:rPr>
                <w:rFonts w:cs="Times New Roman"/>
                <w:color w:val="000000" w:themeColor="text1"/>
                <w:kern w:val="0"/>
                <w14:textFill>
                  <w14:solidFill>
                    <w14:schemeClr w14:val="tx1"/>
                  </w14:solidFill>
                </w14:textFill>
              </w:rPr>
              <w:t>项目</w:t>
            </w:r>
            <w:r>
              <w:rPr>
                <w:rFonts w:hint="eastAsia" w:cs="Times New Roman"/>
                <w:color w:val="000000" w:themeColor="text1"/>
                <w:kern w:val="0"/>
                <w14:textFill>
                  <w14:solidFill>
                    <w14:schemeClr w14:val="tx1"/>
                  </w14:solidFill>
                </w14:textFill>
              </w:rPr>
              <w:t>地理位置</w:t>
            </w:r>
          </w:p>
          <w:p>
            <w:pPr>
              <w:ind w:firstLine="480"/>
            </w:pPr>
            <w:r>
              <w:rPr>
                <w:rFonts w:hint="eastAsia"/>
              </w:rPr>
              <w:t>本项目位于轮台县</w:t>
            </w:r>
            <w:r>
              <w:rPr>
                <w:rFonts w:hint="eastAsia"/>
                <w:lang w:eastAsia="zh-CN"/>
              </w:rPr>
              <w:t>红桥石油服务区</w:t>
            </w:r>
            <w:r>
              <w:rPr>
                <w:rFonts w:hint="eastAsia"/>
              </w:rPr>
              <w:t>沙漠公路与鸿源路交叉口西南侧巴州鸿源石油装备器材有限公司院内，项目中心地理坐标为：</w:t>
            </w:r>
            <w:r>
              <w:rPr>
                <w:rFonts w:cs="Times New Roman"/>
                <w:color w:val="000000" w:themeColor="text1"/>
                <w:szCs w:val="24"/>
                <w14:textFill>
                  <w14:solidFill>
                    <w14:schemeClr w14:val="tx1"/>
                  </w14:solidFill>
                </w14:textFill>
              </w:rPr>
              <w:t>E8</w:t>
            </w:r>
            <w:r>
              <w:rPr>
                <w:rFonts w:hint="eastAsia" w:cs="Times New Roman"/>
                <w:color w:val="000000" w:themeColor="text1"/>
                <w:szCs w:val="24"/>
                <w:lang w:val="en-US" w:eastAsia="zh-CN"/>
                <w14:textFill>
                  <w14:solidFill>
                    <w14:schemeClr w14:val="tx1"/>
                  </w14:solidFill>
                </w14:textFill>
              </w:rPr>
              <w:t>4</w:t>
            </w:r>
            <w:r>
              <w:rPr>
                <w:rFonts w:cs="Times New Roman"/>
                <w:color w:val="000000" w:themeColor="text1"/>
                <w:szCs w:val="24"/>
                <w14:textFill>
                  <w14:solidFill>
                    <w14:schemeClr w14:val="tx1"/>
                  </w14:solidFill>
                </w14:textFill>
              </w:rPr>
              <w:t>°1</w:t>
            </w:r>
            <w:r>
              <w:rPr>
                <w:rFonts w:hint="eastAsia" w:cs="Times New Roman"/>
                <w:color w:val="000000" w:themeColor="text1"/>
                <w:szCs w:val="24"/>
                <w:lang w:val="en-US" w:eastAsia="zh-CN"/>
                <w14:textFill>
                  <w14:solidFill>
                    <w14:schemeClr w14:val="tx1"/>
                  </w14:solidFill>
                </w14:textFill>
              </w:rPr>
              <w:t>8</w:t>
            </w:r>
            <w:r>
              <w:rPr>
                <w:rFonts w:cs="Times New Roman"/>
                <w:color w:val="000000" w:themeColor="text1"/>
                <w:szCs w:val="24"/>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32.820</w:t>
            </w:r>
            <w:r>
              <w:rPr>
                <w:rFonts w:cs="Times New Roman"/>
                <w:color w:val="000000" w:themeColor="text1"/>
                <w:szCs w:val="24"/>
                <w14:textFill>
                  <w14:solidFill>
                    <w14:schemeClr w14:val="tx1"/>
                  </w14:solidFill>
                </w14:textFill>
              </w:rPr>
              <w:t>"，N</w:t>
            </w:r>
            <w:r>
              <w:rPr>
                <w:rFonts w:hint="eastAsia" w:cs="Times New Roman"/>
                <w:color w:val="000000" w:themeColor="text1"/>
                <w:szCs w:val="24"/>
                <w:lang w:val="en-US" w:eastAsia="zh-CN"/>
                <w14:textFill>
                  <w14:solidFill>
                    <w14:schemeClr w14:val="tx1"/>
                  </w14:solidFill>
                </w14:textFill>
              </w:rPr>
              <w:t>41</w:t>
            </w:r>
            <w:r>
              <w:rPr>
                <w:rFonts w:cs="Times New Roman"/>
                <w:color w:val="000000" w:themeColor="text1"/>
                <w:szCs w:val="24"/>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47</w:t>
            </w:r>
            <w:r>
              <w:rPr>
                <w:rFonts w:cs="Times New Roman"/>
                <w:color w:val="000000" w:themeColor="text1"/>
                <w:szCs w:val="24"/>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10.361</w:t>
            </w:r>
            <w:r>
              <w:rPr>
                <w:rFonts w:cs="Times New Roman"/>
                <w:color w:val="000000" w:themeColor="text1"/>
                <w:szCs w:val="24"/>
                <w14:textFill>
                  <w14:solidFill>
                    <w14:schemeClr w14:val="tx1"/>
                  </w14:solidFill>
                </w14:textFill>
              </w:rPr>
              <w:t>"</w:t>
            </w:r>
            <w:r>
              <w:rPr>
                <w:rFonts w:hint="eastAsia" w:cs="Times New Roman"/>
                <w:color w:val="000000" w:themeColor="text1"/>
                <w:szCs w:val="24"/>
                <w14:textFill>
                  <w14:solidFill>
                    <w14:schemeClr w14:val="tx1"/>
                  </w14:solidFill>
                </w14:textFill>
              </w:rPr>
              <w:t>。</w:t>
            </w:r>
            <w:r>
              <w:rPr>
                <w:rFonts w:hint="eastAsia"/>
              </w:rPr>
              <w:t>项目所在地理位置详见《附图</w:t>
            </w:r>
            <w:r>
              <w:rPr>
                <w:rFonts w:hint="eastAsia"/>
                <w:lang w:val="en-US" w:eastAsia="zh-CN"/>
              </w:rPr>
              <w:t>4</w:t>
            </w:r>
            <w:r>
              <w:rPr>
                <w:rFonts w:hint="eastAsia"/>
              </w:rPr>
              <w:t xml:space="preserve"> 项目地理位置图》。</w:t>
            </w:r>
          </w:p>
          <w:p>
            <w:pPr>
              <w:ind w:firstLine="0" w:firstLineChars="0"/>
              <w:rPr>
                <w:b/>
                <w:bCs/>
              </w:rPr>
            </w:pPr>
            <w:r>
              <w:rPr>
                <w:rFonts w:hint="eastAsia"/>
                <w:b/>
                <w:bCs/>
              </w:rPr>
              <w:t>2</w:t>
            </w:r>
            <w:r>
              <w:rPr>
                <w:b/>
                <w:bCs/>
              </w:rPr>
              <w:t>.</w:t>
            </w:r>
            <w:r>
              <w:rPr>
                <w:rFonts w:hint="eastAsia"/>
                <w:b/>
                <w:bCs/>
                <w:lang w:val="en-US" w:eastAsia="zh-CN"/>
              </w:rPr>
              <w:t>3</w:t>
            </w:r>
            <w:r>
              <w:rPr>
                <w:rFonts w:hint="eastAsia"/>
                <w:b/>
                <w:bCs/>
              </w:rPr>
              <w:t>项目建设内容及规模</w:t>
            </w:r>
          </w:p>
          <w:p>
            <w:pPr>
              <w:ind w:firstLine="480"/>
              <w:rPr>
                <w:rFonts w:hint="eastAsia" w:cs="Times New Roman"/>
              </w:rPr>
            </w:pPr>
            <w:r>
              <w:rPr>
                <w:rFonts w:hint="eastAsia" w:cs="Times New Roman"/>
              </w:rPr>
              <w:t>本项目</w:t>
            </w:r>
            <w:r>
              <w:rPr>
                <w:rFonts w:hint="eastAsia"/>
              </w:rPr>
              <w:t>建设</w:t>
            </w:r>
            <w:r>
              <w:rPr>
                <w:rFonts w:hint="eastAsia"/>
                <w:highlight w:val="none"/>
                <w:lang w:val="en-US" w:eastAsia="zh-CN"/>
              </w:rPr>
              <w:t>1台4.2MW燃气常压热水锅炉</w:t>
            </w:r>
            <w:r>
              <w:rPr>
                <w:rFonts w:hint="eastAsia"/>
              </w:rPr>
              <w:t>及附属设备</w:t>
            </w:r>
            <w:r>
              <w:rPr>
                <w:rFonts w:hint="eastAsia"/>
                <w:lang w:eastAsia="zh-CN"/>
              </w:rPr>
              <w:t>，</w:t>
            </w:r>
            <w:r>
              <w:rPr>
                <w:rFonts w:hint="eastAsia"/>
                <w:lang w:val="en-US" w:eastAsia="zh-CN"/>
              </w:rPr>
              <w:t>依托原有锅炉房，不新增占地</w:t>
            </w:r>
            <w:r>
              <w:rPr>
                <w:rFonts w:hint="eastAsia" w:cs="Times New Roman"/>
              </w:rPr>
              <w:t>。</w:t>
            </w:r>
          </w:p>
          <w:p>
            <w:pPr>
              <w:pStyle w:val="34"/>
              <w:bidi w:val="0"/>
              <w:rPr>
                <w:rFonts w:hint="default"/>
                <w:lang w:val="en-US" w:eastAsia="zh-CN"/>
              </w:rPr>
            </w:pPr>
            <w:r>
              <w:rPr>
                <w:rFonts w:hint="eastAsia"/>
                <w:lang w:val="en-US" w:eastAsia="zh-CN"/>
              </w:rPr>
              <w:t>表2-1  主要工程内容一览表</w:t>
            </w:r>
          </w:p>
          <w:tbl>
            <w:tblPr>
              <w:tblStyle w:val="21"/>
              <w:tblW w:w="82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150"/>
              <w:gridCol w:w="4886"/>
              <w:gridCol w:w="11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87"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pPr>
                  <w:r>
                    <w:rPr>
                      <w:rFonts w:hint="eastAsia"/>
                    </w:rPr>
                    <w:t>类别</w:t>
                  </w:r>
                </w:p>
              </w:tc>
              <w:tc>
                <w:tcPr>
                  <w:tcW w:w="1150"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33"/>
                  </w:pPr>
                  <w:r>
                    <w:rPr>
                      <w:rFonts w:hint="eastAsia"/>
                    </w:rPr>
                    <w:t>工程内容</w:t>
                  </w:r>
                </w:p>
              </w:tc>
              <w:tc>
                <w:tcPr>
                  <w:tcW w:w="4886"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33"/>
                  </w:pPr>
                  <w:r>
                    <w:rPr>
                      <w:rFonts w:hint="eastAsia"/>
                    </w:rPr>
                    <w:t>建设规模</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87" w:type="dxa"/>
                  <w:tcBorders>
                    <w:top w:val="single" w:color="auto" w:sz="4" w:space="0"/>
                    <w:left w:val="single" w:color="000000" w:sz="8" w:space="0"/>
                    <w:right w:val="single" w:color="auto" w:sz="4" w:space="0"/>
                  </w:tcBorders>
                  <w:shd w:val="clear" w:color="auto" w:fill="FFFFFF"/>
                  <w:vAlign w:val="center"/>
                </w:tcPr>
                <w:p>
                  <w:pPr>
                    <w:pStyle w:val="33"/>
                  </w:pPr>
                  <w:r>
                    <w:rPr>
                      <w:rFonts w:hint="eastAsia"/>
                    </w:rPr>
                    <w:t>主体工程</w:t>
                  </w:r>
                </w:p>
              </w:tc>
              <w:tc>
                <w:tcPr>
                  <w:tcW w:w="1150"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33"/>
                  </w:pPr>
                  <w:r>
                    <w:rPr>
                      <w:rFonts w:hint="eastAsia"/>
                    </w:rPr>
                    <w:t>锅炉房</w:t>
                  </w:r>
                </w:p>
              </w:tc>
              <w:tc>
                <w:tcPr>
                  <w:tcW w:w="4886" w:type="dxa"/>
                  <w:tcBorders>
                    <w:top w:val="single" w:color="000000" w:sz="8" w:space="0"/>
                    <w:left w:val="single" w:color="auto" w:sz="4" w:space="0"/>
                    <w:bottom w:val="single" w:color="000000" w:sz="8" w:space="0"/>
                    <w:right w:val="single" w:color="auto" w:sz="4" w:space="0"/>
                  </w:tcBorders>
                  <w:shd w:val="clear" w:color="auto" w:fill="FFFFFF"/>
                  <w:vAlign w:val="center"/>
                </w:tcPr>
                <w:p>
                  <w:pPr>
                    <w:pStyle w:val="33"/>
                    <w:rPr>
                      <w:highlight w:val="yellow"/>
                    </w:rPr>
                  </w:pPr>
                  <w:r>
                    <w:rPr>
                      <w:rFonts w:hint="eastAsia"/>
                      <w:highlight w:val="none"/>
                      <w:lang w:val="en-US" w:eastAsia="zh-CN"/>
                    </w:rPr>
                    <w:t>砖混结构，</w:t>
                  </w:r>
                  <w:r>
                    <w:rPr>
                      <w:rFonts w:hint="eastAsia"/>
                      <w:highlight w:val="none"/>
                    </w:rPr>
                    <w:t>占地面积</w:t>
                  </w:r>
                  <w:r>
                    <w:rPr>
                      <w:rFonts w:hint="eastAsia"/>
                      <w:highlight w:val="none"/>
                      <w:lang w:val="en-US" w:eastAsia="zh-CN"/>
                    </w:rPr>
                    <w:t>170</w:t>
                  </w:r>
                  <w:r>
                    <w:rPr>
                      <w:rFonts w:hint="eastAsia"/>
                      <w:highlight w:val="none"/>
                    </w:rPr>
                    <w:t>m</w:t>
                  </w:r>
                  <w:r>
                    <w:rPr>
                      <w:rFonts w:hint="eastAsia"/>
                      <w:highlight w:val="none"/>
                      <w:vertAlign w:val="superscript"/>
                    </w:rPr>
                    <w:t>2</w:t>
                  </w:r>
                  <w:r>
                    <w:rPr>
                      <w:rFonts w:hint="eastAsia"/>
                      <w:highlight w:val="none"/>
                    </w:rPr>
                    <w:t>，内</w:t>
                  </w:r>
                  <w:r>
                    <w:rPr>
                      <w:rFonts w:hint="eastAsia"/>
                      <w:highlight w:val="none"/>
                      <w:lang w:val="en-US" w:eastAsia="zh-CN"/>
                    </w:rPr>
                    <w:t>设1台4.2MW燃气常压热水锅炉及附属设备</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rPr>
                      <w:rFonts w:hint="default" w:eastAsia="宋体"/>
                      <w:lang w:val="en-US" w:eastAsia="zh-CN"/>
                    </w:rPr>
                  </w:pPr>
                  <w:r>
                    <w:rPr>
                      <w:rFonts w:hint="eastAsia"/>
                      <w:lang w:val="en-US" w:eastAsia="zh-CN"/>
                    </w:rPr>
                    <w:t>依托原有锅炉房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87" w:type="dxa"/>
                  <w:tcBorders>
                    <w:left w:val="single" w:color="000000" w:sz="8" w:space="0"/>
                    <w:right w:val="single" w:color="000000" w:sz="8" w:space="0"/>
                  </w:tcBorders>
                  <w:shd w:val="clear" w:color="auto" w:fill="FFFFFF"/>
                  <w:vAlign w:val="center"/>
                </w:tcPr>
                <w:p>
                  <w:pPr>
                    <w:pStyle w:val="33"/>
                  </w:pPr>
                  <w:r>
                    <w:rPr>
                      <w:rFonts w:hint="eastAsia"/>
                    </w:rPr>
                    <w:t>辅助工程</w:t>
                  </w:r>
                </w:p>
              </w:tc>
              <w:tc>
                <w:tcPr>
                  <w:tcW w:w="1150" w:type="dxa"/>
                  <w:tcBorders>
                    <w:top w:val="single" w:color="000000" w:sz="8" w:space="0"/>
                    <w:left w:val="single" w:color="000000" w:sz="8" w:space="0"/>
                    <w:right w:val="single" w:color="000000" w:sz="8" w:space="0"/>
                  </w:tcBorders>
                  <w:shd w:val="clear" w:color="auto" w:fill="FFFFFF"/>
                  <w:vAlign w:val="center"/>
                </w:tcPr>
                <w:p>
                  <w:pPr>
                    <w:pStyle w:val="33"/>
                  </w:pPr>
                  <w:r>
                    <w:rPr>
                      <w:rFonts w:hint="eastAsia" w:ascii="Times New Roman" w:hAnsi="Times New Roman" w:cs="Times New Roman"/>
                      <w:lang w:val="en-US" w:eastAsia="zh-CN"/>
                    </w:rPr>
                    <w:t>锅炉</w:t>
                  </w:r>
                  <w:r>
                    <w:rPr>
                      <w:rFonts w:hint="default" w:ascii="Times New Roman" w:hAnsi="Times New Roman" w:cs="Times New Roman"/>
                      <w:lang w:val="en-US" w:eastAsia="zh-CN"/>
                    </w:rPr>
                    <w:t>软化水</w:t>
                  </w:r>
                  <w:r>
                    <w:rPr>
                      <w:rFonts w:hint="default" w:ascii="Times New Roman" w:hAnsi="Times New Roman" w:cs="Times New Roman"/>
                    </w:rPr>
                    <w:t>装置</w:t>
                  </w:r>
                </w:p>
              </w:tc>
              <w:tc>
                <w:tcPr>
                  <w:tcW w:w="4886" w:type="dxa"/>
                  <w:tcBorders>
                    <w:top w:val="single" w:color="000000" w:sz="8" w:space="0"/>
                    <w:left w:val="single" w:color="000000" w:sz="8" w:space="0"/>
                    <w:right w:val="single" w:color="auto" w:sz="4" w:space="0"/>
                  </w:tcBorders>
                  <w:shd w:val="clear" w:color="auto" w:fill="FFFFFF"/>
                  <w:vAlign w:val="center"/>
                </w:tcPr>
                <w:p>
                  <w:pPr>
                    <w:pStyle w:val="33"/>
                    <w:rPr>
                      <w:highlight w:val="none"/>
                    </w:rPr>
                  </w:pPr>
                  <w:r>
                    <w:rPr>
                      <w:rFonts w:hint="eastAsia"/>
                      <w:highlight w:val="none"/>
                    </w:rPr>
                    <w:t>锅炉</w:t>
                  </w:r>
                  <w:r>
                    <w:rPr>
                      <w:rFonts w:hint="eastAsia"/>
                      <w:highlight w:val="none"/>
                      <w:lang w:val="en-US" w:eastAsia="zh-CN"/>
                    </w:rPr>
                    <w:t>配套</w:t>
                  </w:r>
                  <w:r>
                    <w:rPr>
                      <w:rFonts w:hint="eastAsia"/>
                      <w:highlight w:val="none"/>
                    </w:rPr>
                    <w:t>1套软化水装置</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rPr>
                      <w:rFonts w:hint="default" w:eastAsia="宋体"/>
                      <w:lang w:val="en-US" w:eastAsia="zh-CN"/>
                    </w:rPr>
                  </w:pPr>
                  <w:r>
                    <w:rPr>
                      <w:rFonts w:hint="eastAsia"/>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Merge w:val="restart"/>
                  <w:tcBorders>
                    <w:top w:val="single" w:color="000000" w:sz="8" w:space="0"/>
                    <w:left w:val="single" w:color="000000" w:sz="8" w:space="0"/>
                    <w:right w:val="single" w:color="000000" w:sz="8" w:space="0"/>
                  </w:tcBorders>
                  <w:shd w:val="clear" w:color="auto" w:fill="FFFFFF"/>
                  <w:vAlign w:val="center"/>
                </w:tcPr>
                <w:p>
                  <w:pPr>
                    <w:pStyle w:val="33"/>
                  </w:pPr>
                  <w:r>
                    <w:rPr>
                      <w:rFonts w:hint="eastAsia"/>
                    </w:rPr>
                    <w:t>公用工程</w:t>
                  </w: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pPr>
                  <w:r>
                    <w:rPr>
                      <w:rFonts w:hint="eastAsia"/>
                    </w:rPr>
                    <w:t>供水</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pPr>
                  <w:r>
                    <w:t>由</w:t>
                  </w:r>
                  <w:r>
                    <w:rPr>
                      <w:rFonts w:hint="eastAsia"/>
                      <w:lang w:val="en-US" w:eastAsia="zh-CN"/>
                    </w:rPr>
                    <w:t>园区</w:t>
                  </w:r>
                  <w:r>
                    <w:t>给水管网供水</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rPr>
                      <w:rFonts w:hint="default" w:eastAsia="宋体"/>
                      <w:lang w:val="en-US" w:eastAsia="zh-CN"/>
                    </w:rPr>
                  </w:pPr>
                  <w:r>
                    <w:rPr>
                      <w:rFonts w:hint="eastAsia"/>
                      <w:lang w:val="en-US" w:eastAsia="zh-CN"/>
                    </w:rPr>
                    <w:t>依托原有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Merge w:val="continue"/>
                  <w:tcBorders>
                    <w:left w:val="single" w:color="000000" w:sz="8"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pPr>
                  <w:r>
                    <w:rPr>
                      <w:rFonts w:hint="eastAsia"/>
                    </w:rPr>
                    <w:t>排水</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rPr>
                      <w:highlight w:val="none"/>
                    </w:rPr>
                  </w:pPr>
                  <w:r>
                    <w:rPr>
                      <w:rFonts w:hint="eastAsia"/>
                      <w:highlight w:val="none"/>
                      <w:lang w:val="en-US" w:eastAsia="zh-CN"/>
                    </w:rPr>
                    <w:t>软化水装置产生的浓水和</w:t>
                  </w:r>
                  <w:r>
                    <w:rPr>
                      <w:rFonts w:hint="eastAsia"/>
                      <w:highlight w:val="none"/>
                    </w:rPr>
                    <w:t>锅炉</w:t>
                  </w:r>
                  <w:r>
                    <w:rPr>
                      <w:rFonts w:hint="eastAsia"/>
                      <w:highlight w:val="none"/>
                      <w:lang w:val="en-US" w:eastAsia="zh-CN"/>
                    </w:rPr>
                    <w:t>废</w:t>
                  </w:r>
                  <w:r>
                    <w:rPr>
                      <w:rFonts w:hint="eastAsia"/>
                      <w:highlight w:val="none"/>
                    </w:rPr>
                    <w:t>水排入园区污水管网，进入园区污水处理厂进一步处置</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pPr>
                  <w:r>
                    <w:rPr>
                      <w:rFonts w:hint="eastAsia"/>
                      <w:lang w:val="en-US" w:eastAsia="zh-CN"/>
                    </w:rPr>
                    <w:t>依托原有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87" w:type="dxa"/>
                  <w:vMerge w:val="continue"/>
                  <w:tcBorders>
                    <w:left w:val="single" w:color="000000" w:sz="8"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pPr>
                  <w:r>
                    <w:rPr>
                      <w:rFonts w:hint="eastAsia"/>
                    </w:rPr>
                    <w:t>供电</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pPr>
                  <w:r>
                    <w:rPr>
                      <w:rFonts w:hint="eastAsia"/>
                      <w:lang w:val="en-US" w:eastAsia="zh-CN"/>
                    </w:rPr>
                    <w:t>园区</w:t>
                  </w:r>
                  <w:r>
                    <w:rPr>
                      <w:rFonts w:hint="eastAsia" w:cs="Times New Roman"/>
                      <w:szCs w:val="21"/>
                    </w:rPr>
                    <w:t>电网接入</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pPr>
                  <w:r>
                    <w:rPr>
                      <w:rFonts w:hint="eastAsia"/>
                      <w:lang w:val="en-US" w:eastAsia="zh-CN"/>
                    </w:rPr>
                    <w:t>依托原有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87" w:type="dxa"/>
                  <w:vMerge w:val="continue"/>
                  <w:tcBorders>
                    <w:left w:val="single" w:color="000000" w:sz="8" w:space="0"/>
                    <w:bottom w:val="single" w:color="auto" w:sz="4"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rPr>
                      <w:rFonts w:hint="eastAsia" w:eastAsia="宋体"/>
                      <w:lang w:val="en-US" w:eastAsia="zh-CN"/>
                    </w:rPr>
                  </w:pPr>
                  <w:r>
                    <w:rPr>
                      <w:rFonts w:hint="eastAsia"/>
                      <w:lang w:val="en-US" w:eastAsia="zh-CN"/>
                    </w:rPr>
                    <w:t>燃气</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rPr>
                      <w:rFonts w:hint="eastAsia"/>
                    </w:rPr>
                  </w:pPr>
                  <w:r>
                    <w:rPr>
                      <w:rFonts w:hint="eastAsia"/>
                      <w:lang w:eastAsia="zh-CN"/>
                    </w:rPr>
                    <w:t>由园区燃气管道供给</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rPr>
                      <w:rFonts w:hint="eastAsia"/>
                    </w:rPr>
                  </w:pPr>
                  <w:r>
                    <w:rPr>
                      <w:rFonts w:hint="eastAsia"/>
                      <w:lang w:val="en-US" w:eastAsia="zh-CN"/>
                    </w:rPr>
                    <w:t>依托原有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087" w:type="dxa"/>
                  <w:vMerge w:val="restart"/>
                  <w:tcBorders>
                    <w:top w:val="single" w:color="000000" w:sz="8" w:space="0"/>
                    <w:left w:val="single" w:color="000000" w:sz="8" w:space="0"/>
                    <w:right w:val="single" w:color="000000" w:sz="8" w:space="0"/>
                  </w:tcBorders>
                  <w:shd w:val="clear" w:color="auto" w:fill="FFFFFF"/>
                  <w:vAlign w:val="center"/>
                </w:tcPr>
                <w:p>
                  <w:pPr>
                    <w:pStyle w:val="33"/>
                  </w:pPr>
                  <w:r>
                    <w:rPr>
                      <w:rFonts w:hint="eastAsia"/>
                    </w:rPr>
                    <w:t>环保工程</w:t>
                  </w:r>
                </w:p>
              </w:tc>
              <w:tc>
                <w:tcPr>
                  <w:tcW w:w="1150"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33"/>
                  </w:pPr>
                  <w:r>
                    <w:rPr>
                      <w:rFonts w:hint="eastAsia"/>
                    </w:rPr>
                    <w:t>废气</w:t>
                  </w:r>
                </w:p>
              </w:tc>
              <w:tc>
                <w:tcPr>
                  <w:tcW w:w="4886" w:type="dxa"/>
                  <w:tcBorders>
                    <w:top w:val="single" w:color="000000" w:sz="8" w:space="0"/>
                    <w:left w:val="single" w:color="000000" w:sz="8" w:space="0"/>
                    <w:bottom w:val="single" w:color="auto" w:sz="4" w:space="0"/>
                    <w:right w:val="single" w:color="auto" w:sz="4" w:space="0"/>
                  </w:tcBorders>
                  <w:shd w:val="clear" w:color="auto" w:fill="FFFFFF"/>
                  <w:vAlign w:val="center"/>
                </w:tcPr>
                <w:p>
                  <w:pPr>
                    <w:pStyle w:val="33"/>
                    <w:rPr>
                      <w:rFonts w:hint="default" w:eastAsia="宋体"/>
                      <w:lang w:val="en-US" w:eastAsia="zh-CN"/>
                    </w:rPr>
                  </w:pPr>
                  <w:r>
                    <w:rPr>
                      <w:rFonts w:hint="eastAsia"/>
                      <w:highlight w:val="none"/>
                      <w:lang w:val="en-US" w:eastAsia="zh-CN"/>
                    </w:rPr>
                    <w:t>1台4.2MW燃气常压热水锅炉，采用</w:t>
                  </w:r>
                  <w:r>
                    <w:rPr>
                      <w:rFonts w:hint="eastAsia"/>
                    </w:rPr>
                    <w:t>清洁能源天然气作为燃料</w:t>
                  </w:r>
                  <w:r>
                    <w:rPr>
                      <w:rFonts w:hint="eastAsia"/>
                      <w:highlight w:val="none"/>
                    </w:rPr>
                    <w:t>，</w:t>
                  </w:r>
                  <w:r>
                    <w:rPr>
                      <w:rFonts w:hint="eastAsia"/>
                      <w:highlight w:val="none"/>
                      <w:lang w:val="en-US" w:eastAsia="zh-CN"/>
                    </w:rPr>
                    <w:t>加装</w:t>
                  </w:r>
                  <w:r>
                    <w:rPr>
                      <w:rFonts w:hint="eastAsia"/>
                      <w:highlight w:val="none"/>
                    </w:rPr>
                    <w:t>低氮燃烧器，烟气通过</w:t>
                  </w:r>
                  <w:r>
                    <w:rPr>
                      <w:rFonts w:hint="eastAsia"/>
                      <w:highlight w:val="none"/>
                      <w:lang w:val="en-US" w:eastAsia="zh-CN"/>
                    </w:rPr>
                    <w:t>1根16</w:t>
                  </w:r>
                  <w:r>
                    <w:rPr>
                      <w:rFonts w:hint="eastAsia"/>
                      <w:highlight w:val="none"/>
                    </w:rPr>
                    <w:t>m高排气筒排放</w:t>
                  </w:r>
                  <w:r>
                    <w:rPr>
                      <w:rFonts w:hint="eastAsia"/>
                      <w:highlight w:val="none"/>
                      <w:lang w:eastAsia="zh-CN"/>
                    </w:rPr>
                    <w:t>；</w:t>
                  </w:r>
                  <w:r>
                    <w:rPr>
                      <w:rFonts w:hint="eastAsia"/>
                      <w:lang w:val="en-US" w:eastAsia="zh-CN"/>
                    </w:rPr>
                    <w:t>根据《锅炉大气污染物排放标准》（GB13271-2014）中“新建锅炉房的烟囱周围半径200m距离内有建筑物时，其烟囱应高出最高建筑物3m”要求，本项目周边200m范围内最高建筑物为宿舍楼为13m高，因此本项目锅炉排气筒高度应该设置为16m</w:t>
                  </w:r>
                </w:p>
              </w:tc>
              <w:tc>
                <w:tcPr>
                  <w:tcW w:w="1104" w:type="dxa"/>
                  <w:tcBorders>
                    <w:top w:val="single" w:color="000000" w:sz="8" w:space="0"/>
                    <w:left w:val="single" w:color="auto" w:sz="4" w:space="0"/>
                    <w:bottom w:val="single" w:color="auto" w:sz="4" w:space="0"/>
                    <w:right w:val="single" w:color="000000" w:sz="8" w:space="0"/>
                  </w:tcBorders>
                  <w:shd w:val="clear" w:color="auto" w:fill="FFFFFF"/>
                  <w:vAlign w:val="center"/>
                </w:tcPr>
                <w:p>
                  <w:pPr>
                    <w:pStyle w:val="33"/>
                    <w:rPr>
                      <w:rFonts w:hint="eastAsia" w:eastAsia="宋体"/>
                      <w:lang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87" w:type="dxa"/>
                  <w:vMerge w:val="continue"/>
                  <w:tcBorders>
                    <w:left w:val="single" w:color="000000" w:sz="8"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right w:val="single" w:color="000000" w:sz="8" w:space="0"/>
                  </w:tcBorders>
                  <w:shd w:val="clear" w:color="auto" w:fill="FFFFFF"/>
                  <w:vAlign w:val="center"/>
                </w:tcPr>
                <w:p>
                  <w:pPr>
                    <w:pStyle w:val="33"/>
                  </w:pPr>
                  <w:r>
                    <w:rPr>
                      <w:rFonts w:hint="eastAsia"/>
                    </w:rPr>
                    <w:t>废水</w:t>
                  </w:r>
                </w:p>
              </w:tc>
              <w:tc>
                <w:tcPr>
                  <w:tcW w:w="4886" w:type="dxa"/>
                  <w:tcBorders>
                    <w:top w:val="single" w:color="000000" w:sz="8" w:space="0"/>
                    <w:left w:val="single" w:color="000000" w:sz="8" w:space="0"/>
                    <w:right w:val="single" w:color="auto" w:sz="4" w:space="0"/>
                  </w:tcBorders>
                  <w:shd w:val="clear" w:color="auto" w:fill="FFFFFF"/>
                  <w:vAlign w:val="center"/>
                </w:tcPr>
                <w:p>
                  <w:pPr>
                    <w:pStyle w:val="33"/>
                  </w:pPr>
                  <w:r>
                    <w:rPr>
                      <w:rFonts w:hint="eastAsia"/>
                      <w:highlight w:val="none"/>
                      <w:lang w:val="en-US" w:eastAsia="zh-CN"/>
                    </w:rPr>
                    <w:t>软化水装置产生的浓水和</w:t>
                  </w:r>
                  <w:r>
                    <w:rPr>
                      <w:rFonts w:hint="eastAsia"/>
                      <w:highlight w:val="none"/>
                    </w:rPr>
                    <w:t>锅炉</w:t>
                  </w:r>
                  <w:r>
                    <w:rPr>
                      <w:rFonts w:hint="eastAsia"/>
                      <w:highlight w:val="none"/>
                      <w:lang w:val="en-US" w:eastAsia="zh-CN"/>
                    </w:rPr>
                    <w:t>废</w:t>
                  </w:r>
                  <w:r>
                    <w:rPr>
                      <w:rFonts w:hint="eastAsia"/>
                      <w:highlight w:val="none"/>
                    </w:rPr>
                    <w:t>水</w:t>
                  </w:r>
                  <w:r>
                    <w:rPr>
                      <w:rFonts w:hint="eastAsia"/>
                      <w:kern w:val="0"/>
                      <w:szCs w:val="21"/>
                    </w:rPr>
                    <w:t>排入园区污水管网，进入园区污水处理厂进一步处置</w:t>
                  </w:r>
                </w:p>
              </w:tc>
              <w:tc>
                <w:tcPr>
                  <w:tcW w:w="1104" w:type="dxa"/>
                  <w:tcBorders>
                    <w:top w:val="single" w:color="000000" w:sz="8" w:space="0"/>
                    <w:left w:val="single" w:color="auto" w:sz="4" w:space="0"/>
                    <w:bottom w:val="single" w:color="auto" w:sz="4" w:space="0"/>
                    <w:right w:val="single" w:color="000000" w:sz="8" w:space="0"/>
                  </w:tcBorders>
                  <w:shd w:val="clear" w:color="auto" w:fill="FFFFFF"/>
                  <w:vAlign w:val="center"/>
                </w:tcPr>
                <w:p>
                  <w:pPr>
                    <w:pStyle w:val="33"/>
                    <w:rPr>
                      <w:rFonts w:hint="eastAsia" w:eastAsia="宋体"/>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87" w:type="dxa"/>
                  <w:vMerge w:val="continue"/>
                  <w:tcBorders>
                    <w:left w:val="single" w:color="000000" w:sz="8"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pPr>
                  <w:r>
                    <w:rPr>
                      <w:rFonts w:hint="eastAsia"/>
                    </w:rPr>
                    <w:t>噪声</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pPr>
                  <w:r>
                    <w:t>控制噪声源，</w:t>
                  </w:r>
                  <w:r>
                    <w:rPr>
                      <w:rFonts w:hint="eastAsia"/>
                    </w:rPr>
                    <w:t>基础减震、隔声</w:t>
                  </w:r>
                  <w:r>
                    <w:t>等措施</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rPr>
                      <w:rFonts w:hint="eastAsia" w:eastAsia="宋体"/>
                      <w:lang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87" w:type="dxa"/>
                  <w:vMerge w:val="continue"/>
                  <w:tcBorders>
                    <w:left w:val="single" w:color="000000" w:sz="8"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pPr>
                  <w:r>
                    <w:rPr>
                      <w:rFonts w:hint="eastAsia"/>
                    </w:rPr>
                    <w:t>固废</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rPr>
                      <w:rFonts w:hint="default" w:eastAsia="宋体"/>
                      <w:lang w:val="en-US" w:eastAsia="zh-CN"/>
                    </w:rPr>
                  </w:pPr>
                  <w:r>
                    <w:rPr>
                      <w:rFonts w:hint="eastAsia" w:ascii="宋体" w:hAnsi="宋体"/>
                      <w:szCs w:val="24"/>
                    </w:rPr>
                    <w:t>本项目</w:t>
                  </w:r>
                  <w:r>
                    <w:rPr>
                      <w:rFonts w:hint="eastAsia" w:ascii="Times New Roman" w:hAnsi="Times New Roman" w:cs="Times New Roman"/>
                      <w:lang w:val="en-US" w:eastAsia="zh-CN"/>
                    </w:rPr>
                    <w:t>锅炉</w:t>
                  </w:r>
                  <w:r>
                    <w:rPr>
                      <w:rFonts w:hint="default" w:ascii="Times New Roman" w:hAnsi="Times New Roman" w:cs="Times New Roman"/>
                      <w:lang w:val="en-US" w:eastAsia="zh-CN"/>
                    </w:rPr>
                    <w:t>软化水</w:t>
                  </w:r>
                  <w:r>
                    <w:rPr>
                      <w:rFonts w:hint="default" w:ascii="Times New Roman" w:hAnsi="Times New Roman" w:cs="Times New Roman"/>
                    </w:rPr>
                    <w:t>装置</w:t>
                  </w:r>
                  <w:r>
                    <w:rPr>
                      <w:rFonts w:hint="eastAsia" w:ascii="宋体" w:hAnsi="宋体"/>
                      <w:szCs w:val="24"/>
                    </w:rPr>
                    <w:t>产生</w:t>
                  </w:r>
                  <w:r>
                    <w:rPr>
                      <w:rFonts w:hint="eastAsia" w:ascii="宋体" w:hAnsi="宋体"/>
                      <w:szCs w:val="24"/>
                      <w:lang w:val="en-US" w:eastAsia="zh-CN"/>
                    </w:rPr>
                    <w:t>的离子交换树脂由厂家进行定期更换回收</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Merge w:val="continue"/>
                  <w:tcBorders>
                    <w:left w:val="single" w:color="000000" w:sz="8"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pPr>
                  <w:r>
                    <w:rPr>
                      <w:rFonts w:hint="eastAsia"/>
                    </w:rPr>
                    <w:t>土壤</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pPr>
                  <w:r>
                    <w:rPr>
                      <w:rFonts w:hint="eastAsia"/>
                    </w:rPr>
                    <w:t>锅炉房地面采用水泥硬化</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pPr>
                  <w:r>
                    <w:rPr>
                      <w:rFonts w:hint="eastAsia"/>
                      <w:lang w:val="en-US" w:eastAsia="zh-CN"/>
                    </w:rPr>
                    <w:t>依托原有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087" w:type="dxa"/>
                  <w:vMerge w:val="continue"/>
                  <w:tcBorders>
                    <w:left w:val="single" w:color="000000" w:sz="8" w:space="0"/>
                    <w:bottom w:val="single" w:color="000000" w:sz="8" w:space="0"/>
                    <w:right w:val="single" w:color="000000" w:sz="8" w:space="0"/>
                  </w:tcBorders>
                  <w:shd w:val="clear" w:color="auto" w:fill="FFFFFF"/>
                  <w:vAlign w:val="center"/>
                </w:tcPr>
                <w:p>
                  <w:pPr>
                    <w:pStyle w:val="33"/>
                  </w:pPr>
                </w:p>
              </w:tc>
              <w:tc>
                <w:tcPr>
                  <w:tcW w:w="11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3"/>
                  </w:pPr>
                  <w:r>
                    <w:rPr>
                      <w:rFonts w:hint="eastAsia"/>
                    </w:rPr>
                    <w:t>风险</w:t>
                  </w:r>
                </w:p>
              </w:tc>
              <w:tc>
                <w:tcPr>
                  <w:tcW w:w="4886" w:type="dxa"/>
                  <w:tcBorders>
                    <w:top w:val="single" w:color="000000" w:sz="8" w:space="0"/>
                    <w:left w:val="single" w:color="000000" w:sz="8" w:space="0"/>
                    <w:bottom w:val="single" w:color="000000" w:sz="8" w:space="0"/>
                    <w:right w:val="single" w:color="auto" w:sz="4" w:space="0"/>
                  </w:tcBorders>
                  <w:shd w:val="clear" w:color="auto" w:fill="FFFFFF"/>
                  <w:vAlign w:val="center"/>
                </w:tcPr>
                <w:p>
                  <w:pPr>
                    <w:pStyle w:val="33"/>
                    <w:rPr>
                      <w:rFonts w:hint="default" w:eastAsia="宋体"/>
                      <w:lang w:val="en-US" w:eastAsia="zh-CN"/>
                    </w:rPr>
                  </w:pPr>
                  <w:r>
                    <w:rPr>
                      <w:rFonts w:hint="eastAsia"/>
                      <w:lang w:val="en-US" w:eastAsia="zh-CN"/>
                    </w:rPr>
                    <w:t>厂区主体工程已编制</w:t>
                  </w:r>
                  <w:r>
                    <w:rPr>
                      <w:rFonts w:hint="eastAsia"/>
                    </w:rPr>
                    <w:t>突发环境事件应急预案</w:t>
                  </w:r>
                  <w:r>
                    <w:rPr>
                      <w:rFonts w:hint="eastAsia"/>
                      <w:lang w:val="en-US" w:eastAsia="zh-CN"/>
                    </w:rPr>
                    <w:t>并</w:t>
                  </w:r>
                  <w:r>
                    <w:rPr>
                      <w:rFonts w:hint="eastAsia"/>
                    </w:rPr>
                    <w:t>配置应急物资</w:t>
                  </w:r>
                  <w:r>
                    <w:rPr>
                      <w:rFonts w:hint="eastAsia"/>
                      <w:lang w:eastAsia="zh-CN"/>
                    </w:rPr>
                    <w:t>，</w:t>
                  </w:r>
                  <w:r>
                    <w:rPr>
                      <w:rFonts w:hint="eastAsia"/>
                      <w:lang w:val="en-US" w:eastAsia="zh-CN"/>
                    </w:rPr>
                    <w:t>其中包含本项目锅炉</w:t>
                  </w:r>
                  <w:r>
                    <w:rPr>
                      <w:rFonts w:hint="eastAsia"/>
                    </w:rPr>
                    <w:t>应急处置措施</w:t>
                  </w:r>
                </w:p>
              </w:tc>
              <w:tc>
                <w:tcPr>
                  <w:tcW w:w="1104" w:type="dxa"/>
                  <w:tcBorders>
                    <w:top w:val="single" w:color="000000" w:sz="8" w:space="0"/>
                    <w:left w:val="single" w:color="auto" w:sz="4" w:space="0"/>
                    <w:bottom w:val="single" w:color="000000" w:sz="8" w:space="0"/>
                    <w:right w:val="single" w:color="000000" w:sz="8" w:space="0"/>
                  </w:tcBorders>
                  <w:shd w:val="clear" w:color="auto" w:fill="FFFFFF"/>
                  <w:vAlign w:val="center"/>
                </w:tcPr>
                <w:p>
                  <w:pPr>
                    <w:pStyle w:val="33"/>
                    <w:rPr>
                      <w:rFonts w:hint="default" w:eastAsia="宋体"/>
                      <w:lang w:val="en-US" w:eastAsia="zh-CN"/>
                    </w:rPr>
                  </w:pPr>
                  <w:r>
                    <w:rPr>
                      <w:rFonts w:hint="eastAsia"/>
                      <w:lang w:val="en-US" w:eastAsia="zh-CN"/>
                    </w:rPr>
                    <w:t>/</w:t>
                  </w:r>
                </w:p>
              </w:tc>
            </w:tr>
          </w:tbl>
          <w:p>
            <w:pPr>
              <w:pStyle w:val="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主要设备</w:t>
            </w:r>
          </w:p>
          <w:p>
            <w:pPr>
              <w:ind w:firstLine="480"/>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w:t>
            </w:r>
            <w:r>
              <w:rPr>
                <w:rFonts w:hint="eastAsia"/>
                <w:color w:val="000000" w:themeColor="text1"/>
                <w14:textFill>
                  <w14:solidFill>
                    <w14:schemeClr w14:val="tx1"/>
                  </w14:solidFill>
                </w14:textFill>
              </w:rPr>
              <w:t>项目主要生产设备见下表：</w:t>
            </w:r>
          </w:p>
          <w:p>
            <w:pPr>
              <w:pStyle w:val="34"/>
              <w:bidi w:val="0"/>
            </w:pPr>
            <w:r>
              <w:t>表2-</w:t>
            </w:r>
            <w:r>
              <w:rPr>
                <w:rFonts w:hint="eastAsia"/>
                <w:lang w:val="en-US" w:eastAsia="zh-CN"/>
              </w:rPr>
              <w:t>2</w:t>
            </w:r>
            <w:r>
              <w:t xml:space="preserve">  </w:t>
            </w:r>
            <w:r>
              <w:rPr>
                <w:rFonts w:hint="eastAsia"/>
              </w:rPr>
              <w:t>主要设备一览表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950"/>
              <w:gridCol w:w="666"/>
              <w:gridCol w:w="734"/>
              <w:gridCol w:w="3466"/>
              <w:gridCol w:w="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05" w:type="pct"/>
                  <w:vAlign w:val="center"/>
                </w:tcPr>
                <w:p>
                  <w:pPr>
                    <w:widowControl/>
                    <w:spacing w:line="240" w:lineRule="auto"/>
                    <w:ind w:firstLine="0" w:firstLineChars="0"/>
                    <w:jc w:val="center"/>
                    <w:textAlignment w:val="auto"/>
                    <w:rPr>
                      <w:rFonts w:cs="Times New Roman"/>
                      <w:color w:val="000000"/>
                      <w:kern w:val="0"/>
                      <w:sz w:val="21"/>
                      <w:szCs w:val="21"/>
                    </w:rPr>
                  </w:pPr>
                  <w:r>
                    <w:rPr>
                      <w:rFonts w:cs="Times New Roman"/>
                      <w:color w:val="000000"/>
                      <w:kern w:val="0"/>
                      <w:sz w:val="21"/>
                      <w:szCs w:val="21"/>
                    </w:rPr>
                    <w:t>序号</w:t>
                  </w:r>
                </w:p>
              </w:tc>
              <w:tc>
                <w:tcPr>
                  <w:tcW w:w="1174" w:type="pct"/>
                  <w:vAlign w:val="center"/>
                </w:tcPr>
                <w:p>
                  <w:pPr>
                    <w:widowControl/>
                    <w:spacing w:line="240" w:lineRule="auto"/>
                    <w:ind w:firstLine="0" w:firstLineChars="0"/>
                    <w:jc w:val="center"/>
                    <w:textAlignment w:val="auto"/>
                    <w:rPr>
                      <w:rFonts w:cs="Times New Roman"/>
                      <w:color w:val="000000"/>
                      <w:kern w:val="0"/>
                      <w:sz w:val="21"/>
                      <w:szCs w:val="21"/>
                    </w:rPr>
                  </w:pPr>
                  <w:r>
                    <w:rPr>
                      <w:rFonts w:cs="Times New Roman"/>
                      <w:color w:val="000000"/>
                      <w:kern w:val="0"/>
                      <w:sz w:val="21"/>
                      <w:szCs w:val="21"/>
                    </w:rPr>
                    <w:t>名称</w:t>
                  </w:r>
                </w:p>
              </w:tc>
              <w:tc>
                <w:tcPr>
                  <w:tcW w:w="401" w:type="pct"/>
                  <w:vAlign w:val="center"/>
                </w:tcPr>
                <w:p>
                  <w:pPr>
                    <w:widowControl/>
                    <w:spacing w:line="240" w:lineRule="auto"/>
                    <w:ind w:firstLine="0" w:firstLineChars="0"/>
                    <w:jc w:val="center"/>
                    <w:textAlignment w:val="auto"/>
                    <w:rPr>
                      <w:rFonts w:cs="Times New Roman"/>
                      <w:color w:val="000000"/>
                      <w:kern w:val="0"/>
                      <w:sz w:val="21"/>
                      <w:szCs w:val="21"/>
                    </w:rPr>
                  </w:pPr>
                  <w:r>
                    <w:rPr>
                      <w:rFonts w:cs="Times New Roman"/>
                      <w:color w:val="000000"/>
                      <w:kern w:val="0"/>
                      <w:sz w:val="21"/>
                      <w:szCs w:val="21"/>
                    </w:rPr>
                    <w:t>单位</w:t>
                  </w:r>
                </w:p>
              </w:tc>
              <w:tc>
                <w:tcPr>
                  <w:tcW w:w="442" w:type="pct"/>
                  <w:vAlign w:val="center"/>
                </w:tcPr>
                <w:p>
                  <w:pPr>
                    <w:widowControl/>
                    <w:spacing w:line="240" w:lineRule="auto"/>
                    <w:ind w:firstLine="0" w:firstLineChars="0"/>
                    <w:jc w:val="center"/>
                    <w:textAlignment w:val="auto"/>
                    <w:rPr>
                      <w:rFonts w:cs="Times New Roman"/>
                      <w:color w:val="000000"/>
                      <w:kern w:val="0"/>
                      <w:sz w:val="21"/>
                      <w:szCs w:val="21"/>
                    </w:rPr>
                  </w:pPr>
                  <w:r>
                    <w:rPr>
                      <w:rFonts w:cs="Times New Roman"/>
                      <w:color w:val="000000"/>
                      <w:kern w:val="0"/>
                      <w:sz w:val="21"/>
                      <w:szCs w:val="21"/>
                    </w:rPr>
                    <w:t>数量</w:t>
                  </w:r>
                </w:p>
              </w:tc>
              <w:tc>
                <w:tcPr>
                  <w:tcW w:w="2087" w:type="pct"/>
                  <w:vAlign w:val="center"/>
                </w:tcPr>
                <w:p>
                  <w:pPr>
                    <w:widowControl/>
                    <w:spacing w:line="240" w:lineRule="auto"/>
                    <w:ind w:firstLine="0" w:firstLineChars="0"/>
                    <w:jc w:val="center"/>
                    <w:textAlignment w:val="auto"/>
                    <w:rPr>
                      <w:rFonts w:cs="Times New Roman"/>
                      <w:color w:val="000000"/>
                      <w:kern w:val="0"/>
                      <w:sz w:val="21"/>
                      <w:szCs w:val="21"/>
                    </w:rPr>
                  </w:pPr>
                  <w:r>
                    <w:rPr>
                      <w:rFonts w:hint="eastAsia" w:cs="Times New Roman"/>
                      <w:color w:val="000000"/>
                      <w:kern w:val="0"/>
                      <w:sz w:val="21"/>
                      <w:szCs w:val="21"/>
                    </w:rPr>
                    <w:t>型号及规格</w:t>
                  </w:r>
                </w:p>
              </w:tc>
              <w:tc>
                <w:tcPr>
                  <w:tcW w:w="488" w:type="pct"/>
                  <w:vAlign w:val="center"/>
                </w:tcPr>
                <w:p>
                  <w:pPr>
                    <w:widowControl/>
                    <w:spacing w:line="240" w:lineRule="auto"/>
                    <w:ind w:firstLine="0" w:firstLineChars="0"/>
                    <w:jc w:val="center"/>
                    <w:textAlignment w:val="auto"/>
                    <w:rPr>
                      <w:rFonts w:cs="Times New Roman"/>
                      <w:color w:val="000000"/>
                      <w:kern w:val="0"/>
                      <w:sz w:val="21"/>
                      <w:szCs w:val="21"/>
                    </w:rPr>
                  </w:pPr>
                  <w:r>
                    <w:rPr>
                      <w:rFonts w:hint="eastAsia" w:cs="Times New Roman"/>
                      <w:color w:val="000000"/>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05" w:type="pct"/>
                  <w:vAlign w:val="center"/>
                </w:tcPr>
                <w:p>
                  <w:pPr>
                    <w:widowControl/>
                    <w:spacing w:line="240" w:lineRule="auto"/>
                    <w:ind w:firstLine="0" w:firstLineChars="0"/>
                    <w:jc w:val="center"/>
                    <w:textAlignment w:val="auto"/>
                    <w:rPr>
                      <w:rFonts w:cs="Times New Roman"/>
                      <w:bCs/>
                      <w:color w:val="000000"/>
                      <w:kern w:val="0"/>
                      <w:sz w:val="21"/>
                      <w:szCs w:val="21"/>
                    </w:rPr>
                  </w:pPr>
                  <w:r>
                    <w:rPr>
                      <w:rFonts w:cs="Times New Roman"/>
                      <w:bCs/>
                      <w:color w:val="000000"/>
                      <w:kern w:val="0"/>
                      <w:sz w:val="21"/>
                      <w:szCs w:val="21"/>
                    </w:rPr>
                    <w:t>1</w:t>
                  </w:r>
                </w:p>
              </w:tc>
              <w:tc>
                <w:tcPr>
                  <w:tcW w:w="1174"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eastAsia="zh-CN"/>
                    </w:rPr>
                  </w:pPr>
                  <w:r>
                    <w:rPr>
                      <w:rFonts w:hint="eastAsia" w:cs="Times New Roman"/>
                      <w:color w:val="000000"/>
                      <w:kern w:val="0"/>
                      <w:sz w:val="21"/>
                      <w:szCs w:val="21"/>
                      <w:lang w:val="en-US" w:eastAsia="zh-CN"/>
                    </w:rPr>
                    <w:t>锅炉主机</w:t>
                  </w:r>
                </w:p>
              </w:tc>
              <w:tc>
                <w:tcPr>
                  <w:tcW w:w="401" w:type="pct"/>
                  <w:vAlign w:val="center"/>
                </w:tcPr>
                <w:p>
                  <w:pPr>
                    <w:widowControl/>
                    <w:spacing w:line="240" w:lineRule="auto"/>
                    <w:ind w:firstLine="0" w:firstLineChars="0"/>
                    <w:jc w:val="center"/>
                    <w:textAlignment w:val="auto"/>
                    <w:rPr>
                      <w:rFonts w:hint="eastAsia" w:eastAsia="宋体" w:cs="Times New Roman"/>
                      <w:bCs/>
                      <w:color w:val="000000"/>
                      <w:kern w:val="0"/>
                      <w:sz w:val="21"/>
                      <w:szCs w:val="21"/>
                      <w:lang w:eastAsia="zh-CN"/>
                    </w:rPr>
                  </w:pPr>
                  <w:r>
                    <w:rPr>
                      <w:rFonts w:hint="eastAsia" w:cs="Times New Roman"/>
                      <w:bCs/>
                      <w:color w:val="000000"/>
                      <w:kern w:val="0"/>
                      <w:sz w:val="21"/>
                      <w:szCs w:val="21"/>
                      <w:lang w:val="en-US" w:eastAsia="zh-CN"/>
                    </w:rPr>
                    <w:t>台</w:t>
                  </w:r>
                </w:p>
              </w:tc>
              <w:tc>
                <w:tcPr>
                  <w:tcW w:w="442" w:type="pct"/>
                  <w:vAlign w:val="center"/>
                </w:tcPr>
                <w:p>
                  <w:pPr>
                    <w:widowControl/>
                    <w:spacing w:line="240" w:lineRule="auto"/>
                    <w:ind w:firstLine="0" w:firstLineChars="0"/>
                    <w:jc w:val="center"/>
                    <w:textAlignment w:val="auto"/>
                    <w:rPr>
                      <w:rFonts w:cs="Times New Roman"/>
                      <w:bCs/>
                      <w:color w:val="000000"/>
                      <w:kern w:val="0"/>
                      <w:sz w:val="21"/>
                      <w:szCs w:val="21"/>
                    </w:rPr>
                  </w:pPr>
                  <w:r>
                    <w:rPr>
                      <w:rFonts w:hint="eastAsia" w:cs="Times New Roman"/>
                      <w:bCs/>
                      <w:color w:val="000000"/>
                      <w:kern w:val="0"/>
                      <w:sz w:val="21"/>
                      <w:szCs w:val="21"/>
                    </w:rPr>
                    <w:t>1</w:t>
                  </w:r>
                </w:p>
              </w:tc>
              <w:tc>
                <w:tcPr>
                  <w:tcW w:w="2087" w:type="pct"/>
                  <w:vAlign w:val="center"/>
                </w:tcPr>
                <w:p>
                  <w:pPr>
                    <w:spacing w:line="240" w:lineRule="auto"/>
                    <w:ind w:firstLine="0" w:firstLineChars="0"/>
                    <w:jc w:val="center"/>
                    <w:textAlignment w:val="auto"/>
                    <w:rPr>
                      <w:rFonts w:hint="default" w:eastAsia="宋体" w:cs="Times New Roman"/>
                      <w:bCs/>
                      <w:color w:val="000000"/>
                      <w:kern w:val="0"/>
                      <w:sz w:val="21"/>
                      <w:szCs w:val="21"/>
                      <w:lang w:val="en-US" w:eastAsia="zh-CN"/>
                    </w:rPr>
                  </w:pPr>
                  <w:r>
                    <w:rPr>
                      <w:rFonts w:hint="eastAsia" w:cs="Times New Roman"/>
                      <w:bCs/>
                      <w:color w:val="000000"/>
                      <w:kern w:val="0"/>
                      <w:sz w:val="21"/>
                      <w:szCs w:val="21"/>
                      <w:lang w:val="en-US" w:eastAsia="zh-CN"/>
                    </w:rPr>
                    <w:t>CWNS4.2-85/60-Q；C2106.0CD</w:t>
                  </w:r>
                </w:p>
              </w:tc>
              <w:tc>
                <w:tcPr>
                  <w:tcW w:w="488" w:type="pct"/>
                  <w:vAlign w:val="center"/>
                </w:tcPr>
                <w:p>
                  <w:pPr>
                    <w:widowControl/>
                    <w:spacing w:line="240" w:lineRule="auto"/>
                    <w:ind w:firstLine="0" w:firstLineChars="0"/>
                    <w:jc w:val="center"/>
                    <w:textAlignment w:val="auto"/>
                    <w:rPr>
                      <w:rFonts w:hint="eastAsia" w:eastAsia="宋体" w:cs="Times New Roman"/>
                      <w:bCs/>
                      <w:color w:val="000000"/>
                      <w:kern w:val="0"/>
                      <w:sz w:val="21"/>
                      <w:szCs w:val="21"/>
                      <w:lang w:eastAsia="zh-CN"/>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05" w:type="pct"/>
                  <w:vAlign w:val="center"/>
                </w:tcPr>
                <w:p>
                  <w:pPr>
                    <w:widowControl/>
                    <w:spacing w:line="240" w:lineRule="auto"/>
                    <w:ind w:firstLine="0" w:firstLineChars="0"/>
                    <w:jc w:val="center"/>
                    <w:textAlignment w:val="auto"/>
                    <w:rPr>
                      <w:rFonts w:cs="Times New Roman"/>
                      <w:color w:val="000000"/>
                      <w:kern w:val="0"/>
                      <w:sz w:val="21"/>
                      <w:szCs w:val="21"/>
                    </w:rPr>
                  </w:pPr>
                  <w:r>
                    <w:rPr>
                      <w:rFonts w:cs="Times New Roman"/>
                      <w:color w:val="000000"/>
                      <w:kern w:val="0"/>
                      <w:sz w:val="21"/>
                      <w:szCs w:val="21"/>
                    </w:rPr>
                    <w:t>2</w:t>
                  </w:r>
                </w:p>
              </w:tc>
              <w:tc>
                <w:tcPr>
                  <w:tcW w:w="1174" w:type="pct"/>
                  <w:vAlign w:val="center"/>
                </w:tcPr>
                <w:p>
                  <w:pPr>
                    <w:widowControl/>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燃气燃烧机含阀组</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eastAsia="zh-CN"/>
                    </w:rPr>
                  </w:pPr>
                  <w:r>
                    <w:rPr>
                      <w:rFonts w:hint="eastAsia" w:cs="Times New Roman"/>
                      <w:color w:val="000000"/>
                      <w:sz w:val="21"/>
                      <w:szCs w:val="21"/>
                      <w:lang w:val="en-US" w:eastAsia="zh-CN"/>
                    </w:rPr>
                    <w:t>套</w:t>
                  </w:r>
                </w:p>
              </w:tc>
              <w:tc>
                <w:tcPr>
                  <w:tcW w:w="442" w:type="pct"/>
                  <w:vAlign w:val="center"/>
                </w:tcPr>
                <w:p>
                  <w:pPr>
                    <w:widowControl/>
                    <w:spacing w:line="240" w:lineRule="auto"/>
                    <w:ind w:firstLine="0" w:firstLineChars="0"/>
                    <w:jc w:val="center"/>
                    <w:textAlignment w:val="auto"/>
                    <w:rPr>
                      <w:rFonts w:cs="Times New Roman"/>
                      <w:color w:val="000000"/>
                      <w:kern w:val="0"/>
                      <w:sz w:val="21"/>
                      <w:szCs w:val="21"/>
                    </w:rPr>
                  </w:pPr>
                  <w:r>
                    <w:rPr>
                      <w:rFonts w:hint="eastAsia" w:cs="Times New Roman"/>
                      <w:color w:val="000000"/>
                      <w:kern w:val="0"/>
                      <w:sz w:val="21"/>
                      <w:szCs w:val="21"/>
                    </w:rPr>
                    <w:t>1</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sz w:val="21"/>
                      <w:szCs w:val="21"/>
                      <w:lang w:val="en-US" w:eastAsia="zh-CN"/>
                    </w:rPr>
                    <w:t>RS610/E FGR</w:t>
                  </w:r>
                </w:p>
              </w:tc>
              <w:tc>
                <w:tcPr>
                  <w:tcW w:w="488" w:type="pct"/>
                  <w:vAlign w:val="center"/>
                </w:tcPr>
                <w:p>
                  <w:pPr>
                    <w:widowControl/>
                    <w:spacing w:line="240" w:lineRule="auto"/>
                    <w:ind w:firstLine="0" w:firstLineChars="0"/>
                    <w:jc w:val="center"/>
                    <w:textAlignment w:val="auto"/>
                    <w:rPr>
                      <w:rFonts w:cs="Times New Roman"/>
                      <w:color w:val="000000"/>
                      <w:kern w:val="0"/>
                      <w:sz w:val="21"/>
                      <w:szCs w:val="21"/>
                    </w:rPr>
                  </w:pPr>
                  <w:r>
                    <w:rPr>
                      <w:rFonts w:hint="eastAsia" w:cs="Times New Roman"/>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05"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1174" w:type="pct"/>
                  <w:vAlign w:val="center"/>
                </w:tcPr>
                <w:p>
                  <w:pPr>
                    <w:widowControl/>
                    <w:spacing w:line="240" w:lineRule="auto"/>
                    <w:ind w:firstLine="0" w:firstLineChars="0"/>
                    <w:jc w:val="center"/>
                    <w:textAlignment w:val="auto"/>
                    <w:rPr>
                      <w:rFonts w:hint="eastAsia" w:cs="Times New Roman"/>
                      <w:color w:val="000000"/>
                      <w:kern w:val="0"/>
                      <w:sz w:val="21"/>
                      <w:szCs w:val="21"/>
                      <w:lang w:val="en-US" w:eastAsia="zh-CN"/>
                    </w:rPr>
                  </w:pPr>
                  <w:r>
                    <w:rPr>
                      <w:rFonts w:hint="eastAsia" w:cs="Times New Roman"/>
                      <w:color w:val="000000"/>
                      <w:kern w:val="0"/>
                      <w:sz w:val="21"/>
                      <w:szCs w:val="21"/>
                      <w:lang w:val="en-US" w:eastAsia="zh-CN"/>
                    </w:rPr>
                    <w:t>控制柜</w:t>
                  </w:r>
                </w:p>
              </w:tc>
              <w:tc>
                <w:tcPr>
                  <w:tcW w:w="401" w:type="pct"/>
                  <w:vAlign w:val="center"/>
                </w:tcPr>
                <w:p>
                  <w:pPr>
                    <w:spacing w:line="240" w:lineRule="auto"/>
                    <w:ind w:firstLine="0" w:firstLineChars="0"/>
                    <w:jc w:val="center"/>
                    <w:textAlignment w:val="auto"/>
                    <w:rPr>
                      <w:rFonts w:hint="default" w:cs="Times New Roman"/>
                      <w:color w:val="000000"/>
                      <w:sz w:val="21"/>
                      <w:szCs w:val="21"/>
                      <w:lang w:val="en-US" w:eastAsia="zh-CN"/>
                    </w:rPr>
                  </w:pPr>
                  <w:r>
                    <w:rPr>
                      <w:rFonts w:hint="eastAsia" w:cs="Times New Roman"/>
                      <w:color w:val="000000"/>
                      <w:sz w:val="21"/>
                      <w:szCs w:val="21"/>
                      <w:lang w:val="en-US" w:eastAsia="zh-CN"/>
                    </w:rPr>
                    <w:t>套</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2087" w:type="pct"/>
                  <w:vAlign w:val="center"/>
                </w:tcPr>
                <w:p>
                  <w:pPr>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PLC+触摸屏</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eastAsia" w:eastAsia="宋体" w:cs="Times New Roman"/>
                      <w:bCs/>
                      <w:color w:val="000000"/>
                      <w:kern w:val="0"/>
                      <w:sz w:val="21"/>
                      <w:szCs w:val="21"/>
                      <w:lang w:eastAsia="zh-CN"/>
                    </w:rPr>
                  </w:pPr>
                  <w:r>
                    <w:rPr>
                      <w:rFonts w:hint="eastAsia" w:cs="Times New Roman"/>
                      <w:bCs/>
                      <w:color w:val="000000"/>
                      <w:kern w:val="0"/>
                      <w:sz w:val="21"/>
                      <w:szCs w:val="21"/>
                      <w:lang w:val="en-US" w:eastAsia="zh-CN"/>
                    </w:rPr>
                    <w:t>4</w:t>
                  </w:r>
                </w:p>
              </w:tc>
              <w:tc>
                <w:tcPr>
                  <w:tcW w:w="1174" w:type="pct"/>
                  <w:vAlign w:val="center"/>
                </w:tcPr>
                <w:p>
                  <w:pPr>
                    <w:widowControl/>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烟囱</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eastAsia="zh-CN"/>
                    </w:rPr>
                  </w:pPr>
                  <w:r>
                    <w:rPr>
                      <w:rFonts w:hint="eastAsia" w:cs="Times New Roman"/>
                      <w:color w:val="000000"/>
                      <w:sz w:val="21"/>
                      <w:szCs w:val="21"/>
                      <w:lang w:val="en-US" w:eastAsia="zh-CN"/>
                    </w:rPr>
                    <w:t>根</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eastAsia="zh-CN"/>
                    </w:rPr>
                  </w:pPr>
                  <w:r>
                    <w:rPr>
                      <w:rFonts w:hint="eastAsia" w:cs="Times New Roman"/>
                      <w:color w:val="000000"/>
                      <w:kern w:val="0"/>
                      <w:sz w:val="21"/>
                      <w:szCs w:val="21"/>
                      <w:lang w:val="en-US" w:eastAsia="zh-CN"/>
                    </w:rPr>
                    <w:t>2</w:t>
                  </w:r>
                </w:p>
              </w:tc>
              <w:tc>
                <w:tcPr>
                  <w:tcW w:w="2087" w:type="pct"/>
                  <w:vAlign w:val="center"/>
                </w:tcPr>
                <w:p>
                  <w:pPr>
                    <w:spacing w:line="240" w:lineRule="auto"/>
                    <w:ind w:firstLine="0" w:firstLineChars="0"/>
                    <w:jc w:val="center"/>
                    <w:textAlignment w:val="auto"/>
                    <w:rPr>
                      <w:rFonts w:hint="default"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ϕ</w:t>
                  </w:r>
                  <w:r>
                    <w:rPr>
                      <w:rFonts w:hint="eastAsia" w:cs="Times New Roman"/>
                      <w:color w:val="000000"/>
                      <w:kern w:val="0"/>
                      <w:sz w:val="21"/>
                      <w:szCs w:val="21"/>
                      <w:lang w:val="en-US" w:eastAsia="zh-CN"/>
                    </w:rPr>
                    <w:t>550</w:t>
                  </w:r>
                  <w:r>
                    <w:rPr>
                      <w:rFonts w:hint="default" w:ascii="Times New Roman" w:hAnsi="Times New Roman" w:cs="Times New Roman"/>
                      <w:color w:val="000000"/>
                      <w:kern w:val="0"/>
                      <w:sz w:val="21"/>
                      <w:szCs w:val="21"/>
                      <w:lang w:val="en-US" w:eastAsia="zh-CN"/>
                    </w:rPr>
                    <w:t>×</w:t>
                  </w:r>
                  <w:r>
                    <w:rPr>
                      <w:rFonts w:hint="eastAsia" w:ascii="Times New Roman" w:hAnsi="Times New Roman" w:cs="Times New Roman"/>
                      <w:color w:val="000000"/>
                      <w:kern w:val="0"/>
                      <w:sz w:val="21"/>
                      <w:szCs w:val="21"/>
                      <w:lang w:val="en-US" w:eastAsia="zh-CN"/>
                    </w:rPr>
                    <w:t>8000</w:t>
                  </w:r>
                </w:p>
              </w:tc>
              <w:tc>
                <w:tcPr>
                  <w:tcW w:w="488" w:type="pct"/>
                  <w:vAlign w:val="center"/>
                </w:tcPr>
                <w:p>
                  <w:pPr>
                    <w:widowControl/>
                    <w:spacing w:line="240" w:lineRule="auto"/>
                    <w:ind w:firstLine="0" w:firstLineChars="0"/>
                    <w:jc w:val="center"/>
                    <w:textAlignment w:val="auto"/>
                    <w:rPr>
                      <w:rFonts w:cs="Times New Roman"/>
                      <w:color w:val="000000"/>
                      <w:kern w:val="0"/>
                      <w:sz w:val="21"/>
                      <w:szCs w:val="21"/>
                    </w:rPr>
                  </w:pPr>
                  <w:r>
                    <w:rPr>
                      <w:rFonts w:hint="eastAsia" w:cs="Times New Roman"/>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eastAsia" w:eastAsia="宋体" w:cs="Times New Roman"/>
                      <w:bCs/>
                      <w:color w:val="000000"/>
                      <w:kern w:val="0"/>
                      <w:sz w:val="21"/>
                      <w:szCs w:val="21"/>
                      <w:lang w:eastAsia="zh-CN"/>
                    </w:rPr>
                  </w:pPr>
                  <w:r>
                    <w:rPr>
                      <w:rFonts w:hint="eastAsia" w:cs="Times New Roman"/>
                      <w:bCs/>
                      <w:color w:val="000000"/>
                      <w:kern w:val="0"/>
                      <w:sz w:val="21"/>
                      <w:szCs w:val="21"/>
                      <w:lang w:val="en-US" w:eastAsia="zh-CN"/>
                    </w:rPr>
                    <w:t>5</w:t>
                  </w:r>
                </w:p>
              </w:tc>
              <w:tc>
                <w:tcPr>
                  <w:tcW w:w="1174"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水处</w:t>
                  </w:r>
                  <w:r>
                    <w:rPr>
                      <w:rFonts w:hint="eastAsia" w:ascii="Times New Roman" w:hAnsi="Times New Roman" w:eastAsia="宋体" w:cs="Times New Roman"/>
                      <w:color w:val="000000"/>
                      <w:kern w:val="0"/>
                      <w:sz w:val="21"/>
                      <w:szCs w:val="21"/>
                      <w:lang w:val="en-US" w:eastAsia="zh-CN"/>
                    </w:rPr>
                    <w:t>理（软化水装置）</w:t>
                  </w:r>
                </w:p>
              </w:tc>
              <w:tc>
                <w:tcPr>
                  <w:tcW w:w="401" w:type="pct"/>
                  <w:vAlign w:val="center"/>
                </w:tcPr>
                <w:p>
                  <w:pPr>
                    <w:spacing w:line="240" w:lineRule="auto"/>
                    <w:ind w:firstLine="0" w:firstLineChars="0"/>
                    <w:jc w:val="center"/>
                    <w:textAlignment w:val="auto"/>
                    <w:rPr>
                      <w:rFonts w:cs="Times New Roman"/>
                      <w:color w:val="000000"/>
                      <w:sz w:val="21"/>
                      <w:szCs w:val="21"/>
                    </w:rPr>
                  </w:pPr>
                  <w:r>
                    <w:rPr>
                      <w:rFonts w:hint="eastAsia" w:cs="Times New Roman"/>
                      <w:color w:val="000000"/>
                      <w:sz w:val="21"/>
                      <w:szCs w:val="21"/>
                    </w:rPr>
                    <w:t>套</w:t>
                  </w:r>
                </w:p>
              </w:tc>
              <w:tc>
                <w:tcPr>
                  <w:tcW w:w="442" w:type="pct"/>
                  <w:vAlign w:val="center"/>
                </w:tcPr>
                <w:p>
                  <w:pPr>
                    <w:widowControl/>
                    <w:spacing w:line="240" w:lineRule="auto"/>
                    <w:ind w:firstLine="0" w:firstLineChars="0"/>
                    <w:jc w:val="center"/>
                    <w:textAlignment w:val="auto"/>
                    <w:rPr>
                      <w:rFonts w:cs="Times New Roman"/>
                      <w:color w:val="000000"/>
                      <w:kern w:val="0"/>
                      <w:sz w:val="21"/>
                      <w:szCs w:val="21"/>
                    </w:rPr>
                  </w:pPr>
                  <w:r>
                    <w:rPr>
                      <w:rFonts w:hint="eastAsia" w:cs="Times New Roman"/>
                      <w:color w:val="000000"/>
                      <w:kern w:val="0"/>
                      <w:sz w:val="21"/>
                      <w:szCs w:val="21"/>
                    </w:rPr>
                    <w:t>1</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RFS-6T</w:t>
                  </w:r>
                  <w:r>
                    <w:rPr>
                      <w:rFonts w:hint="default" w:ascii="Times New Roman" w:hAnsi="Times New Roman" w:cs="Times New Roman"/>
                      <w:color w:val="000000"/>
                      <w:kern w:val="0"/>
                      <w:sz w:val="21"/>
                      <w:szCs w:val="21"/>
                      <w:lang w:val="en-US" w:eastAsia="zh-CN"/>
                    </w:rPr>
                    <w:t>ϕ</w:t>
                  </w:r>
                  <w:r>
                    <w:rPr>
                      <w:rFonts w:hint="eastAsia" w:cs="Times New Roman"/>
                      <w:color w:val="000000"/>
                      <w:kern w:val="0"/>
                      <w:sz w:val="21"/>
                      <w:szCs w:val="21"/>
                      <w:lang w:val="en-US" w:eastAsia="zh-CN"/>
                    </w:rPr>
                    <w:t>750</w:t>
                  </w:r>
                  <w:r>
                    <w:rPr>
                      <w:rFonts w:hint="default" w:ascii="Times New Roman" w:hAnsi="Times New Roman" w:cs="Times New Roman"/>
                      <w:color w:val="000000"/>
                      <w:kern w:val="0"/>
                      <w:sz w:val="21"/>
                      <w:szCs w:val="21"/>
                      <w:lang w:val="en-US" w:eastAsia="zh-CN"/>
                    </w:rPr>
                    <w:t>×</w:t>
                  </w:r>
                  <w:r>
                    <w:rPr>
                      <w:rFonts w:hint="eastAsia" w:cs="Times New Roman"/>
                      <w:color w:val="000000"/>
                      <w:kern w:val="0"/>
                      <w:sz w:val="21"/>
                      <w:szCs w:val="21"/>
                      <w:lang w:val="en-US" w:eastAsia="zh-CN"/>
                    </w:rPr>
                    <w:t>1950</w:t>
                  </w:r>
                  <w:r>
                    <w:rPr>
                      <w:rFonts w:hint="default" w:ascii="Times New Roman" w:hAnsi="Times New Roman" w:cs="Times New Roman"/>
                      <w:color w:val="000000"/>
                      <w:kern w:val="0"/>
                      <w:sz w:val="21"/>
                      <w:szCs w:val="21"/>
                      <w:lang w:val="en-US" w:eastAsia="zh-CN"/>
                    </w:rPr>
                    <w:t>×</w:t>
                  </w:r>
                  <w:r>
                    <w:rPr>
                      <w:rFonts w:hint="eastAsia" w:cs="Times New Roman"/>
                      <w:color w:val="000000"/>
                      <w:kern w:val="0"/>
                      <w:sz w:val="21"/>
                      <w:szCs w:val="21"/>
                      <w:lang w:val="en-US" w:eastAsia="zh-CN"/>
                    </w:rPr>
                    <w:t>1（包括树脂罐、盐罐、树脂、PVC管、机头）</w:t>
                  </w:r>
                </w:p>
              </w:tc>
              <w:tc>
                <w:tcPr>
                  <w:tcW w:w="488" w:type="pct"/>
                  <w:vAlign w:val="center"/>
                </w:tcPr>
                <w:p>
                  <w:pPr>
                    <w:widowControl/>
                    <w:spacing w:line="240" w:lineRule="auto"/>
                    <w:ind w:firstLine="0" w:firstLineChars="0"/>
                    <w:jc w:val="center"/>
                    <w:textAlignment w:val="auto"/>
                    <w:rPr>
                      <w:rFonts w:cs="Times New Roman"/>
                      <w:bCs/>
                      <w:color w:val="000000"/>
                      <w:kern w:val="0"/>
                      <w:sz w:val="21"/>
                      <w:szCs w:val="21"/>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eastAsia" w:eastAsia="宋体" w:cs="Times New Roman"/>
                      <w:bCs/>
                      <w:color w:val="000000"/>
                      <w:kern w:val="0"/>
                      <w:sz w:val="21"/>
                      <w:szCs w:val="21"/>
                      <w:lang w:eastAsia="zh-CN"/>
                    </w:rPr>
                  </w:pPr>
                  <w:r>
                    <w:rPr>
                      <w:rFonts w:hint="eastAsia" w:cs="Times New Roman"/>
                      <w:bCs/>
                      <w:color w:val="000000"/>
                      <w:kern w:val="0"/>
                      <w:sz w:val="21"/>
                      <w:szCs w:val="21"/>
                      <w:lang w:val="en-US" w:eastAsia="zh-CN"/>
                    </w:rPr>
                    <w:t>6</w:t>
                  </w:r>
                </w:p>
              </w:tc>
              <w:tc>
                <w:tcPr>
                  <w:tcW w:w="1174" w:type="pct"/>
                  <w:vAlign w:val="center"/>
                </w:tcPr>
                <w:p>
                  <w:pPr>
                    <w:widowControl/>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分（集）水器</w:t>
                  </w:r>
                </w:p>
              </w:tc>
              <w:tc>
                <w:tcPr>
                  <w:tcW w:w="401" w:type="pct"/>
                  <w:vAlign w:val="center"/>
                </w:tcPr>
                <w:p>
                  <w:pPr>
                    <w:spacing w:line="240" w:lineRule="auto"/>
                    <w:ind w:firstLine="0" w:firstLineChars="0"/>
                    <w:jc w:val="center"/>
                    <w:textAlignment w:val="auto"/>
                    <w:rPr>
                      <w:rFonts w:cs="Times New Roman"/>
                      <w:color w:val="000000"/>
                      <w:sz w:val="21"/>
                      <w:szCs w:val="21"/>
                    </w:rPr>
                  </w:pPr>
                  <w:r>
                    <w:rPr>
                      <w:rFonts w:hint="eastAsia" w:cs="Times New Roman"/>
                      <w:color w:val="000000"/>
                      <w:sz w:val="21"/>
                      <w:szCs w:val="21"/>
                    </w:rPr>
                    <w:t>台</w:t>
                  </w:r>
                </w:p>
              </w:tc>
              <w:tc>
                <w:tcPr>
                  <w:tcW w:w="442" w:type="pct"/>
                  <w:vAlign w:val="center"/>
                </w:tcPr>
                <w:p>
                  <w:pPr>
                    <w:widowControl/>
                    <w:spacing w:line="240" w:lineRule="auto"/>
                    <w:ind w:firstLine="0" w:firstLineChars="0"/>
                    <w:jc w:val="center"/>
                    <w:textAlignment w:val="auto"/>
                    <w:rPr>
                      <w:rFonts w:cs="Times New Roman"/>
                      <w:color w:val="000000"/>
                      <w:kern w:val="0"/>
                      <w:sz w:val="21"/>
                      <w:szCs w:val="21"/>
                    </w:rPr>
                  </w:pPr>
                  <w:r>
                    <w:rPr>
                      <w:rFonts w:hint="eastAsia" w:cs="Times New Roman"/>
                      <w:color w:val="000000"/>
                      <w:kern w:val="0"/>
                      <w:sz w:val="21"/>
                      <w:szCs w:val="21"/>
                    </w:rPr>
                    <w:t>1</w:t>
                  </w:r>
                </w:p>
              </w:tc>
              <w:tc>
                <w:tcPr>
                  <w:tcW w:w="2087" w:type="pct"/>
                  <w:vAlign w:val="center"/>
                </w:tcPr>
                <w:p>
                  <w:pPr>
                    <w:spacing w:line="240" w:lineRule="auto"/>
                    <w:ind w:firstLine="0" w:firstLineChars="0"/>
                    <w:jc w:val="center"/>
                    <w:textAlignment w:val="auto"/>
                    <w:rPr>
                      <w:rFonts w:hint="default"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ϕ</w:t>
                  </w:r>
                  <w:r>
                    <w:rPr>
                      <w:rFonts w:hint="eastAsia" w:cs="Times New Roman"/>
                      <w:color w:val="000000"/>
                      <w:kern w:val="0"/>
                      <w:sz w:val="21"/>
                      <w:szCs w:val="21"/>
                      <w:lang w:val="en-US" w:eastAsia="zh-CN"/>
                    </w:rPr>
                    <w:t>620</w:t>
                  </w:r>
                </w:p>
              </w:tc>
              <w:tc>
                <w:tcPr>
                  <w:tcW w:w="488" w:type="pct"/>
                  <w:vAlign w:val="center"/>
                </w:tcPr>
                <w:p>
                  <w:pPr>
                    <w:widowControl/>
                    <w:spacing w:line="240" w:lineRule="auto"/>
                    <w:ind w:firstLine="0" w:firstLineChars="0"/>
                    <w:jc w:val="center"/>
                    <w:textAlignment w:val="auto"/>
                    <w:rPr>
                      <w:rFonts w:cs="Times New Roman"/>
                      <w:bCs/>
                      <w:color w:val="000000"/>
                      <w:kern w:val="0"/>
                      <w:sz w:val="21"/>
                      <w:szCs w:val="21"/>
                    </w:rPr>
                  </w:pPr>
                  <w:r>
                    <w:rPr>
                      <w:rFonts w:hint="eastAsia" w:cs="Times New Roman"/>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eastAsia" w:eastAsia="宋体" w:cs="Times New Roman"/>
                      <w:bCs/>
                      <w:color w:val="000000"/>
                      <w:kern w:val="0"/>
                      <w:sz w:val="21"/>
                      <w:szCs w:val="21"/>
                      <w:lang w:val="en-US" w:eastAsia="zh-CN"/>
                    </w:rPr>
                  </w:pPr>
                  <w:r>
                    <w:rPr>
                      <w:rFonts w:hint="eastAsia" w:cs="Times New Roman"/>
                      <w:bCs/>
                      <w:color w:val="000000"/>
                      <w:kern w:val="0"/>
                      <w:sz w:val="21"/>
                      <w:szCs w:val="21"/>
                      <w:lang w:val="en-US" w:eastAsia="zh-CN"/>
                    </w:rPr>
                    <w:t>7</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循环泵</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val="en-US" w:eastAsia="zh-CN"/>
                    </w:rPr>
                  </w:pPr>
                  <w:r>
                    <w:rPr>
                      <w:rFonts w:hint="eastAsia" w:cs="Times New Roman"/>
                      <w:color w:val="000000"/>
                      <w:sz w:val="21"/>
                      <w:szCs w:val="21"/>
                      <w:lang w:val="en-US" w:eastAsia="zh-CN"/>
                    </w:rPr>
                    <w:t>台</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TD100-52G/2；Q=130m</w:t>
                  </w:r>
                  <w:r>
                    <w:rPr>
                      <w:rFonts w:hint="eastAsia" w:cs="Times New Roman"/>
                      <w:color w:val="000000"/>
                      <w:kern w:val="0"/>
                      <w:sz w:val="21"/>
                      <w:szCs w:val="21"/>
                      <w:vertAlign w:val="superscript"/>
                      <w:lang w:val="en-US" w:eastAsia="zh-CN"/>
                    </w:rPr>
                    <w:t>3</w:t>
                  </w:r>
                  <w:r>
                    <w:rPr>
                      <w:rFonts w:hint="eastAsia" w:cs="Times New Roman"/>
                      <w:color w:val="000000"/>
                      <w:kern w:val="0"/>
                      <w:sz w:val="21"/>
                      <w:szCs w:val="21"/>
                      <w:lang w:val="en-US" w:eastAsia="zh-CN"/>
                    </w:rPr>
                    <w:t>/h，H=52m</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default" w:cs="Times New Roman"/>
                      <w:bCs/>
                      <w:color w:val="000000"/>
                      <w:kern w:val="0"/>
                      <w:sz w:val="21"/>
                      <w:szCs w:val="21"/>
                      <w:lang w:val="en-US" w:eastAsia="zh-CN"/>
                    </w:rPr>
                  </w:pPr>
                  <w:r>
                    <w:rPr>
                      <w:rFonts w:hint="eastAsia" w:cs="Times New Roman"/>
                      <w:bCs/>
                      <w:color w:val="000000"/>
                      <w:kern w:val="0"/>
                      <w:sz w:val="21"/>
                      <w:szCs w:val="21"/>
                      <w:lang w:val="en-US" w:eastAsia="zh-CN"/>
                    </w:rPr>
                    <w:t>8</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盐箱</w:t>
                  </w:r>
                </w:p>
              </w:tc>
              <w:tc>
                <w:tcPr>
                  <w:tcW w:w="401" w:type="pct"/>
                  <w:vAlign w:val="center"/>
                </w:tcPr>
                <w:p>
                  <w:pPr>
                    <w:spacing w:line="240" w:lineRule="auto"/>
                    <w:ind w:firstLine="0" w:firstLineChars="0"/>
                    <w:jc w:val="center"/>
                    <w:textAlignment w:val="auto"/>
                    <w:rPr>
                      <w:rFonts w:hint="eastAsia" w:cs="Times New Roman"/>
                      <w:color w:val="000000"/>
                      <w:sz w:val="21"/>
                      <w:szCs w:val="21"/>
                      <w:lang w:val="en-US" w:eastAsia="zh-CN"/>
                    </w:rPr>
                  </w:pPr>
                </w:p>
              </w:tc>
              <w:tc>
                <w:tcPr>
                  <w:tcW w:w="442"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2087" w:type="pct"/>
                  <w:vAlign w:val="center"/>
                </w:tcPr>
                <w:p>
                  <w:pPr>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500L</w:t>
                  </w:r>
                </w:p>
              </w:tc>
              <w:tc>
                <w:tcPr>
                  <w:tcW w:w="488" w:type="pct"/>
                  <w:vAlign w:val="center"/>
                </w:tcPr>
                <w:p>
                  <w:pPr>
                    <w:widowControl/>
                    <w:spacing w:line="240" w:lineRule="auto"/>
                    <w:ind w:firstLine="0" w:firstLineChars="0"/>
                    <w:jc w:val="center"/>
                    <w:textAlignment w:val="auto"/>
                    <w:rPr>
                      <w:rFonts w:hint="default" w:cs="Times New Roman"/>
                      <w:bCs/>
                      <w:sz w:val="21"/>
                      <w:szCs w:val="21"/>
                      <w:lang w:val="en-US" w:eastAsia="zh-CN"/>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eastAsia" w:eastAsia="宋体" w:cs="Times New Roman"/>
                      <w:bCs/>
                      <w:color w:val="000000"/>
                      <w:kern w:val="0"/>
                      <w:sz w:val="21"/>
                      <w:szCs w:val="21"/>
                      <w:lang w:val="en-US" w:eastAsia="zh-CN"/>
                    </w:rPr>
                  </w:pPr>
                  <w:r>
                    <w:rPr>
                      <w:rFonts w:hint="eastAsia" w:cs="Times New Roman"/>
                      <w:bCs/>
                      <w:color w:val="000000"/>
                      <w:kern w:val="0"/>
                      <w:sz w:val="21"/>
                      <w:szCs w:val="21"/>
                      <w:lang w:val="en-US" w:eastAsia="zh-CN"/>
                    </w:rPr>
                    <w:t>9</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闸阀</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val="en-US" w:eastAsia="zh-CN"/>
                    </w:rPr>
                  </w:pPr>
                  <w:r>
                    <w:rPr>
                      <w:rFonts w:hint="eastAsia" w:cs="Times New Roman"/>
                      <w:color w:val="000000"/>
                      <w:sz w:val="21"/>
                      <w:szCs w:val="21"/>
                      <w:lang w:val="en-US" w:eastAsia="zh-CN"/>
                    </w:rPr>
                    <w:t>个</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Z41H-16Q；ND150</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default" w:eastAsia="宋体" w:cs="Times New Roman"/>
                      <w:bCs/>
                      <w:color w:val="000000"/>
                      <w:kern w:val="0"/>
                      <w:sz w:val="21"/>
                      <w:szCs w:val="21"/>
                      <w:lang w:val="en-US" w:eastAsia="zh-CN"/>
                    </w:rPr>
                  </w:pPr>
                  <w:r>
                    <w:rPr>
                      <w:rFonts w:hint="eastAsia" w:cs="Times New Roman"/>
                      <w:bCs/>
                      <w:color w:val="000000"/>
                      <w:kern w:val="0"/>
                      <w:sz w:val="21"/>
                      <w:szCs w:val="21"/>
                      <w:lang w:val="en-US" w:eastAsia="zh-CN"/>
                    </w:rPr>
                    <w:t>10</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排污阀</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val="en-US" w:eastAsia="zh-CN"/>
                    </w:rPr>
                  </w:pPr>
                  <w:r>
                    <w:rPr>
                      <w:rFonts w:hint="eastAsia" w:cs="Times New Roman"/>
                      <w:color w:val="000000"/>
                      <w:sz w:val="21"/>
                      <w:szCs w:val="21"/>
                      <w:lang w:val="en-US" w:eastAsia="zh-CN"/>
                    </w:rPr>
                    <w:t>个</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P48H-16Q；DN40</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default" w:eastAsia="宋体" w:cs="Times New Roman"/>
                      <w:bCs/>
                      <w:color w:val="000000"/>
                      <w:kern w:val="0"/>
                      <w:sz w:val="21"/>
                      <w:szCs w:val="21"/>
                      <w:lang w:val="en-US" w:eastAsia="zh-CN"/>
                    </w:rPr>
                  </w:pPr>
                  <w:r>
                    <w:rPr>
                      <w:rFonts w:hint="eastAsia" w:cs="Times New Roman"/>
                      <w:bCs/>
                      <w:color w:val="000000"/>
                      <w:kern w:val="0"/>
                      <w:sz w:val="21"/>
                      <w:szCs w:val="21"/>
                      <w:lang w:val="en-US" w:eastAsia="zh-CN"/>
                    </w:rPr>
                    <w:t>11</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一体热电阻</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val="en-US" w:eastAsia="zh-CN"/>
                    </w:rPr>
                  </w:pPr>
                  <w:r>
                    <w:rPr>
                      <w:rFonts w:hint="eastAsia" w:cs="Times New Roman"/>
                      <w:color w:val="000000"/>
                      <w:sz w:val="21"/>
                      <w:szCs w:val="21"/>
                      <w:lang w:val="en-US" w:eastAsia="zh-CN"/>
                    </w:rPr>
                    <w:t>个</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WZPK-230；L=150</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default" w:eastAsia="宋体" w:cs="Times New Roman"/>
                      <w:bCs/>
                      <w:color w:val="000000"/>
                      <w:kern w:val="0"/>
                      <w:sz w:val="21"/>
                      <w:szCs w:val="21"/>
                      <w:lang w:val="en-US" w:eastAsia="zh-CN"/>
                    </w:rPr>
                  </w:pPr>
                  <w:r>
                    <w:rPr>
                      <w:rFonts w:hint="eastAsia" w:cs="Times New Roman"/>
                      <w:bCs/>
                      <w:color w:val="000000"/>
                      <w:kern w:val="0"/>
                      <w:sz w:val="21"/>
                      <w:szCs w:val="21"/>
                      <w:lang w:val="en-US" w:eastAsia="zh-CN"/>
                    </w:rPr>
                    <w:t>12</w:t>
                  </w:r>
                </w:p>
              </w:tc>
              <w:tc>
                <w:tcPr>
                  <w:tcW w:w="1174" w:type="pct"/>
                  <w:vAlign w:val="center"/>
                </w:tcPr>
                <w:p>
                  <w:pPr>
                    <w:widowControl/>
                    <w:spacing w:line="240" w:lineRule="auto"/>
                    <w:ind w:firstLine="0" w:firstLineChars="0"/>
                    <w:jc w:val="center"/>
                    <w:textAlignment w:val="auto"/>
                    <w:rPr>
                      <w:rFonts w:hint="default"/>
                      <w:lang w:val="en-US" w:eastAsia="zh-CN"/>
                    </w:rPr>
                  </w:pPr>
                  <w:r>
                    <w:rPr>
                      <w:rFonts w:hint="eastAsia" w:cs="Times New Roman"/>
                      <w:color w:val="000000"/>
                      <w:kern w:val="0"/>
                      <w:sz w:val="21"/>
                      <w:szCs w:val="21"/>
                      <w:lang w:val="en-US" w:eastAsia="zh-CN"/>
                    </w:rPr>
                    <w:t>扶梯、护栏</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val="en-US" w:eastAsia="zh-CN"/>
                    </w:rPr>
                  </w:pPr>
                  <w:r>
                    <w:rPr>
                      <w:rFonts w:hint="eastAsia" w:cs="Times New Roman"/>
                      <w:color w:val="000000"/>
                      <w:sz w:val="21"/>
                      <w:szCs w:val="21"/>
                      <w:lang w:val="en-US" w:eastAsia="zh-CN"/>
                    </w:rPr>
                    <w:t>套</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C2106.4.0CD</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default" w:eastAsia="宋体" w:cs="Times New Roman"/>
                      <w:bCs/>
                      <w:color w:val="000000"/>
                      <w:kern w:val="0"/>
                      <w:sz w:val="21"/>
                      <w:szCs w:val="21"/>
                      <w:lang w:val="en-US" w:eastAsia="zh-CN"/>
                    </w:rPr>
                  </w:pPr>
                  <w:r>
                    <w:rPr>
                      <w:rFonts w:hint="eastAsia" w:cs="Times New Roman"/>
                      <w:bCs/>
                      <w:color w:val="000000"/>
                      <w:kern w:val="0"/>
                      <w:sz w:val="21"/>
                      <w:szCs w:val="21"/>
                      <w:lang w:val="en-US" w:eastAsia="zh-CN"/>
                    </w:rPr>
                    <w:t>13</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节能器</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val="en-US" w:eastAsia="zh-CN"/>
                    </w:rPr>
                  </w:pPr>
                  <w:r>
                    <w:rPr>
                      <w:rFonts w:hint="eastAsia" w:cs="Times New Roman"/>
                      <w:color w:val="000000"/>
                      <w:sz w:val="21"/>
                      <w:szCs w:val="21"/>
                      <w:lang w:val="en-US" w:eastAsia="zh-CN"/>
                    </w:rPr>
                    <w:t>台</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2087" w:type="pct"/>
                  <w:vAlign w:val="center"/>
                </w:tcPr>
                <w:p>
                  <w:pPr>
                    <w:spacing w:line="240" w:lineRule="auto"/>
                    <w:ind w:firstLine="0" w:firstLineChars="0"/>
                    <w:jc w:val="center"/>
                    <w:textAlignment w:val="auto"/>
                    <w:rPr>
                      <w:rFonts w:hint="default" w:eastAsia="宋体" w:cs="Times New Roman"/>
                      <w:color w:val="000000"/>
                      <w:kern w:val="0"/>
                      <w:sz w:val="21"/>
                      <w:szCs w:val="21"/>
                      <w:lang w:val="en-US" w:eastAsia="zh-CN"/>
                    </w:rPr>
                  </w:pPr>
                  <w:r>
                    <w:rPr>
                      <w:rFonts w:hint="eastAsia" w:cs="Times New Roman"/>
                      <w:color w:val="000000"/>
                      <w:kern w:val="0"/>
                      <w:sz w:val="21"/>
                      <w:szCs w:val="21"/>
                      <w:lang w:val="en-US" w:eastAsia="zh-CN"/>
                    </w:rPr>
                    <w:t>1810.6.0CD</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color w:val="000000"/>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default" w:eastAsia="宋体" w:cs="Times New Roman"/>
                      <w:bCs/>
                      <w:color w:val="000000"/>
                      <w:kern w:val="0"/>
                      <w:sz w:val="21"/>
                      <w:szCs w:val="21"/>
                      <w:lang w:val="en-US" w:eastAsia="zh-CN"/>
                    </w:rPr>
                  </w:pPr>
                  <w:r>
                    <w:rPr>
                      <w:rFonts w:hint="eastAsia" w:cs="Times New Roman"/>
                      <w:bCs/>
                      <w:color w:val="000000"/>
                      <w:kern w:val="0"/>
                      <w:sz w:val="21"/>
                      <w:szCs w:val="21"/>
                      <w:lang w:val="en-US" w:eastAsia="zh-CN"/>
                    </w:rPr>
                    <w:t>14</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烟道</w:t>
                  </w:r>
                </w:p>
              </w:tc>
              <w:tc>
                <w:tcPr>
                  <w:tcW w:w="401" w:type="pct"/>
                  <w:vAlign w:val="center"/>
                </w:tcPr>
                <w:p>
                  <w:pPr>
                    <w:spacing w:line="240" w:lineRule="auto"/>
                    <w:ind w:firstLine="0" w:firstLineChars="0"/>
                    <w:jc w:val="center"/>
                    <w:textAlignment w:val="auto"/>
                    <w:rPr>
                      <w:rFonts w:hint="eastAsia" w:eastAsia="宋体" w:cs="Times New Roman"/>
                      <w:color w:val="000000"/>
                      <w:sz w:val="21"/>
                      <w:szCs w:val="21"/>
                      <w:lang w:val="en-US" w:eastAsia="zh-CN"/>
                    </w:rPr>
                  </w:pPr>
                  <w:r>
                    <w:rPr>
                      <w:rFonts w:hint="eastAsia" w:cs="Times New Roman"/>
                      <w:color w:val="000000"/>
                      <w:sz w:val="21"/>
                      <w:szCs w:val="21"/>
                      <w:lang w:val="en-US" w:eastAsia="zh-CN"/>
                    </w:rPr>
                    <w:t>件</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2087" w:type="pct"/>
                  <w:vAlign w:val="center"/>
                </w:tcPr>
                <w:p>
                  <w:pPr>
                    <w:spacing w:line="240" w:lineRule="auto"/>
                    <w:ind w:firstLine="0" w:firstLineChars="0"/>
                    <w:jc w:val="center"/>
                    <w:textAlignment w:val="auto"/>
                    <w:rPr>
                      <w:rFonts w:hint="default"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ϕ</w:t>
                  </w:r>
                  <w:r>
                    <w:rPr>
                      <w:rFonts w:hint="eastAsia" w:cs="Times New Roman"/>
                      <w:color w:val="000000"/>
                      <w:kern w:val="0"/>
                      <w:sz w:val="21"/>
                      <w:szCs w:val="21"/>
                      <w:lang w:val="en-US" w:eastAsia="zh-CN"/>
                    </w:rPr>
                    <w:t>550</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bCs/>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05" w:type="pct"/>
                  <w:vAlign w:val="center"/>
                </w:tcPr>
                <w:p>
                  <w:pPr>
                    <w:widowControl/>
                    <w:spacing w:line="240" w:lineRule="auto"/>
                    <w:ind w:firstLine="0" w:firstLineChars="0"/>
                    <w:jc w:val="center"/>
                    <w:textAlignment w:val="auto"/>
                    <w:rPr>
                      <w:rFonts w:hint="default" w:eastAsia="宋体" w:cs="Times New Roman"/>
                      <w:bCs/>
                      <w:color w:val="000000"/>
                      <w:kern w:val="0"/>
                      <w:sz w:val="21"/>
                      <w:szCs w:val="21"/>
                      <w:lang w:val="en-US" w:eastAsia="zh-CN"/>
                    </w:rPr>
                  </w:pPr>
                  <w:r>
                    <w:rPr>
                      <w:rFonts w:hint="eastAsia" w:cs="Times New Roman"/>
                      <w:bCs/>
                      <w:color w:val="000000"/>
                      <w:kern w:val="0"/>
                      <w:sz w:val="21"/>
                      <w:szCs w:val="21"/>
                      <w:lang w:val="en-US" w:eastAsia="zh-CN"/>
                    </w:rPr>
                    <w:t>15</w:t>
                  </w:r>
                </w:p>
              </w:tc>
              <w:tc>
                <w:tcPr>
                  <w:tcW w:w="1174" w:type="pct"/>
                  <w:vAlign w:val="center"/>
                </w:tcPr>
                <w:p>
                  <w:pPr>
                    <w:widowControl/>
                    <w:spacing w:line="240" w:lineRule="auto"/>
                    <w:ind w:firstLine="0" w:firstLineChars="0"/>
                    <w:jc w:val="center"/>
                    <w:textAlignment w:val="auto"/>
                    <w:rPr>
                      <w:rFonts w:hint="default" w:cs="Times New Roman"/>
                      <w:color w:val="000000"/>
                      <w:kern w:val="0"/>
                      <w:sz w:val="21"/>
                      <w:szCs w:val="21"/>
                      <w:lang w:val="en-US" w:eastAsia="zh-CN"/>
                    </w:rPr>
                  </w:pPr>
                  <w:r>
                    <w:rPr>
                      <w:rFonts w:hint="eastAsia" w:cs="Times New Roman"/>
                      <w:color w:val="000000"/>
                      <w:kern w:val="0"/>
                      <w:sz w:val="21"/>
                      <w:szCs w:val="21"/>
                      <w:lang w:val="en-US" w:eastAsia="zh-CN"/>
                    </w:rPr>
                    <w:t>烟囱法兰盘</w:t>
                  </w:r>
                </w:p>
              </w:tc>
              <w:tc>
                <w:tcPr>
                  <w:tcW w:w="401" w:type="pct"/>
                  <w:vAlign w:val="center"/>
                </w:tcPr>
                <w:p>
                  <w:pPr>
                    <w:spacing w:line="240" w:lineRule="auto"/>
                    <w:ind w:firstLine="0" w:firstLineChars="0"/>
                    <w:jc w:val="center"/>
                    <w:textAlignment w:val="auto"/>
                    <w:rPr>
                      <w:rFonts w:hint="eastAsia" w:cs="Times New Roman"/>
                      <w:color w:val="000000"/>
                      <w:sz w:val="21"/>
                      <w:szCs w:val="21"/>
                    </w:rPr>
                  </w:pPr>
                  <w:r>
                    <w:rPr>
                      <w:rFonts w:hint="eastAsia" w:cs="Times New Roman"/>
                      <w:color w:val="000000"/>
                      <w:sz w:val="21"/>
                      <w:szCs w:val="21"/>
                      <w:lang w:val="en-US" w:eastAsia="zh-CN"/>
                    </w:rPr>
                    <w:t>件</w:t>
                  </w:r>
                </w:p>
              </w:tc>
              <w:tc>
                <w:tcPr>
                  <w:tcW w:w="442" w:type="pct"/>
                  <w:vAlign w:val="center"/>
                </w:tcPr>
                <w:p>
                  <w:pPr>
                    <w:widowControl/>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2087" w:type="pct"/>
                  <w:vAlign w:val="center"/>
                </w:tcPr>
                <w:p>
                  <w:pPr>
                    <w:spacing w:line="240" w:lineRule="auto"/>
                    <w:ind w:firstLine="0" w:firstLineChars="0"/>
                    <w:jc w:val="center"/>
                    <w:textAlignment w:val="auto"/>
                    <w:rPr>
                      <w:rFonts w:hint="eastAsia" w:eastAsia="宋体"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488" w:type="pct"/>
                  <w:vAlign w:val="center"/>
                </w:tcPr>
                <w:p>
                  <w:pPr>
                    <w:widowControl/>
                    <w:spacing w:line="240" w:lineRule="auto"/>
                    <w:ind w:firstLine="0" w:firstLineChars="0"/>
                    <w:jc w:val="center"/>
                    <w:textAlignment w:val="auto"/>
                    <w:rPr>
                      <w:rFonts w:hint="eastAsia" w:cs="Times New Roman"/>
                      <w:color w:val="000000"/>
                      <w:kern w:val="0"/>
                      <w:sz w:val="21"/>
                      <w:szCs w:val="21"/>
                    </w:rPr>
                  </w:pPr>
                  <w:r>
                    <w:rPr>
                      <w:rFonts w:hint="eastAsia" w:cs="Times New Roman"/>
                      <w:color w:val="000000"/>
                      <w:kern w:val="0"/>
                      <w:sz w:val="21"/>
                      <w:szCs w:val="21"/>
                    </w:rPr>
                    <w:t>/</w:t>
                  </w:r>
                </w:p>
              </w:tc>
            </w:tr>
          </w:tbl>
          <w:p>
            <w:pPr>
              <w:pStyle w:val="5"/>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项目主要原辅材料</w:t>
            </w:r>
            <w:r>
              <w:rPr>
                <w:rFonts w:hint="eastAsia"/>
                <w:color w:val="000000" w:themeColor="text1"/>
                <w:lang w:val="en-US" w:eastAsia="zh-CN"/>
                <w14:textFill>
                  <w14:solidFill>
                    <w14:schemeClr w14:val="tx1"/>
                  </w14:solidFill>
                </w14:textFill>
              </w:rPr>
              <w:t>及理化性质</w:t>
            </w:r>
          </w:p>
          <w:p>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w:t>
            </w:r>
            <w:r>
              <w:rPr>
                <w:rFonts w:hint="eastAsia"/>
                <w:color w:val="000000" w:themeColor="text1"/>
                <w14:textFill>
                  <w14:solidFill>
                    <w14:schemeClr w14:val="tx1"/>
                  </w14:solidFill>
                </w14:textFill>
              </w:rPr>
              <w:t>项目</w:t>
            </w:r>
            <w:r>
              <w:rPr>
                <w:rFonts w:hint="eastAsia"/>
              </w:rPr>
              <w:t>营运期能源资源消耗量</w:t>
            </w:r>
            <w:r>
              <w:rPr>
                <w:rFonts w:hint="eastAsia"/>
                <w:color w:val="000000" w:themeColor="text1"/>
                <w14:textFill>
                  <w14:solidFill>
                    <w14:schemeClr w14:val="tx1"/>
                  </w14:solidFill>
                </w14:textFill>
              </w:rPr>
              <w:t>见下表。</w:t>
            </w:r>
          </w:p>
          <w:p>
            <w:pPr>
              <w:pStyle w:val="34"/>
              <w:bidi w:val="0"/>
            </w:pPr>
            <w:r>
              <w:rPr>
                <w:rFonts w:hint="eastAsia"/>
              </w:rPr>
              <w:t>表</w:t>
            </w:r>
            <w:r>
              <w:t>2-</w:t>
            </w:r>
            <w:r>
              <w:rPr>
                <w:rFonts w:hint="eastAsia"/>
                <w:lang w:val="en-US" w:eastAsia="zh-CN"/>
              </w:rPr>
              <w:t>3</w:t>
            </w:r>
            <w:r>
              <w:t xml:space="preserve">  </w:t>
            </w:r>
            <w:r>
              <w:rPr>
                <w:rFonts w:hint="eastAsia"/>
              </w:rPr>
              <w:t>能源资源消耗量一览表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0"/>
              <w:gridCol w:w="2150"/>
              <w:gridCol w:w="1797"/>
              <w:gridCol w:w="1461"/>
              <w:gridCol w:w="22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397" w:type="pct"/>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295" w:type="pct"/>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产品名称</w:t>
                  </w:r>
                </w:p>
              </w:tc>
              <w:tc>
                <w:tcPr>
                  <w:tcW w:w="1082" w:type="pct"/>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p>
              </w:tc>
              <w:tc>
                <w:tcPr>
                  <w:tcW w:w="880" w:type="pct"/>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消耗量</w:t>
                  </w:r>
                </w:p>
              </w:tc>
              <w:tc>
                <w:tcPr>
                  <w:tcW w:w="1345" w:type="pct"/>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 w:hRule="atLeast"/>
                <w:jc w:val="center"/>
              </w:trPr>
              <w:tc>
                <w:tcPr>
                  <w:tcW w:w="397" w:type="pct"/>
                  <w:vAlign w:val="center"/>
                </w:tcPr>
                <w:p>
                  <w:pPr>
                    <w:pStyle w:val="26"/>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295" w:type="pct"/>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w:t>
                  </w:r>
                </w:p>
              </w:tc>
              <w:tc>
                <w:tcPr>
                  <w:tcW w:w="1082" w:type="pct"/>
                  <w:vAlign w:val="center"/>
                </w:tcPr>
                <w:p>
                  <w:pPr>
                    <w:pStyle w:val="26"/>
                    <w:rPr>
                      <w:color w:val="000000" w:themeColor="text1"/>
                      <w:szCs w:val="21"/>
                      <w14:textFill>
                        <w14:solidFill>
                          <w14:schemeClr w14:val="tx1"/>
                        </w14:solidFill>
                      </w14:textFill>
                    </w:rPr>
                  </w:pPr>
                  <w:r>
                    <w:rPr>
                      <w:rFonts w:hint="eastAsia" w:cs="Times New Roman"/>
                      <w:szCs w:val="21"/>
                    </w:rPr>
                    <w:t>kW·h/a</w:t>
                  </w:r>
                </w:p>
              </w:tc>
              <w:tc>
                <w:tcPr>
                  <w:tcW w:w="880" w:type="pct"/>
                  <w:vAlign w:val="center"/>
                </w:tcPr>
                <w:p>
                  <w:pPr>
                    <w:pStyle w:val="26"/>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20000</w:t>
                  </w:r>
                </w:p>
              </w:tc>
              <w:tc>
                <w:tcPr>
                  <w:tcW w:w="1345" w:type="pct"/>
                  <w:vAlign w:val="center"/>
                </w:tcPr>
                <w:p>
                  <w:pPr>
                    <w:pStyle w:val="26"/>
                    <w:rPr>
                      <w:color w:val="000000" w:themeColor="text1"/>
                      <w:szCs w:val="21"/>
                      <w14:textFill>
                        <w14:solidFill>
                          <w14:schemeClr w14:val="tx1"/>
                        </w14:solidFill>
                      </w14:textFill>
                    </w:rPr>
                  </w:pPr>
                  <w:r>
                    <w:rPr>
                      <w:rFonts w:hint="eastAsia" w:cs="Times New Roman"/>
                      <w:szCs w:val="21"/>
                    </w:rPr>
                    <w:t>园区电网接入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7" w:type="pct"/>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295" w:type="pct"/>
                  <w:vAlign w:val="center"/>
                </w:tcPr>
                <w:p>
                  <w:pPr>
                    <w:pStyle w:val="26"/>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w:t>
                  </w:r>
                </w:p>
              </w:tc>
              <w:tc>
                <w:tcPr>
                  <w:tcW w:w="1082" w:type="pct"/>
                  <w:vAlign w:val="center"/>
                </w:tcPr>
                <w:p>
                  <w:pPr>
                    <w:pStyle w:val="26"/>
                    <w:rPr>
                      <w:color w:val="000000" w:themeColor="text1"/>
                      <w:szCs w:val="21"/>
                      <w:highlight w:val="none"/>
                      <w14:textFill>
                        <w14:solidFill>
                          <w14:schemeClr w14:val="tx1"/>
                        </w14:solidFill>
                      </w14:textFill>
                    </w:rPr>
                  </w:pPr>
                  <w:r>
                    <w:rPr>
                      <w:rFonts w:hint="eastAsia" w:cs="Times New Roman"/>
                      <w:szCs w:val="21"/>
                      <w:highlight w:val="none"/>
                    </w:rPr>
                    <w:t>m</w:t>
                  </w:r>
                  <w:r>
                    <w:rPr>
                      <w:rFonts w:hint="eastAsia" w:cs="Times New Roman"/>
                      <w:szCs w:val="21"/>
                      <w:highlight w:val="none"/>
                      <w:vertAlign w:val="superscript"/>
                    </w:rPr>
                    <w:t>3</w:t>
                  </w:r>
                  <w:r>
                    <w:rPr>
                      <w:rFonts w:hint="eastAsia" w:cs="Times New Roman"/>
                      <w:szCs w:val="21"/>
                      <w:highlight w:val="none"/>
                    </w:rPr>
                    <w:t>/a</w:t>
                  </w:r>
                </w:p>
              </w:tc>
              <w:tc>
                <w:tcPr>
                  <w:tcW w:w="880" w:type="pct"/>
                  <w:vAlign w:val="center"/>
                </w:tcPr>
                <w:p>
                  <w:pPr>
                    <w:pStyle w:val="26"/>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5042</w:t>
                  </w:r>
                </w:p>
              </w:tc>
              <w:tc>
                <w:tcPr>
                  <w:tcW w:w="1345" w:type="pct"/>
                  <w:vAlign w:val="center"/>
                </w:tcPr>
                <w:p>
                  <w:pPr>
                    <w:pStyle w:val="26"/>
                    <w:rPr>
                      <w:color w:val="000000" w:themeColor="text1"/>
                      <w:szCs w:val="21"/>
                      <w:highlight w:val="none"/>
                      <w14:textFill>
                        <w14:solidFill>
                          <w14:schemeClr w14:val="tx1"/>
                        </w14:solidFill>
                      </w14:textFill>
                    </w:rPr>
                  </w:pPr>
                  <w:r>
                    <w:rPr>
                      <w:rFonts w:hint="eastAsia" w:cs="Times New Roman"/>
                      <w:szCs w:val="21"/>
                      <w:highlight w:val="none"/>
                    </w:rPr>
                    <w:t>园区供水管网</w:t>
                  </w:r>
                  <w:r>
                    <w:rPr>
                      <w:rFonts w:hint="eastAsia" w:cs="Times New Roman"/>
                      <w:szCs w:val="21"/>
                      <w:highlight w:val="none"/>
                      <w:lang w:val="en-US" w:eastAsia="zh-CN"/>
                    </w:rPr>
                    <w:t>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7" w:type="pct"/>
                  <w:vAlign w:val="center"/>
                </w:tcPr>
                <w:p>
                  <w:pPr>
                    <w:pStyle w:val="26"/>
                    <w:rPr>
                      <w:rFonts w:hint="eastAsia" w:eastAsia="宋体"/>
                      <w:color w:val="000000" w:themeColor="text1"/>
                      <w:szCs w:val="21"/>
                      <w:lang w:val="en-US" w:eastAsia="zh-CN"/>
                      <w14:textFill>
                        <w14:solidFill>
                          <w14:schemeClr w14:val="tx1"/>
                        </w14:solidFill>
                      </w14:textFill>
                    </w:rPr>
                  </w:pPr>
                  <w:bookmarkStart w:id="6" w:name="_Hlk76403418"/>
                  <w:bookmarkStart w:id="7" w:name="_Hlk97245573"/>
                  <w:r>
                    <w:rPr>
                      <w:rFonts w:hint="eastAsia"/>
                      <w:color w:val="000000" w:themeColor="text1"/>
                      <w:szCs w:val="21"/>
                      <w:lang w:val="en-US" w:eastAsia="zh-CN"/>
                      <w14:textFill>
                        <w14:solidFill>
                          <w14:schemeClr w14:val="tx1"/>
                        </w14:solidFill>
                      </w14:textFill>
                    </w:rPr>
                    <w:t>3</w:t>
                  </w:r>
                </w:p>
              </w:tc>
              <w:tc>
                <w:tcPr>
                  <w:tcW w:w="1295" w:type="pct"/>
                  <w:vAlign w:val="center"/>
                </w:tcPr>
                <w:p>
                  <w:pPr>
                    <w:pStyle w:val="26"/>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天然气</w:t>
                  </w:r>
                </w:p>
              </w:tc>
              <w:tc>
                <w:tcPr>
                  <w:tcW w:w="1082" w:type="pct"/>
                  <w:vAlign w:val="center"/>
                </w:tcPr>
                <w:p>
                  <w:pPr>
                    <w:pStyle w:val="26"/>
                    <w:rPr>
                      <w:rFonts w:hint="eastAsia" w:cs="Times New Roman"/>
                      <w:szCs w:val="21"/>
                      <w:highlight w:val="none"/>
                    </w:rPr>
                  </w:pPr>
                  <w:r>
                    <w:rPr>
                      <w:rFonts w:hint="eastAsia" w:cs="Times New Roman"/>
                      <w:szCs w:val="21"/>
                      <w:highlight w:val="none"/>
                      <w:lang w:val="en-US" w:eastAsia="zh-CN"/>
                    </w:rPr>
                    <w:t>万</w:t>
                  </w:r>
                  <w:r>
                    <w:rPr>
                      <w:rFonts w:hint="eastAsia" w:cs="Times New Roman"/>
                      <w:szCs w:val="21"/>
                      <w:highlight w:val="none"/>
                    </w:rPr>
                    <w:t>m</w:t>
                  </w:r>
                  <w:r>
                    <w:rPr>
                      <w:rFonts w:hint="eastAsia" w:cs="Times New Roman"/>
                      <w:szCs w:val="21"/>
                      <w:highlight w:val="none"/>
                      <w:vertAlign w:val="superscript"/>
                    </w:rPr>
                    <w:t>3</w:t>
                  </w:r>
                  <w:r>
                    <w:rPr>
                      <w:rFonts w:hint="eastAsia" w:cs="Times New Roman"/>
                      <w:szCs w:val="21"/>
                      <w:highlight w:val="none"/>
                    </w:rPr>
                    <w:t>/a</w:t>
                  </w:r>
                </w:p>
              </w:tc>
              <w:tc>
                <w:tcPr>
                  <w:tcW w:w="880" w:type="pct"/>
                  <w:vAlign w:val="center"/>
                </w:tcPr>
                <w:p>
                  <w:pPr>
                    <w:pStyle w:val="26"/>
                    <w:rPr>
                      <w:rFonts w:hint="default" w:eastAsia="宋体" w:cs="Times New Roman"/>
                      <w:szCs w:val="21"/>
                      <w:highlight w:val="none"/>
                      <w:lang w:val="en-US" w:eastAsia="zh-CN"/>
                    </w:rPr>
                  </w:pPr>
                  <w:r>
                    <w:rPr>
                      <w:rFonts w:hint="eastAsia" w:cs="Times New Roman"/>
                      <w:szCs w:val="21"/>
                      <w:highlight w:val="none"/>
                      <w:lang w:val="en-US" w:eastAsia="zh-CN"/>
                    </w:rPr>
                    <w:t>136.3</w:t>
                  </w:r>
                </w:p>
              </w:tc>
              <w:tc>
                <w:tcPr>
                  <w:tcW w:w="1345" w:type="pct"/>
                  <w:vAlign w:val="center"/>
                </w:tcPr>
                <w:p>
                  <w:pPr>
                    <w:pStyle w:val="26"/>
                    <w:rPr>
                      <w:rFonts w:hint="default" w:eastAsia="宋体" w:cs="Times New Roman"/>
                      <w:szCs w:val="21"/>
                      <w:highlight w:val="none"/>
                      <w:lang w:val="en-US" w:eastAsia="zh-CN"/>
                    </w:rPr>
                  </w:pPr>
                  <w:r>
                    <w:rPr>
                      <w:rFonts w:hint="eastAsia" w:cs="Times New Roman"/>
                      <w:szCs w:val="21"/>
                      <w:highlight w:val="none"/>
                      <w:lang w:val="en-US" w:eastAsia="zh-CN"/>
                    </w:rPr>
                    <w:t>由园区燃气管道供给</w:t>
                  </w:r>
                </w:p>
              </w:tc>
            </w:tr>
          </w:tbl>
          <w:p>
            <w:pPr>
              <w:pStyle w:val="34"/>
            </w:pPr>
            <w:r>
              <w:rPr>
                <w:rFonts w:hint="eastAsia"/>
              </w:rPr>
              <w:t>表</w:t>
            </w:r>
            <w:r>
              <w:rPr>
                <w:rFonts w:hint="eastAsia" w:eastAsia="宋体"/>
              </w:rPr>
              <w:t>2-4</w:t>
            </w:r>
            <w:r>
              <w:rPr>
                <w:rFonts w:hint="eastAsia"/>
              </w:rPr>
              <w:t xml:space="preserve">  天然气理化性质一览表</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583"/>
              <w:gridCol w:w="1336"/>
              <w:gridCol w:w="931"/>
              <w:gridCol w:w="849"/>
              <w:gridCol w:w="747"/>
              <w:gridCol w:w="1836"/>
              <w:gridCol w:w="136"/>
              <w:gridCol w:w="189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restart"/>
                  <w:shd w:val="clear" w:color="auto" w:fill="FFFFFF"/>
                  <w:vAlign w:val="center"/>
                </w:tcPr>
                <w:p>
                  <w:pPr>
                    <w:pStyle w:val="33"/>
                    <w:rPr>
                      <w:lang w:val="zh-TW"/>
                    </w:rPr>
                  </w:pPr>
                  <w:r>
                    <w:rPr>
                      <w:rFonts w:hint="eastAsia"/>
                    </w:rPr>
                    <w:t>标识</w:t>
                  </w:r>
                </w:p>
              </w:tc>
              <w:tc>
                <w:tcPr>
                  <w:tcW w:w="1875" w:type="pct"/>
                  <w:gridSpan w:val="3"/>
                  <w:shd w:val="clear" w:color="auto" w:fill="FFFFFF"/>
                  <w:vAlign w:val="center"/>
                </w:tcPr>
                <w:p>
                  <w:pPr>
                    <w:pStyle w:val="33"/>
                    <w:rPr>
                      <w:lang w:val="zh-TW"/>
                    </w:rPr>
                  </w:pPr>
                  <w:r>
                    <w:rPr>
                      <w:rFonts w:hint="eastAsia"/>
                    </w:rPr>
                    <w:t>英文名：</w:t>
                  </w:r>
                  <w:r>
                    <w:rPr>
                      <w:rFonts w:hint="eastAsia"/>
                      <w:lang w:val="zh-TW"/>
                    </w:rPr>
                    <w:t>Natural gas</w:t>
                  </w:r>
                </w:p>
              </w:tc>
              <w:tc>
                <w:tcPr>
                  <w:tcW w:w="1554" w:type="pct"/>
                  <w:gridSpan w:val="2"/>
                  <w:shd w:val="clear" w:color="auto" w:fill="FFFFFF"/>
                  <w:vAlign w:val="center"/>
                </w:tcPr>
                <w:p>
                  <w:pPr>
                    <w:pStyle w:val="33"/>
                    <w:rPr>
                      <w:lang w:val="zh-TW"/>
                    </w:rPr>
                  </w:pPr>
                  <w:r>
                    <w:rPr>
                      <w:rFonts w:hint="eastAsia"/>
                    </w:rPr>
                    <w:t>分子式：CH</w:t>
                  </w:r>
                  <w:r>
                    <w:rPr>
                      <w:rFonts w:hint="eastAsia"/>
                      <w:vertAlign w:val="subscript"/>
                    </w:rPr>
                    <w:t>4</w:t>
                  </w:r>
                  <w:r>
                    <w:rPr>
                      <w:rFonts w:hint="eastAsia"/>
                    </w:rPr>
                    <w:t>（甲烷为主）</w:t>
                  </w:r>
                </w:p>
              </w:tc>
              <w:tc>
                <w:tcPr>
                  <w:tcW w:w="1220" w:type="pct"/>
                  <w:gridSpan w:val="2"/>
                  <w:shd w:val="clear" w:color="auto" w:fill="FFFFFF"/>
                  <w:vAlign w:val="center"/>
                </w:tcPr>
                <w:p>
                  <w:pPr>
                    <w:pStyle w:val="33"/>
                    <w:rPr>
                      <w:lang w:val="zh-TW"/>
                    </w:rPr>
                  </w:pPr>
                  <w:r>
                    <w:rPr>
                      <w:rFonts w:hint="eastAsia"/>
                    </w:rPr>
                    <w:t>分子量：16.043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1875" w:type="pct"/>
                  <w:gridSpan w:val="3"/>
                  <w:shd w:val="clear" w:color="auto" w:fill="FFFFFF"/>
                  <w:vAlign w:val="center"/>
                </w:tcPr>
                <w:p>
                  <w:pPr>
                    <w:pStyle w:val="33"/>
                    <w:rPr>
                      <w:lang w:val="zh-TW"/>
                    </w:rPr>
                  </w:pPr>
                  <w:r>
                    <w:rPr>
                      <w:rFonts w:hint="eastAsia"/>
                    </w:rPr>
                    <w:t>危险货物编号：21008</w:t>
                  </w:r>
                </w:p>
              </w:tc>
              <w:tc>
                <w:tcPr>
                  <w:tcW w:w="2774" w:type="pct"/>
                  <w:gridSpan w:val="4"/>
                  <w:shd w:val="clear" w:color="auto" w:fill="FFFFFF"/>
                  <w:vAlign w:val="center"/>
                </w:tcPr>
                <w:p>
                  <w:pPr>
                    <w:pStyle w:val="33"/>
                    <w:rPr>
                      <w:lang w:val="zh-TW"/>
                    </w:rPr>
                  </w:pPr>
                  <w:r>
                    <w:rPr>
                      <w:rFonts w:hint="eastAsia"/>
                      <w:lang w:val="zh-TW"/>
                    </w:rPr>
                    <w:t xml:space="preserve">UN </w:t>
                  </w:r>
                  <w:r>
                    <w:rPr>
                      <w:rFonts w:hint="eastAsia"/>
                    </w:rPr>
                    <w:t>编号：1972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restart"/>
                  <w:shd w:val="clear" w:color="auto" w:fill="FFFFFF"/>
                  <w:vAlign w:val="center"/>
                </w:tcPr>
                <w:p>
                  <w:pPr>
                    <w:pStyle w:val="33"/>
                  </w:pPr>
                  <w:r>
                    <w:rPr>
                      <w:rFonts w:hint="eastAsia"/>
                    </w:rPr>
                    <w:t>理化</w:t>
                  </w:r>
                </w:p>
                <w:p>
                  <w:pPr>
                    <w:pStyle w:val="33"/>
                    <w:rPr>
                      <w:lang w:val="zh-TW"/>
                    </w:rPr>
                  </w:pPr>
                  <w:r>
                    <w:rPr>
                      <w:rFonts w:hint="eastAsia"/>
                    </w:rPr>
                    <w:t>性质</w:t>
                  </w:r>
                </w:p>
              </w:tc>
              <w:tc>
                <w:tcPr>
                  <w:tcW w:w="4649" w:type="pct"/>
                  <w:gridSpan w:val="7"/>
                  <w:shd w:val="clear" w:color="auto" w:fill="FFFFFF"/>
                  <w:vAlign w:val="center"/>
                </w:tcPr>
                <w:p>
                  <w:pPr>
                    <w:pStyle w:val="33"/>
                    <w:rPr>
                      <w:lang w:val="zh-TW"/>
                    </w:rPr>
                  </w:pPr>
                  <w:r>
                    <w:rPr>
                      <w:rFonts w:hint="eastAsia"/>
                    </w:rPr>
                    <w:t>外观与性状：无色无臭液体。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4649" w:type="pct"/>
                  <w:gridSpan w:val="7"/>
                  <w:shd w:val="clear" w:color="auto" w:fill="FFFFFF"/>
                  <w:vAlign w:val="center"/>
                </w:tcPr>
                <w:p>
                  <w:pPr>
                    <w:pStyle w:val="33"/>
                    <w:rPr>
                      <w:lang w:val="zh-TW"/>
                    </w:rPr>
                  </w:pPr>
                  <w:r>
                    <w:rPr>
                      <w:rFonts w:hint="eastAsia"/>
                    </w:rPr>
                    <w:t>主要用途：主要用作工业、农业、家用及商业的动力燃料，化学及石油化学工业原料。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1364" w:type="pct"/>
                  <w:gridSpan w:val="2"/>
                  <w:shd w:val="clear" w:color="auto" w:fill="FFFFFF"/>
                  <w:vAlign w:val="center"/>
                </w:tcPr>
                <w:p>
                  <w:pPr>
                    <w:pStyle w:val="33"/>
                    <w:rPr>
                      <w:lang w:val="zh-TW"/>
                    </w:rPr>
                  </w:pPr>
                  <w:r>
                    <w:rPr>
                      <w:rFonts w:hint="eastAsia"/>
                    </w:rPr>
                    <w:t>熔点</w:t>
                  </w:r>
                  <w:r>
                    <w:rPr>
                      <w:rFonts w:hint="eastAsia"/>
                      <w:lang w:val="zh-TW"/>
                    </w:rPr>
                    <w:t>（℃)</w:t>
                  </w:r>
                </w:p>
              </w:tc>
              <w:tc>
                <w:tcPr>
                  <w:tcW w:w="959" w:type="pct"/>
                  <w:gridSpan w:val="2"/>
                  <w:shd w:val="clear" w:color="auto" w:fill="FFFFFF"/>
                  <w:vAlign w:val="center"/>
                </w:tcPr>
                <w:p>
                  <w:pPr>
                    <w:pStyle w:val="33"/>
                    <w:rPr>
                      <w:lang w:val="zh-TW"/>
                    </w:rPr>
                  </w:pPr>
                  <w:r>
                    <w:rPr>
                      <w:rFonts w:hint="eastAsia"/>
                      <w:lang w:val="zh-TW"/>
                    </w:rPr>
                    <w:t>—</w:t>
                  </w:r>
                </w:p>
              </w:tc>
              <w:tc>
                <w:tcPr>
                  <w:tcW w:w="1187" w:type="pct"/>
                  <w:gridSpan w:val="2"/>
                  <w:shd w:val="clear" w:color="auto" w:fill="FFFFFF"/>
                  <w:vAlign w:val="center"/>
                </w:tcPr>
                <w:p>
                  <w:pPr>
                    <w:pStyle w:val="33"/>
                    <w:rPr>
                      <w:lang w:val="zh-TW"/>
                    </w:rPr>
                  </w:pPr>
                  <w:r>
                    <w:rPr>
                      <w:rFonts w:hint="eastAsia"/>
                    </w:rPr>
                    <w:t>相对密度（空气</w:t>
                  </w:r>
                  <w:r>
                    <w:rPr>
                      <w:rFonts w:hint="eastAsia"/>
                      <w:lang w:val="zh-TW"/>
                    </w:rPr>
                    <w:t>=1)</w:t>
                  </w:r>
                </w:p>
              </w:tc>
              <w:tc>
                <w:tcPr>
                  <w:tcW w:w="1138" w:type="pct"/>
                  <w:shd w:val="clear" w:color="auto" w:fill="FFFFFF"/>
                  <w:vAlign w:val="center"/>
                </w:tcPr>
                <w:p>
                  <w:pPr>
                    <w:pStyle w:val="33"/>
                    <w:rPr>
                      <w:lang w:val="zh-TW"/>
                    </w:rPr>
                  </w:pPr>
                  <w:r>
                    <w:rPr>
                      <w:rFonts w:hint="eastAsia"/>
                      <w:lang w:val="zh-TW"/>
                    </w:rPr>
                    <w:t>0.7494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1364" w:type="pct"/>
                  <w:gridSpan w:val="2"/>
                  <w:shd w:val="clear" w:color="auto" w:fill="FFFFFF"/>
                  <w:vAlign w:val="center"/>
                </w:tcPr>
                <w:p>
                  <w:pPr>
                    <w:pStyle w:val="33"/>
                    <w:rPr>
                      <w:lang w:val="zh-TW"/>
                    </w:rPr>
                  </w:pPr>
                  <w:r>
                    <w:rPr>
                      <w:rFonts w:hint="eastAsia"/>
                    </w:rPr>
                    <w:t>沸点</w:t>
                  </w:r>
                  <w:r>
                    <w:rPr>
                      <w:rFonts w:hint="eastAsia"/>
                      <w:lang w:val="zh-TW"/>
                    </w:rPr>
                    <w:t>（℃)</w:t>
                  </w:r>
                </w:p>
              </w:tc>
              <w:tc>
                <w:tcPr>
                  <w:tcW w:w="959" w:type="pct"/>
                  <w:gridSpan w:val="2"/>
                  <w:shd w:val="clear" w:color="auto" w:fill="FFFFFF"/>
                  <w:vAlign w:val="center"/>
                </w:tcPr>
                <w:p>
                  <w:pPr>
                    <w:pStyle w:val="33"/>
                    <w:rPr>
                      <w:lang w:val="zh-TW"/>
                    </w:rPr>
                  </w:pPr>
                  <w:r>
                    <w:rPr>
                      <w:rFonts w:hint="eastAsia"/>
                      <w:lang w:val="zh-TW"/>
                    </w:rPr>
                    <w:t>-160-164</w:t>
                  </w:r>
                </w:p>
              </w:tc>
              <w:tc>
                <w:tcPr>
                  <w:tcW w:w="1187" w:type="pct"/>
                  <w:gridSpan w:val="2"/>
                  <w:shd w:val="clear" w:color="auto" w:fill="FFFFFF"/>
                  <w:vAlign w:val="center"/>
                </w:tcPr>
                <w:p>
                  <w:pPr>
                    <w:pStyle w:val="33"/>
                    <w:rPr>
                      <w:lang w:val="zh-TW"/>
                    </w:rPr>
                  </w:pPr>
                  <w:r>
                    <w:rPr>
                      <w:rFonts w:hint="eastAsia"/>
                    </w:rPr>
                    <w:t>相对密度（水</w:t>
                  </w:r>
                  <w:r>
                    <w:rPr>
                      <w:rFonts w:hint="eastAsia"/>
                      <w:lang w:val="zh-TW"/>
                    </w:rPr>
                    <w:t>=1)</w:t>
                  </w:r>
                </w:p>
              </w:tc>
              <w:tc>
                <w:tcPr>
                  <w:tcW w:w="1138" w:type="pct"/>
                  <w:shd w:val="clear" w:color="auto" w:fill="FFFFFF"/>
                  <w:vAlign w:val="center"/>
                </w:tcPr>
                <w:p>
                  <w:pPr>
                    <w:pStyle w:val="33"/>
                    <w:rPr>
                      <w:lang w:val="zh-TW"/>
                    </w:rPr>
                  </w:pPr>
                  <w:r>
                    <w:rPr>
                      <w:rFonts w:hint="eastAsia"/>
                    </w:rPr>
                    <w:t>无资料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4649" w:type="pct"/>
                  <w:gridSpan w:val="7"/>
                  <w:shd w:val="clear" w:color="auto" w:fill="FFFFFF"/>
                  <w:vAlign w:val="center"/>
                </w:tcPr>
                <w:p>
                  <w:pPr>
                    <w:pStyle w:val="33"/>
                    <w:rPr>
                      <w:lang w:val="zh-TW"/>
                    </w:rPr>
                  </w:pPr>
                  <w:r>
                    <w:rPr>
                      <w:rFonts w:hint="eastAsia"/>
                    </w:rPr>
                    <w:t>溶解性：不溶于水。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restart"/>
                  <w:shd w:val="clear" w:color="auto" w:fill="FFFFFF"/>
                  <w:vAlign w:val="center"/>
                </w:tcPr>
                <w:p>
                  <w:pPr>
                    <w:pStyle w:val="33"/>
                    <w:rPr>
                      <w:lang w:val="zh-TW"/>
                    </w:rPr>
                  </w:pPr>
                  <w:r>
                    <w:rPr>
                      <w:rFonts w:hint="eastAsia"/>
                    </w:rPr>
                    <w:t>毒性</w:t>
                  </w:r>
                </w:p>
                <w:p>
                  <w:pPr>
                    <w:pStyle w:val="33"/>
                  </w:pPr>
                  <w:r>
                    <w:rPr>
                      <w:rFonts w:hint="eastAsia"/>
                    </w:rPr>
                    <w:t>及健</w:t>
                  </w:r>
                </w:p>
                <w:p>
                  <w:pPr>
                    <w:pStyle w:val="33"/>
                    <w:rPr>
                      <w:lang w:val="zh-TW"/>
                    </w:rPr>
                  </w:pPr>
                  <w:r>
                    <w:rPr>
                      <w:rFonts w:hint="eastAsia"/>
                    </w:rPr>
                    <w:t>康危</w:t>
                  </w:r>
                </w:p>
                <w:p>
                  <w:pPr>
                    <w:pStyle w:val="33"/>
                    <w:rPr>
                      <w:lang w:val="zh-TW"/>
                    </w:rPr>
                  </w:pPr>
                  <w:r>
                    <w:rPr>
                      <w:rFonts w:hint="eastAsia"/>
                    </w:rPr>
                    <w:t>害</w:t>
                  </w:r>
                </w:p>
              </w:tc>
              <w:tc>
                <w:tcPr>
                  <w:tcW w:w="804" w:type="pct"/>
                  <w:vMerge w:val="restart"/>
                  <w:shd w:val="clear" w:color="auto" w:fill="FFFFFF"/>
                  <w:vAlign w:val="center"/>
                </w:tcPr>
                <w:p>
                  <w:pPr>
                    <w:pStyle w:val="33"/>
                  </w:pPr>
                  <w:r>
                    <w:rPr>
                      <w:rFonts w:hint="eastAsia"/>
                    </w:rPr>
                    <w:t>接触限值</w:t>
                  </w:r>
                </w:p>
                <w:p>
                  <w:pPr>
                    <w:pStyle w:val="33"/>
                    <w:rPr>
                      <w:lang w:val="zh-TW"/>
                    </w:rPr>
                  </w:pPr>
                  <w:r>
                    <w:rPr>
                      <w:rFonts w:hint="eastAsia"/>
                      <w:lang w:val="zh-TW"/>
                    </w:rPr>
                    <w:t>(mg/m</w:t>
                  </w:r>
                  <w:r>
                    <w:rPr>
                      <w:rFonts w:hint="eastAsia"/>
                      <w:vertAlign w:val="superscript"/>
                      <w:lang w:val="zh-TW"/>
                    </w:rPr>
                    <w:t>3</w:t>
                  </w:r>
                  <w:r>
                    <w:rPr>
                      <w:rFonts w:hint="eastAsia"/>
                      <w:lang w:val="zh-TW"/>
                    </w:rPr>
                    <w:t>)</w:t>
                  </w:r>
                </w:p>
              </w:tc>
              <w:tc>
                <w:tcPr>
                  <w:tcW w:w="1520" w:type="pct"/>
                  <w:gridSpan w:val="3"/>
                  <w:shd w:val="clear" w:color="auto" w:fill="FFFFFF"/>
                  <w:vAlign w:val="center"/>
                </w:tcPr>
                <w:p>
                  <w:pPr>
                    <w:pStyle w:val="33"/>
                    <w:rPr>
                      <w:lang w:val="zh-TW"/>
                    </w:rPr>
                  </w:pPr>
                  <w:r>
                    <w:rPr>
                      <w:rFonts w:hint="eastAsia"/>
                    </w:rPr>
                    <w:t>中国</w:t>
                  </w:r>
                  <w:r>
                    <w:rPr>
                      <w:rFonts w:hint="eastAsia"/>
                      <w:lang w:val="zh-TW"/>
                    </w:rPr>
                    <w:t>MAC:</w:t>
                  </w:r>
                  <w:r>
                    <w:rPr>
                      <w:rFonts w:hint="eastAsia"/>
                    </w:rPr>
                    <w:t>未制定标准</w:t>
                  </w:r>
                </w:p>
              </w:tc>
              <w:tc>
                <w:tcPr>
                  <w:tcW w:w="2325" w:type="pct"/>
                  <w:gridSpan w:val="3"/>
                  <w:shd w:val="clear" w:color="auto" w:fill="FFFFFF"/>
                  <w:vAlign w:val="center"/>
                </w:tcPr>
                <w:p>
                  <w:pPr>
                    <w:pStyle w:val="33"/>
                    <w:rPr>
                      <w:lang w:val="zh-TW"/>
                    </w:rPr>
                  </w:pPr>
                  <w:r>
                    <w:rPr>
                      <w:rFonts w:hint="eastAsia"/>
                    </w:rPr>
                    <w:t>美国</w:t>
                  </w:r>
                  <w:r>
                    <w:rPr>
                      <w:rFonts w:hint="eastAsia"/>
                      <w:lang w:val="zh-TW"/>
                    </w:rPr>
                    <w:t>TWA:</w:t>
                  </w:r>
                  <w:r>
                    <w:rPr>
                      <w:rFonts w:hint="eastAsia"/>
                    </w:rPr>
                    <w:t>未制定标准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vMerge w:val="continue"/>
                  <w:shd w:val="clear" w:color="auto" w:fill="FFFFFF"/>
                  <w:vAlign w:val="center"/>
                </w:tcPr>
                <w:p>
                  <w:pPr>
                    <w:pStyle w:val="33"/>
                    <w:rPr>
                      <w:lang w:val="zh-TW"/>
                    </w:rPr>
                  </w:pPr>
                </w:p>
              </w:tc>
              <w:tc>
                <w:tcPr>
                  <w:tcW w:w="1520" w:type="pct"/>
                  <w:gridSpan w:val="3"/>
                  <w:shd w:val="clear" w:color="auto" w:fill="FFFFFF"/>
                  <w:vAlign w:val="center"/>
                </w:tcPr>
                <w:p>
                  <w:pPr>
                    <w:pStyle w:val="33"/>
                    <w:rPr>
                      <w:lang w:val="zh-TW"/>
                    </w:rPr>
                  </w:pPr>
                  <w:r>
                    <w:rPr>
                      <w:rFonts w:hint="eastAsia"/>
                    </w:rPr>
                    <w:t>苏联</w:t>
                  </w:r>
                  <w:r>
                    <w:rPr>
                      <w:rFonts w:hint="eastAsia"/>
                      <w:lang w:val="zh-TW"/>
                    </w:rPr>
                    <w:t>MAC:</w:t>
                  </w:r>
                  <w:r>
                    <w:rPr>
                      <w:rFonts w:hint="eastAsia"/>
                    </w:rPr>
                    <w:t>300</w:t>
                  </w:r>
                </w:p>
              </w:tc>
              <w:tc>
                <w:tcPr>
                  <w:tcW w:w="2325" w:type="pct"/>
                  <w:gridSpan w:val="3"/>
                  <w:shd w:val="clear" w:color="auto" w:fill="FFFFFF"/>
                  <w:vAlign w:val="center"/>
                </w:tcPr>
                <w:p>
                  <w:pPr>
                    <w:pStyle w:val="33"/>
                    <w:rPr>
                      <w:lang w:val="zh-TW"/>
                    </w:rPr>
                  </w:pPr>
                  <w:r>
                    <w:rPr>
                      <w:rFonts w:hint="eastAsia"/>
                    </w:rPr>
                    <w:t>美国</w:t>
                  </w:r>
                  <w:r>
                    <w:rPr>
                      <w:rFonts w:hint="eastAsia"/>
                      <w:lang w:val="zh-TW"/>
                    </w:rPr>
                    <w:t>STEL:</w:t>
                  </w:r>
                  <w:r>
                    <w:rPr>
                      <w:rFonts w:hint="eastAsia"/>
                    </w:rPr>
                    <w:t>未制定标准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rPr>
                      <w:lang w:val="zh-TW"/>
                    </w:rPr>
                  </w:pPr>
                  <w:r>
                    <w:rPr>
                      <w:rFonts w:hint="eastAsia"/>
                    </w:rPr>
                    <w:t>侵入途径</w:t>
                  </w:r>
                </w:p>
              </w:tc>
              <w:tc>
                <w:tcPr>
                  <w:tcW w:w="1520" w:type="pct"/>
                  <w:gridSpan w:val="3"/>
                  <w:shd w:val="clear" w:color="auto" w:fill="FFFFFF"/>
                  <w:vAlign w:val="center"/>
                </w:tcPr>
                <w:p>
                  <w:pPr>
                    <w:pStyle w:val="33"/>
                    <w:rPr>
                      <w:lang w:val="zh-TW"/>
                    </w:rPr>
                  </w:pPr>
                  <w:r>
                    <w:rPr>
                      <w:rFonts w:hint="eastAsia"/>
                    </w:rPr>
                    <w:t>吸入、食入、皮肤接触</w:t>
                  </w:r>
                </w:p>
              </w:tc>
              <w:tc>
                <w:tcPr>
                  <w:tcW w:w="2325" w:type="pct"/>
                  <w:gridSpan w:val="3"/>
                  <w:shd w:val="clear" w:color="auto" w:fill="FFFFFF"/>
                  <w:vAlign w:val="center"/>
                </w:tcPr>
                <w:p>
                  <w:pPr>
                    <w:pStyle w:val="33"/>
                    <w:rPr>
                      <w:lang w:val="zh-TW"/>
                    </w:rPr>
                  </w:pPr>
                  <w:r>
                    <w:rPr>
                      <w:rFonts w:hint="eastAsia"/>
                    </w:rPr>
                    <w:t>毒性：</w:t>
                  </w:r>
                  <w:r>
                    <w:rPr>
                      <w:rFonts w:hint="eastAsia"/>
                      <w:lang w:val="zh-TW"/>
                    </w:rPr>
                    <w:t>LD50    LC50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rPr>
                      <w:lang w:val="zh-TW"/>
                    </w:rPr>
                  </w:pPr>
                  <w:r>
                    <w:rPr>
                      <w:rFonts w:hint="eastAsia"/>
                    </w:rPr>
                    <w:t>健康危害</w:t>
                  </w:r>
                </w:p>
              </w:tc>
              <w:tc>
                <w:tcPr>
                  <w:tcW w:w="3845" w:type="pct"/>
                  <w:gridSpan w:val="6"/>
                  <w:shd w:val="clear" w:color="auto" w:fill="FFFFFF"/>
                  <w:vAlign w:val="center"/>
                </w:tcPr>
                <w:p>
                  <w:pPr>
                    <w:pStyle w:val="33"/>
                    <w:rPr>
                      <w:lang w:val="zh-TW"/>
                    </w:rPr>
                  </w:pPr>
                  <w:r>
                    <w:rPr>
                      <w:rFonts w:hint="eastAsia"/>
                      <w:lang w:val="zh-TW"/>
                    </w:rPr>
                    <w:t>本品对人基本无毒，但浓度过高时，使空气中氧含量明显降低，使人窒息。当空气中甲烷达到25%～30%时，可引起头痛、头晕、乏力、注意力不集中、呼吸和心跳加速、供给失调。若不及时脱离，可致窒息死亡。皮肤接触本品，可致冻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rPr>
                      <w:lang w:val="zh-TW"/>
                    </w:rPr>
                  </w:pPr>
                  <w:r>
                    <w:rPr>
                      <w:rFonts w:hint="eastAsia"/>
                    </w:rPr>
                    <w:t>急救措施</w:t>
                  </w:r>
                </w:p>
              </w:tc>
              <w:tc>
                <w:tcPr>
                  <w:tcW w:w="3845" w:type="pct"/>
                  <w:gridSpan w:val="6"/>
                  <w:shd w:val="clear" w:color="auto" w:fill="FFFFFF"/>
                  <w:vAlign w:val="center"/>
                </w:tcPr>
                <w:p>
                  <w:pPr>
                    <w:pStyle w:val="33"/>
                    <w:rPr>
                      <w:lang w:val="zh-TW"/>
                    </w:rPr>
                  </w:pPr>
                  <w:r>
                    <w:rPr>
                      <w:rFonts w:hint="eastAsia"/>
                    </w:rPr>
                    <w:t>皮肤接触：若有冻伤，就医治疗。</w:t>
                  </w:r>
                </w:p>
                <w:p>
                  <w:pPr>
                    <w:pStyle w:val="33"/>
                    <w:rPr>
                      <w:lang w:val="zh-TW"/>
                    </w:rPr>
                  </w:pPr>
                  <w:r>
                    <w:rPr>
                      <w:rFonts w:hint="eastAsia"/>
                    </w:rPr>
                    <w:t>吸入：迅速脱离现场至空气淸新处，保持呼吸道畅通。如呼吸困难，给输氧。如呼吸停止，立即进行人工呼吸。就医。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restart"/>
                  <w:shd w:val="clear" w:color="auto" w:fill="FFFFFF"/>
                  <w:vAlign w:val="center"/>
                </w:tcPr>
                <w:p>
                  <w:pPr>
                    <w:pStyle w:val="33"/>
                    <w:rPr>
                      <w:lang w:val="zh-TW"/>
                    </w:rPr>
                  </w:pPr>
                  <w:r>
                    <w:rPr>
                      <w:rFonts w:hint="eastAsia"/>
                    </w:rPr>
                    <w:t>燃烧炸危险性</w:t>
                  </w:r>
                </w:p>
              </w:tc>
              <w:tc>
                <w:tcPr>
                  <w:tcW w:w="804" w:type="pct"/>
                  <w:shd w:val="clear" w:color="auto" w:fill="FFFFFF"/>
                  <w:vAlign w:val="center"/>
                </w:tcPr>
                <w:p>
                  <w:pPr>
                    <w:pStyle w:val="33"/>
                    <w:rPr>
                      <w:rFonts w:hint="eastAsia" w:eastAsia="宋体"/>
                      <w:lang w:val="zh-TW" w:eastAsia="zh-CN"/>
                    </w:rPr>
                  </w:pPr>
                  <w:r>
                    <w:rPr>
                      <w:rFonts w:hint="eastAsia"/>
                    </w:rPr>
                    <w:t>燃烧</w:t>
                  </w:r>
                  <w:r>
                    <w:rPr>
                      <w:rFonts w:hint="eastAsia"/>
                      <w:lang w:val="en-US" w:eastAsia="zh-CN"/>
                    </w:rPr>
                    <w:t>性</w:t>
                  </w:r>
                </w:p>
              </w:tc>
              <w:tc>
                <w:tcPr>
                  <w:tcW w:w="1520" w:type="pct"/>
                  <w:gridSpan w:val="3"/>
                  <w:shd w:val="clear" w:color="auto" w:fill="FFFFFF"/>
                  <w:vAlign w:val="center"/>
                </w:tcPr>
                <w:p>
                  <w:pPr>
                    <w:pStyle w:val="33"/>
                    <w:rPr>
                      <w:lang w:val="zh-TW"/>
                    </w:rPr>
                  </w:pPr>
                  <w:r>
                    <w:rPr>
                      <w:rFonts w:hint="eastAsia"/>
                    </w:rPr>
                    <w:t>极度易燃</w:t>
                  </w:r>
                </w:p>
              </w:tc>
              <w:tc>
                <w:tcPr>
                  <w:tcW w:w="1105" w:type="pct"/>
                  <w:shd w:val="clear" w:color="auto" w:fill="FFFFFF"/>
                  <w:vAlign w:val="center"/>
                </w:tcPr>
                <w:p>
                  <w:pPr>
                    <w:pStyle w:val="33"/>
                    <w:rPr>
                      <w:lang w:val="zh-TW"/>
                    </w:rPr>
                  </w:pPr>
                  <w:r>
                    <w:rPr>
                      <w:rFonts w:hint="eastAsia"/>
                    </w:rPr>
                    <w:t>闪点</w:t>
                  </w:r>
                  <w:r>
                    <w:rPr>
                      <w:rFonts w:hint="eastAsia"/>
                      <w:lang w:val="zh-TW"/>
                    </w:rPr>
                    <w:t>rc)</w:t>
                  </w:r>
                </w:p>
              </w:tc>
              <w:tc>
                <w:tcPr>
                  <w:tcW w:w="1220" w:type="pct"/>
                  <w:gridSpan w:val="2"/>
                  <w:shd w:val="clear" w:color="auto" w:fill="FFFFFF"/>
                  <w:vAlign w:val="center"/>
                </w:tcPr>
                <w:p>
                  <w:pPr>
                    <w:pStyle w:val="33"/>
                    <w:rPr>
                      <w:lang w:val="zh-TW"/>
                    </w:rPr>
                  </w:pPr>
                  <w:r>
                    <w:rPr>
                      <w:rFonts w:hint="eastAsia"/>
                      <w:lang w:val="zh-TW"/>
                    </w:rPr>
                    <w:t>-188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rPr>
                      <w:lang w:val="zh-TW"/>
                    </w:rPr>
                  </w:pPr>
                  <w:r>
                    <w:rPr>
                      <w:rFonts w:hint="eastAsia"/>
                    </w:rPr>
                    <w:t>引燃温度</w:t>
                  </w:r>
                  <w:r>
                    <w:rPr>
                      <w:rFonts w:hint="eastAsia"/>
                      <w:lang w:val="zh-TW"/>
                    </w:rPr>
                    <w:t>（℃）</w:t>
                  </w:r>
                </w:p>
              </w:tc>
              <w:tc>
                <w:tcPr>
                  <w:tcW w:w="1520" w:type="pct"/>
                  <w:gridSpan w:val="3"/>
                  <w:shd w:val="clear" w:color="auto" w:fill="FFFFFF"/>
                  <w:vAlign w:val="center"/>
                </w:tcPr>
                <w:p>
                  <w:pPr>
                    <w:pStyle w:val="33"/>
                    <w:rPr>
                      <w:lang w:val="zh-TW"/>
                    </w:rPr>
                  </w:pPr>
                  <w:r>
                    <w:rPr>
                      <w:rFonts w:hint="eastAsia"/>
                    </w:rPr>
                    <w:t>538</w:t>
                  </w:r>
                </w:p>
              </w:tc>
              <w:tc>
                <w:tcPr>
                  <w:tcW w:w="1105" w:type="pct"/>
                  <w:shd w:val="clear" w:color="auto" w:fill="FFFFFF"/>
                  <w:vAlign w:val="center"/>
                </w:tcPr>
                <w:p>
                  <w:pPr>
                    <w:pStyle w:val="33"/>
                    <w:rPr>
                      <w:lang w:val="zh-TW"/>
                    </w:rPr>
                  </w:pPr>
                  <w:r>
                    <w:rPr>
                      <w:rFonts w:hint="eastAsia"/>
                    </w:rPr>
                    <w:t>爆炸极限</w:t>
                  </w:r>
                  <w:r>
                    <w:rPr>
                      <w:rFonts w:hint="eastAsia"/>
                      <w:lang w:val="zh-TW"/>
                    </w:rPr>
                    <w:t>（v%)</w:t>
                  </w:r>
                </w:p>
              </w:tc>
              <w:tc>
                <w:tcPr>
                  <w:tcW w:w="1220" w:type="pct"/>
                  <w:gridSpan w:val="2"/>
                  <w:shd w:val="clear" w:color="auto" w:fill="FFFFFF"/>
                  <w:vAlign w:val="center"/>
                </w:tcPr>
                <w:p>
                  <w:pPr>
                    <w:pStyle w:val="33"/>
                    <w:rPr>
                      <w:lang w:val="zh-TW"/>
                    </w:rPr>
                  </w:pPr>
                  <w:r>
                    <w:rPr>
                      <w:rFonts w:hint="eastAsia"/>
                      <w:lang w:val="zh-TW"/>
                    </w:rPr>
                    <w:t>5-14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rPr>
                      <w:lang w:val="zh-TW"/>
                    </w:rPr>
                  </w:pPr>
                  <w:r>
                    <w:rPr>
                      <w:rFonts w:hint="eastAsia"/>
                    </w:rPr>
                    <w:t>危险特性</w:t>
                  </w:r>
                </w:p>
              </w:tc>
              <w:tc>
                <w:tcPr>
                  <w:tcW w:w="3845" w:type="pct"/>
                  <w:gridSpan w:val="6"/>
                  <w:shd w:val="clear" w:color="auto" w:fill="FFFFFF"/>
                  <w:vAlign w:val="center"/>
                </w:tcPr>
                <w:p>
                  <w:pPr>
                    <w:pStyle w:val="33"/>
                    <w:rPr>
                      <w:lang w:val="zh-TW"/>
                    </w:rPr>
                  </w:pPr>
                  <w:r>
                    <w:rPr>
                      <w:rFonts w:hint="eastAsia"/>
                    </w:rPr>
                    <w:t>极度易燃，与空气混合能形成爆炸性混合物，遇热源和明火有燃烧爆炸的危险。与五氧化溴、氯气、次氯酸、三氟化氮、液氧、二氟化氧及其它强氧化剂接触剧烈反应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rPr>
                      <w:lang w:val="zh-TW"/>
                    </w:rPr>
                  </w:pPr>
                  <w:r>
                    <w:rPr>
                      <w:rFonts w:hint="eastAsia"/>
                    </w:rPr>
                    <w:t>燃烧分解产物</w:t>
                  </w:r>
                </w:p>
              </w:tc>
              <w:tc>
                <w:tcPr>
                  <w:tcW w:w="3845" w:type="pct"/>
                  <w:gridSpan w:val="6"/>
                  <w:shd w:val="clear" w:color="auto" w:fill="FFFFFF"/>
                  <w:vAlign w:val="center"/>
                </w:tcPr>
                <w:p>
                  <w:pPr>
                    <w:pStyle w:val="33"/>
                    <w:rPr>
                      <w:lang w:val="zh-TW" w:eastAsia="zh-TW"/>
                    </w:rPr>
                  </w:pPr>
                  <w:r>
                    <w:rPr>
                      <w:rFonts w:hint="eastAsia"/>
                      <w:lang w:eastAsia="zh-TW"/>
                    </w:rPr>
                    <w:t>一氧化碳、二氧化碳和水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eastAsia="zh-TW"/>
                    </w:rPr>
                  </w:pPr>
                </w:p>
              </w:tc>
              <w:tc>
                <w:tcPr>
                  <w:tcW w:w="804" w:type="pct"/>
                  <w:shd w:val="clear" w:color="auto" w:fill="FFFFFF"/>
                  <w:vAlign w:val="center"/>
                </w:tcPr>
                <w:p>
                  <w:pPr>
                    <w:pStyle w:val="33"/>
                  </w:pPr>
                  <w:r>
                    <w:rPr>
                      <w:rFonts w:hint="eastAsia"/>
                    </w:rPr>
                    <w:t>稳定度</w:t>
                  </w:r>
                </w:p>
              </w:tc>
              <w:tc>
                <w:tcPr>
                  <w:tcW w:w="3845" w:type="pct"/>
                  <w:gridSpan w:val="6"/>
                  <w:shd w:val="clear" w:color="auto" w:fill="FFFFFF"/>
                  <w:vAlign w:val="center"/>
                </w:tcPr>
                <w:p>
                  <w:pPr>
                    <w:pStyle w:val="33"/>
                  </w:pPr>
                  <w:r>
                    <w:rPr>
                      <w:rFonts w:hint="eastAsia"/>
                    </w:rPr>
                    <w:t>稳定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pPr>
                  <w:r>
                    <w:rPr>
                      <w:rFonts w:hint="eastAsia"/>
                    </w:rPr>
                    <w:t>聚合危害</w:t>
                  </w:r>
                </w:p>
              </w:tc>
              <w:tc>
                <w:tcPr>
                  <w:tcW w:w="3845" w:type="pct"/>
                  <w:gridSpan w:val="6"/>
                  <w:shd w:val="clear" w:color="auto" w:fill="FFFFFF"/>
                  <w:vAlign w:val="center"/>
                </w:tcPr>
                <w:p>
                  <w:pPr>
                    <w:pStyle w:val="33"/>
                  </w:pPr>
                  <w:r>
                    <w:rPr>
                      <w:rFonts w:hint="eastAsia"/>
                    </w:rPr>
                    <w:t>不聚合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pPr>
                  <w:r>
                    <w:rPr>
                      <w:rFonts w:hint="eastAsia"/>
                    </w:rPr>
                    <w:t>禁忌物</w:t>
                  </w:r>
                </w:p>
              </w:tc>
              <w:tc>
                <w:tcPr>
                  <w:tcW w:w="3845" w:type="pct"/>
                  <w:gridSpan w:val="6"/>
                  <w:shd w:val="clear" w:color="auto" w:fill="FFFFFF"/>
                  <w:vAlign w:val="center"/>
                </w:tcPr>
                <w:p>
                  <w:pPr>
                    <w:pStyle w:val="33"/>
                  </w:pPr>
                  <w:r>
                    <w:rPr>
                      <w:rFonts w:hint="eastAsia"/>
                    </w:rPr>
                    <w:t>强氧化剂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51" w:type="pct"/>
                  <w:vMerge w:val="continue"/>
                  <w:shd w:val="clear" w:color="auto" w:fill="FFFFFF"/>
                  <w:vAlign w:val="center"/>
                </w:tcPr>
                <w:p>
                  <w:pPr>
                    <w:pStyle w:val="33"/>
                    <w:rPr>
                      <w:lang w:val="zh-TW"/>
                    </w:rPr>
                  </w:pPr>
                </w:p>
              </w:tc>
              <w:tc>
                <w:tcPr>
                  <w:tcW w:w="804" w:type="pct"/>
                  <w:shd w:val="clear" w:color="auto" w:fill="FFFFFF"/>
                  <w:vAlign w:val="center"/>
                </w:tcPr>
                <w:p>
                  <w:pPr>
                    <w:pStyle w:val="33"/>
                    <w:rPr>
                      <w:lang w:val="zh-TW"/>
                    </w:rPr>
                  </w:pPr>
                  <w:r>
                    <w:rPr>
                      <w:rFonts w:hint="eastAsia"/>
                      <w:lang w:val="zh-TW"/>
                    </w:rPr>
                    <w:t>灭火方法</w:t>
                  </w:r>
                </w:p>
              </w:tc>
              <w:tc>
                <w:tcPr>
                  <w:tcW w:w="3845" w:type="pct"/>
                  <w:gridSpan w:val="6"/>
                  <w:shd w:val="clear" w:color="auto" w:fill="FFFFFF"/>
                  <w:vAlign w:val="center"/>
                </w:tcPr>
                <w:p>
                  <w:pPr>
                    <w:pStyle w:val="33"/>
                    <w:rPr>
                      <w:lang w:val="zh-TW"/>
                    </w:rPr>
                  </w:pPr>
                  <w:r>
                    <w:rPr>
                      <w:rFonts w:hint="eastAsia"/>
                    </w:rPr>
                    <w:t>喷水冷却容器，可能的话将容器从火场移至空旷处。灭火剂：泡沫、干粉、二氧化碳。用水灭火无效</w:t>
                  </w:r>
                </w:p>
              </w:tc>
            </w:tr>
          </w:tbl>
          <w:p>
            <w:pPr>
              <w:pStyle w:val="5"/>
            </w:pPr>
            <w:r>
              <w:rPr>
                <w:rFonts w:hint="eastAsia"/>
              </w:rPr>
              <w:t>2</w:t>
            </w:r>
            <w:r>
              <w:t>.</w:t>
            </w:r>
            <w:r>
              <w:rPr>
                <w:rFonts w:hint="eastAsia"/>
                <w:lang w:val="en-US" w:eastAsia="zh-CN"/>
              </w:rPr>
              <w:t>6</w:t>
            </w:r>
            <w:r>
              <w:rPr>
                <w:rFonts w:hint="eastAsia"/>
              </w:rPr>
              <w:t>劳动定员及工作制度</w:t>
            </w:r>
          </w:p>
          <w:bookmarkEnd w:id="6"/>
          <w:p>
            <w:pPr>
              <w:bidi w:val="0"/>
              <w:rPr>
                <w:highlight w:val="none"/>
              </w:rPr>
            </w:pPr>
            <w:r>
              <w:rPr>
                <w:highlight w:val="none"/>
              </w:rPr>
              <w:t>本</w:t>
            </w:r>
            <w:r>
              <w:rPr>
                <w:rFonts w:hint="eastAsia"/>
                <w:highlight w:val="none"/>
              </w:rPr>
              <w:t>项目</w:t>
            </w:r>
            <w:r>
              <w:rPr>
                <w:highlight w:val="none"/>
              </w:rPr>
              <w:t>劳动定员</w:t>
            </w:r>
            <w:r>
              <w:rPr>
                <w:rFonts w:hint="eastAsia"/>
                <w:highlight w:val="none"/>
              </w:rPr>
              <w:t>2人</w:t>
            </w:r>
            <w:r>
              <w:rPr>
                <w:rFonts w:hint="eastAsia"/>
                <w:highlight w:val="none"/>
                <w:lang w:eastAsia="zh-CN"/>
              </w:rPr>
              <w:t>，</w:t>
            </w:r>
            <w:r>
              <w:rPr>
                <w:rFonts w:hint="eastAsia"/>
                <w:highlight w:val="none"/>
                <w:lang w:val="en-US" w:eastAsia="zh-CN"/>
              </w:rPr>
              <w:t>均依托原有工作人员，不新增</w:t>
            </w:r>
            <w:r>
              <w:rPr>
                <w:highlight w:val="none"/>
              </w:rPr>
              <w:t>，</w:t>
            </w:r>
            <w:r>
              <w:rPr>
                <w:rFonts w:hint="eastAsia"/>
                <w:highlight w:val="none"/>
                <w:lang w:val="en-US" w:eastAsia="zh-CN"/>
              </w:rPr>
              <w:t>供暖锅炉</w:t>
            </w:r>
            <w:r>
              <w:rPr>
                <w:highlight w:val="none"/>
              </w:rPr>
              <w:t>年工作天数</w:t>
            </w:r>
            <w:r>
              <w:rPr>
                <w:rFonts w:hint="eastAsia"/>
                <w:highlight w:val="none"/>
                <w:lang w:val="en-US" w:eastAsia="zh-CN"/>
              </w:rPr>
              <w:t>约120</w:t>
            </w:r>
            <w:r>
              <w:rPr>
                <w:highlight w:val="none"/>
              </w:rPr>
              <w:t>天</w:t>
            </w:r>
            <w:r>
              <w:rPr>
                <w:rFonts w:hint="eastAsia"/>
                <w:highlight w:val="none"/>
                <w:lang w:eastAsia="zh-CN"/>
              </w:rPr>
              <w:t>（</w:t>
            </w:r>
            <w:r>
              <w:rPr>
                <w:rFonts w:hint="eastAsia"/>
                <w:highlight w:val="none"/>
                <w:lang w:val="en-US" w:eastAsia="zh-CN"/>
              </w:rPr>
              <w:t>11月中旬至三月中旬</w:t>
            </w:r>
            <w:r>
              <w:rPr>
                <w:rFonts w:hint="eastAsia"/>
                <w:highlight w:val="none"/>
                <w:lang w:eastAsia="zh-CN"/>
              </w:rPr>
              <w:t>）</w:t>
            </w:r>
            <w:r>
              <w:rPr>
                <w:rFonts w:hint="eastAsia"/>
                <w:highlight w:val="none"/>
              </w:rPr>
              <w:t>，</w:t>
            </w:r>
            <w:r>
              <w:rPr>
                <w:highlight w:val="none"/>
              </w:rPr>
              <w:t>每天</w:t>
            </w:r>
            <w:r>
              <w:rPr>
                <w:rFonts w:hint="eastAsia"/>
                <w:highlight w:val="none"/>
              </w:rPr>
              <w:t>工作</w:t>
            </w:r>
            <w:r>
              <w:rPr>
                <w:rFonts w:hint="eastAsia"/>
                <w:highlight w:val="none"/>
                <w:lang w:val="en-US" w:eastAsia="zh-CN"/>
              </w:rPr>
              <w:t>24</w:t>
            </w:r>
            <w:r>
              <w:rPr>
                <w:highlight w:val="none"/>
              </w:rPr>
              <w:t>h。</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选址及总平面布置</w:t>
            </w:r>
            <w:bookmarkEnd w:id="7"/>
          </w:p>
          <w:p>
            <w:pPr>
              <w:ind w:firstLine="480"/>
              <w:rPr>
                <w:rFonts w:cs="Times New Roman"/>
                <w:color w:val="000000" w:themeColor="text1"/>
                <w14:textFill>
                  <w14:solidFill>
                    <w14:schemeClr w14:val="tx1"/>
                  </w14:solidFill>
                </w14:textFill>
              </w:rPr>
            </w:pPr>
            <w:r>
              <w:rPr>
                <w:rFonts w:hint="eastAsia"/>
              </w:rPr>
              <w:t>本项目位于</w:t>
            </w:r>
            <w:r>
              <w:rPr>
                <w:rFonts w:hint="eastAsia"/>
                <w:color w:val="auto"/>
                <w:lang w:eastAsia="zh-CN"/>
              </w:rPr>
              <w:t>巴州鸿源石油装备器材有限公司</w:t>
            </w:r>
            <w:r>
              <w:rPr>
                <w:rFonts w:hint="eastAsia"/>
                <w:lang w:val="en-US" w:eastAsia="zh-CN"/>
              </w:rPr>
              <w:t>院内东北角原有锅炉房内，锅炉房占地面积约170m</w:t>
            </w:r>
            <w:r>
              <w:rPr>
                <w:rFonts w:hint="eastAsia"/>
                <w:vertAlign w:val="superscript"/>
                <w:lang w:val="en-US" w:eastAsia="zh-CN"/>
              </w:rPr>
              <w:t>2</w:t>
            </w:r>
            <w:r>
              <w:rPr>
                <w:rFonts w:hint="eastAsia"/>
                <w:lang w:val="en-US" w:eastAsia="zh-CN"/>
              </w:rPr>
              <w:t>，不新增占地</w:t>
            </w:r>
            <w:r>
              <w:rPr>
                <w:rFonts w:hint="eastAsia"/>
              </w:rPr>
              <w:t>，北侧</w:t>
            </w:r>
            <w:r>
              <w:rPr>
                <w:rFonts w:hint="eastAsia"/>
                <w:lang w:val="en-US" w:eastAsia="zh-CN"/>
              </w:rPr>
              <w:t>和东侧均</w:t>
            </w:r>
            <w:r>
              <w:rPr>
                <w:rFonts w:hint="eastAsia"/>
              </w:rPr>
              <w:t>为</w:t>
            </w:r>
            <w:r>
              <w:rPr>
                <w:rFonts w:hint="eastAsia"/>
                <w:lang w:val="en-US" w:eastAsia="zh-CN"/>
              </w:rPr>
              <w:t>空地</w:t>
            </w:r>
            <w:r>
              <w:rPr>
                <w:rFonts w:hint="eastAsia"/>
              </w:rPr>
              <w:t>，</w:t>
            </w:r>
            <w:r>
              <w:rPr>
                <w:rFonts w:hint="eastAsia"/>
                <w:lang w:val="en-US" w:eastAsia="zh-CN"/>
              </w:rPr>
              <w:t>西</w:t>
            </w:r>
            <w:r>
              <w:rPr>
                <w:rFonts w:hint="eastAsia"/>
              </w:rPr>
              <w:t>侧为</w:t>
            </w:r>
            <w:r>
              <w:rPr>
                <w:rFonts w:hint="eastAsia"/>
                <w:lang w:val="en-US" w:eastAsia="zh-CN"/>
              </w:rPr>
              <w:t>宿舍楼</w:t>
            </w:r>
            <w:r>
              <w:rPr>
                <w:rFonts w:hint="eastAsia"/>
              </w:rPr>
              <w:t>，</w:t>
            </w:r>
            <w:r>
              <w:rPr>
                <w:rFonts w:hint="eastAsia"/>
                <w:lang w:val="en-US" w:eastAsia="zh-CN"/>
              </w:rPr>
              <w:t>南</w:t>
            </w:r>
            <w:r>
              <w:rPr>
                <w:rFonts w:hint="eastAsia"/>
              </w:rPr>
              <w:t>侧为</w:t>
            </w:r>
            <w:r>
              <w:rPr>
                <w:rFonts w:hint="eastAsia"/>
                <w:lang w:val="en-US" w:eastAsia="zh-CN"/>
              </w:rPr>
              <w:t>食堂</w:t>
            </w:r>
            <w:r>
              <w:rPr>
                <w:rFonts w:hint="eastAsia"/>
                <w:lang w:eastAsia="zh-CN"/>
              </w:rPr>
              <w:t>。锅炉房设置1个出入口，满足《锅炉房设计标准》（GB50041-2020）中相关要求。项目所在位置水、电、气等基础设施条件较为完善。且</w:t>
            </w:r>
            <w:r>
              <w:rPr>
                <w:rFonts w:hint="eastAsia"/>
                <w:lang w:val="en-US" w:eastAsia="zh-CN"/>
              </w:rPr>
              <w:t>本</w:t>
            </w:r>
            <w:r>
              <w:rPr>
                <w:rFonts w:hint="eastAsia"/>
                <w:lang w:eastAsia="zh-CN"/>
              </w:rPr>
              <w:t>项目运营期产生的</w:t>
            </w:r>
            <w:r>
              <w:rPr>
                <w:rFonts w:hint="eastAsia"/>
                <w:lang w:val="en-US" w:eastAsia="zh-CN"/>
              </w:rPr>
              <w:t>固体废物、</w:t>
            </w:r>
            <w:r>
              <w:rPr>
                <w:rFonts w:hint="eastAsia"/>
                <w:lang w:eastAsia="zh-CN"/>
              </w:rPr>
              <w:t>废水、废气、噪声经相应环保措施处理后达标排放，对周边环境影响较小，从环保角度分析，项目平面布局是合理的。</w:t>
            </w:r>
            <w:r>
              <w:t>厂区平面布置符合安全防护、工业卫生，布局合理，充分考虑了在企业工作的员工的生产、生活的基本条件和要求</w:t>
            </w:r>
            <w:r>
              <w:rPr>
                <w:rFonts w:hint="eastAsia" w:cs="Times New Roman"/>
                <w:color w:val="000000" w:themeColor="text1"/>
                <w:lang w:eastAsia="zh-CN"/>
                <w14:textFill>
                  <w14:solidFill>
                    <w14:schemeClr w14:val="tx1"/>
                  </w14:solidFill>
                </w14:textFill>
              </w:rPr>
              <w:t>，</w:t>
            </w:r>
            <w:r>
              <w:t>详见《附图</w:t>
            </w:r>
            <w:r>
              <w:rPr>
                <w:rFonts w:hint="eastAsia"/>
                <w:lang w:val="en-US" w:eastAsia="zh-CN"/>
              </w:rPr>
              <w:t xml:space="preserve">5 </w:t>
            </w:r>
            <w:r>
              <w:t>项</w:t>
            </w:r>
            <w:r>
              <w:rPr>
                <w:rFonts w:hint="eastAsia"/>
              </w:rPr>
              <w:t>目</w:t>
            </w:r>
            <w:r>
              <w:rPr>
                <w:rFonts w:hint="eastAsia"/>
                <w:lang w:val="en-US" w:eastAsia="zh-CN"/>
              </w:rPr>
              <w:t>区</w:t>
            </w:r>
            <w:r>
              <w:t>平面布置图》</w:t>
            </w:r>
            <w:r>
              <w:rPr>
                <w:rFonts w:hint="eastAsia" w:cs="Times New Roman"/>
                <w:color w:val="000000" w:themeColor="text1"/>
                <w14:textFill>
                  <w14:solidFill>
                    <w14:schemeClr w14:val="tx1"/>
                  </w14:solidFill>
                </w14:textFill>
              </w:rPr>
              <w:t>。</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公用工程</w:t>
            </w:r>
          </w:p>
          <w:p>
            <w:pPr>
              <w:pStyle w:val="6"/>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水平衡分析</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本项目生产用水由园区给水管网接入，按需供给。</w:t>
            </w:r>
          </w:p>
          <w:p>
            <w:pPr>
              <w:ind w:firstLine="480"/>
              <w:rPr>
                <w:rFonts w:hint="default"/>
                <w:lang w:val="en-US"/>
              </w:rPr>
            </w:pPr>
            <w:r>
              <w:rPr>
                <w:rFonts w:hint="eastAsia"/>
              </w:rPr>
              <w:t>项目给排水平衡情况见表</w:t>
            </w:r>
            <w:r>
              <w:t>2-</w:t>
            </w:r>
            <w:r>
              <w:rPr>
                <w:rFonts w:hint="eastAsia"/>
                <w:lang w:val="en-US" w:eastAsia="zh-CN"/>
              </w:rPr>
              <w:t>5</w:t>
            </w:r>
            <w:r>
              <w:rPr>
                <w:rFonts w:hint="eastAsia"/>
              </w:rPr>
              <w:t>，水平衡图见图</w:t>
            </w:r>
            <w:r>
              <w:t>2-1</w:t>
            </w:r>
            <w:r>
              <w:rPr>
                <w:rFonts w:hint="eastAsia"/>
              </w:rPr>
              <w:t>。本项目</w:t>
            </w:r>
            <w:r>
              <w:rPr>
                <w:rFonts w:hint="eastAsia"/>
                <w:lang w:val="en-US" w:eastAsia="zh-CN"/>
              </w:rPr>
              <w:t>建设1</w:t>
            </w:r>
            <w:r>
              <w:rPr>
                <w:rFonts w:hint="eastAsia"/>
              </w:rPr>
              <w:t>台6</w:t>
            </w:r>
            <w:r>
              <w:rPr>
                <w:rFonts w:hint="eastAsia" w:ascii="Times New Roman" w:hAnsi="Times New Roman" w:eastAsia="宋体" w:cs="Times New Roman"/>
                <w:color w:val="000000"/>
                <w:kern w:val="0"/>
                <w:sz w:val="24"/>
                <w:szCs w:val="24"/>
                <w:lang w:val="en-US" w:eastAsia="zh-CN" w:bidi="ar"/>
              </w:rPr>
              <w:t>t/h</w:t>
            </w:r>
            <w:r>
              <w:rPr>
                <w:rFonts w:hint="eastAsia"/>
                <w:lang w:val="en-US" w:eastAsia="zh-CN"/>
              </w:rPr>
              <w:t>燃气常压热水</w:t>
            </w:r>
            <w:r>
              <w:rPr>
                <w:rFonts w:hint="eastAsia"/>
              </w:rPr>
              <w:t>锅炉</w:t>
            </w:r>
            <w:r>
              <w:rPr>
                <w:rFonts w:hint="eastAsia"/>
                <w:lang w:eastAsia="zh-CN"/>
              </w:rPr>
              <w:t>，</w:t>
            </w:r>
            <w:r>
              <w:rPr>
                <w:rFonts w:hint="eastAsia"/>
                <w:lang w:val="en-US" w:eastAsia="zh-CN"/>
              </w:rPr>
              <w:t>按照</w:t>
            </w:r>
            <w:r>
              <w:rPr>
                <w:rFonts w:hint="eastAsia"/>
              </w:rPr>
              <w:t>锅炉</w:t>
            </w:r>
            <w:r>
              <w:rPr>
                <w:rFonts w:hint="eastAsia"/>
                <w:lang w:eastAsia="zh-CN"/>
              </w:rPr>
              <w:t>满负荷运行</w:t>
            </w:r>
            <w:r>
              <w:rPr>
                <w:rFonts w:hint="eastAsia"/>
                <w:lang w:val="en-US" w:eastAsia="zh-CN"/>
              </w:rPr>
              <w:t>计算耗水量</w:t>
            </w:r>
            <w:r>
              <w:rPr>
                <w:rFonts w:hint="eastAsia"/>
              </w:rPr>
              <w:t>。</w:t>
            </w:r>
            <w:r>
              <w:rPr>
                <w:rFonts w:hint="eastAsia"/>
                <w:lang w:val="en-US" w:eastAsia="zh-CN"/>
              </w:rPr>
              <w:t>根据业主提供资料，锅炉循环水量约</w:t>
            </w:r>
            <w:r>
              <w:rPr>
                <w:rFonts w:hint="eastAsia"/>
                <w:highlight w:val="none"/>
                <w:lang w:val="en-US" w:eastAsia="zh-CN"/>
              </w:rPr>
              <w:t>为50m</w:t>
            </w:r>
            <w:r>
              <w:rPr>
                <w:rFonts w:hint="eastAsia"/>
                <w:highlight w:val="none"/>
                <w:vertAlign w:val="superscript"/>
                <w:lang w:val="en-US" w:eastAsia="zh-CN"/>
              </w:rPr>
              <w:t>3</w:t>
            </w:r>
            <w:r>
              <w:rPr>
                <w:rFonts w:hint="eastAsia"/>
                <w:highlight w:val="none"/>
                <w:vertAlign w:val="baseline"/>
                <w:lang w:val="en-US" w:eastAsia="zh-CN"/>
              </w:rPr>
              <w:t>，补充蒸发损耗水量约为20</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/d，2400</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/a；</w:t>
            </w:r>
            <w:r>
              <w:rPr>
                <w:rFonts w:hint="eastAsia" w:ascii="宋体" w:hAnsi="宋体" w:eastAsia="宋体" w:cs="宋体"/>
                <w:snapToGrid w:val="0"/>
                <w:color w:val="000000"/>
                <w:kern w:val="0"/>
                <w:sz w:val="24"/>
                <w:szCs w:val="24"/>
                <w:highlight w:val="none"/>
                <w:lang w:val="en-US" w:eastAsia="zh-CN" w:bidi="ar"/>
              </w:rPr>
              <w:t>纯水制备效率</w:t>
            </w:r>
            <w:r>
              <w:rPr>
                <w:rFonts w:hint="eastAsia" w:ascii="宋体" w:hAnsi="宋体" w:cs="宋体"/>
                <w:snapToGrid w:val="0"/>
                <w:color w:val="000000"/>
                <w:kern w:val="0"/>
                <w:sz w:val="24"/>
                <w:szCs w:val="24"/>
                <w:highlight w:val="none"/>
                <w:lang w:val="en-US" w:eastAsia="zh-CN" w:bidi="ar"/>
              </w:rPr>
              <w:t>约</w:t>
            </w:r>
            <w:r>
              <w:rPr>
                <w:rFonts w:hint="eastAsia" w:ascii="宋体" w:hAnsi="宋体" w:eastAsia="宋体" w:cs="宋体"/>
                <w:snapToGrid w:val="0"/>
                <w:color w:val="000000"/>
                <w:kern w:val="0"/>
                <w:sz w:val="24"/>
                <w:szCs w:val="24"/>
                <w:highlight w:val="none"/>
                <w:lang w:val="en-US" w:eastAsia="zh-CN" w:bidi="ar"/>
              </w:rPr>
              <w:t>为</w:t>
            </w:r>
            <w:r>
              <w:rPr>
                <w:rFonts w:hint="eastAsia" w:cs="Times New Roman"/>
                <w:snapToGrid w:val="0"/>
                <w:color w:val="000000"/>
                <w:kern w:val="0"/>
                <w:sz w:val="24"/>
                <w:szCs w:val="24"/>
                <w:highlight w:val="none"/>
                <w:lang w:val="en-US" w:eastAsia="zh-CN" w:bidi="ar"/>
              </w:rPr>
              <w:t>80</w:t>
            </w:r>
            <w:r>
              <w:rPr>
                <w:rFonts w:hint="default" w:ascii="Times New Roman" w:hAnsi="Times New Roman" w:eastAsia="宋体" w:cs="Times New Roman"/>
                <w:snapToGrid w:val="0"/>
                <w:color w:val="000000"/>
                <w:kern w:val="0"/>
                <w:sz w:val="24"/>
                <w:szCs w:val="24"/>
                <w:highlight w:val="none"/>
                <w:lang w:val="en-US" w:eastAsia="zh-CN" w:bidi="ar"/>
              </w:rPr>
              <w:t>%</w:t>
            </w:r>
            <w:r>
              <w:rPr>
                <w:rFonts w:hint="eastAsia" w:cs="Times New Roman"/>
                <w:snapToGrid w:val="0"/>
                <w:color w:val="000000"/>
                <w:kern w:val="0"/>
                <w:sz w:val="24"/>
                <w:szCs w:val="24"/>
                <w:highlight w:val="none"/>
                <w:lang w:val="en-US" w:eastAsia="zh-CN" w:bidi="ar"/>
              </w:rPr>
              <w:t>，则需要新鲜水约42</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w:t>
            </w:r>
            <w:r>
              <w:rPr>
                <w:rFonts w:hint="eastAsia" w:cs="Times New Roman"/>
                <w:snapToGrid w:val="0"/>
                <w:color w:val="000000"/>
                <w:kern w:val="0"/>
                <w:sz w:val="24"/>
                <w:szCs w:val="24"/>
                <w:highlight w:val="none"/>
                <w:lang w:val="en-US" w:eastAsia="zh-CN" w:bidi="ar"/>
              </w:rPr>
              <w:t>5042</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/a</w:t>
            </w:r>
            <w:r>
              <w:rPr>
                <w:rFonts w:hint="eastAsia" w:cs="Times New Roman"/>
                <w:snapToGrid w:val="0"/>
                <w:color w:val="000000"/>
                <w:kern w:val="0"/>
                <w:sz w:val="24"/>
                <w:szCs w:val="24"/>
                <w:highlight w:val="none"/>
                <w:lang w:val="en-US" w:eastAsia="zh-CN" w:bidi="ar"/>
              </w:rPr>
              <w:t>；产生浓水8.4</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/d，1008</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/a</w:t>
            </w:r>
            <w:r>
              <w:rPr>
                <w:rFonts w:hint="eastAsia" w:cs="Times New Roman"/>
                <w:snapToGrid w:val="0"/>
                <w:color w:val="000000"/>
                <w:kern w:val="0"/>
                <w:sz w:val="24"/>
                <w:szCs w:val="24"/>
                <w:highlight w:val="none"/>
                <w:lang w:val="en-US" w:eastAsia="zh-CN" w:bidi="ar"/>
              </w:rPr>
              <w:t>；</w:t>
            </w:r>
            <w:r>
              <w:rPr>
                <w:rFonts w:hint="eastAsia"/>
                <w:highlight w:val="none"/>
                <w:vertAlign w:val="baseline"/>
                <w:lang w:val="en-US" w:eastAsia="zh-CN"/>
              </w:rPr>
              <w:t>本项目采用软化水补水，</w:t>
            </w:r>
            <w:r>
              <w:rPr>
                <w:rFonts w:hint="eastAsia"/>
                <w:lang w:val="en-US" w:eastAsia="zh-CN"/>
              </w:rPr>
              <w:t>锅炉排污水量为0.55</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/h，则</w:t>
            </w:r>
            <w:r>
              <w:rPr>
                <w:rFonts w:hint="eastAsia"/>
                <w:lang w:val="en-US" w:eastAsia="zh-CN"/>
              </w:rPr>
              <w:t>锅炉排污水量为</w:t>
            </w:r>
            <w:r>
              <w:rPr>
                <w:rFonts w:hint="eastAsia" w:cs="Times New Roman"/>
                <w:snapToGrid w:val="0"/>
                <w:color w:val="000000"/>
                <w:kern w:val="0"/>
                <w:sz w:val="24"/>
                <w:szCs w:val="24"/>
                <w:highlight w:val="none"/>
                <w:lang w:val="en-US" w:eastAsia="zh-CN" w:bidi="ar"/>
              </w:rPr>
              <w:t>13.2</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w:t>
            </w:r>
            <w:r>
              <w:rPr>
                <w:rFonts w:hint="eastAsia"/>
                <w:lang w:val="en-US" w:eastAsia="zh-CN"/>
              </w:rPr>
              <w:t>1584</w:t>
            </w:r>
            <w:r>
              <w:rPr>
                <w:rFonts w:hint="eastAsia"/>
              </w:rPr>
              <w:t>m</w:t>
            </w:r>
            <w:r>
              <w:rPr>
                <w:rFonts w:hint="eastAsia"/>
                <w:vertAlign w:val="superscript"/>
              </w:rPr>
              <w:t>3</w:t>
            </w:r>
            <w:r>
              <w:rPr>
                <w:rFonts w:hint="eastAsia"/>
              </w:rPr>
              <w:t>/a</w:t>
            </w:r>
            <w:r>
              <w:rPr>
                <w:rFonts w:hint="eastAsia"/>
                <w:highlight w:val="none"/>
                <w:vertAlign w:val="baseline"/>
                <w:lang w:val="en-US" w:eastAsia="zh-CN"/>
              </w:rPr>
              <w:t>。</w:t>
            </w:r>
          </w:p>
          <w:p>
            <w:pPr>
              <w:pStyle w:val="34"/>
              <w:bidi w:val="0"/>
              <w:rPr>
                <w:rFonts w:hint="eastAsia" w:eastAsia="宋体"/>
                <w:lang w:val="en-US" w:eastAsia="zh-CN"/>
              </w:rPr>
            </w:pPr>
            <w:r>
              <w:rPr>
                <w:rFonts w:hint="eastAsia"/>
              </w:rPr>
              <w:t>表2</w:t>
            </w:r>
            <w:r>
              <w:t>-</w:t>
            </w:r>
            <w:r>
              <w:rPr>
                <w:rFonts w:hint="eastAsia"/>
                <w:lang w:val="en-US" w:eastAsia="zh-CN"/>
              </w:rPr>
              <w:t>5</w:t>
            </w:r>
            <w:r>
              <w:t xml:space="preserve">  </w:t>
            </w:r>
            <w:r>
              <w:rPr>
                <w:rFonts w:hint="eastAsia"/>
              </w:rPr>
              <w:t>项目水平衡一览表单位：m</w:t>
            </w:r>
            <w:r>
              <w:rPr>
                <w:rFonts w:hint="eastAsia"/>
                <w:vertAlign w:val="superscript"/>
              </w:rPr>
              <w:t>3</w:t>
            </w:r>
            <w:r>
              <w:rPr>
                <w:rFonts w:hint="eastAsia"/>
              </w:rPr>
              <w:t>/</w:t>
            </w:r>
            <w:r>
              <w:rPr>
                <w:rFonts w:hint="eastAsia"/>
                <w:lang w:val="en-US" w:eastAsia="zh-CN"/>
              </w:rPr>
              <w:t>a</w:t>
            </w:r>
          </w:p>
          <w:tbl>
            <w:tblPr>
              <w:tblStyle w:val="21"/>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300"/>
              <w:gridCol w:w="867"/>
              <w:gridCol w:w="1200"/>
              <w:gridCol w:w="1339"/>
              <w:gridCol w:w="2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6" w:type="pct"/>
                  <w:vAlign w:val="center"/>
                </w:tcPr>
                <w:p>
                  <w:pPr>
                    <w:spacing w:line="240" w:lineRule="auto"/>
                    <w:ind w:firstLine="0" w:firstLineChars="0"/>
                    <w:contextualSpacing/>
                    <w:jc w:val="center"/>
                    <w:rPr>
                      <w:rFonts w:hint="eastAsia" w:eastAsia="宋体"/>
                      <w:lang w:val="en-US" w:eastAsia="zh-CN"/>
                    </w:rPr>
                  </w:pPr>
                  <w:r>
                    <w:rPr>
                      <w:rFonts w:hint="eastAsia" w:cs="Times New Roman"/>
                      <w:sz w:val="21"/>
                      <w:szCs w:val="21"/>
                      <w:lang w:val="en-US" w:eastAsia="zh-CN"/>
                    </w:rPr>
                    <w:t>用水项目</w:t>
                  </w:r>
                </w:p>
              </w:tc>
              <w:tc>
                <w:tcPr>
                  <w:tcW w:w="783" w:type="pct"/>
                  <w:vAlign w:val="center"/>
                </w:tcPr>
                <w:p>
                  <w:pPr>
                    <w:spacing w:line="240" w:lineRule="auto"/>
                    <w:ind w:firstLine="0" w:firstLineChars="0"/>
                    <w:contextualSpacing/>
                    <w:jc w:val="center"/>
                    <w:rPr>
                      <w:rFonts w:cs="Times New Roman"/>
                      <w:sz w:val="21"/>
                      <w:szCs w:val="21"/>
                    </w:rPr>
                  </w:pPr>
                  <w:r>
                    <w:rPr>
                      <w:rFonts w:cs="Times New Roman"/>
                      <w:sz w:val="21"/>
                      <w:szCs w:val="21"/>
                    </w:rPr>
                    <w:t>新鲜用水量</w:t>
                  </w:r>
                </w:p>
              </w:tc>
              <w:tc>
                <w:tcPr>
                  <w:tcW w:w="522" w:type="pct"/>
                  <w:vAlign w:val="center"/>
                </w:tcPr>
                <w:p>
                  <w:pPr>
                    <w:spacing w:line="240" w:lineRule="auto"/>
                    <w:ind w:firstLine="0" w:firstLineChars="0"/>
                    <w:contextualSpacing/>
                    <w:jc w:val="center"/>
                    <w:rPr>
                      <w:rFonts w:cs="Times New Roman"/>
                      <w:sz w:val="21"/>
                      <w:szCs w:val="21"/>
                    </w:rPr>
                  </w:pPr>
                  <w:r>
                    <w:rPr>
                      <w:rFonts w:cs="Times New Roman"/>
                      <w:sz w:val="21"/>
                      <w:szCs w:val="21"/>
                    </w:rPr>
                    <w:t>循环</w:t>
                  </w:r>
                  <w:r>
                    <w:rPr>
                      <w:rFonts w:hint="eastAsia" w:cs="Times New Roman"/>
                      <w:sz w:val="21"/>
                      <w:szCs w:val="21"/>
                      <w:lang w:val="en-US" w:eastAsia="zh-CN"/>
                    </w:rPr>
                    <w:t>水</w:t>
                  </w:r>
                </w:p>
              </w:tc>
              <w:tc>
                <w:tcPr>
                  <w:tcW w:w="723" w:type="pct"/>
                  <w:vAlign w:val="center"/>
                </w:tcPr>
                <w:p>
                  <w:pPr>
                    <w:spacing w:line="240" w:lineRule="auto"/>
                    <w:ind w:firstLine="0" w:firstLineChars="0"/>
                    <w:contextualSpacing/>
                    <w:jc w:val="center"/>
                    <w:rPr>
                      <w:rFonts w:cs="Times New Roman"/>
                      <w:sz w:val="21"/>
                      <w:szCs w:val="21"/>
                    </w:rPr>
                  </w:pPr>
                  <w:r>
                    <w:rPr>
                      <w:rFonts w:cs="Times New Roman"/>
                      <w:sz w:val="21"/>
                      <w:szCs w:val="21"/>
                    </w:rPr>
                    <w:t>消耗量</w:t>
                  </w:r>
                </w:p>
              </w:tc>
              <w:tc>
                <w:tcPr>
                  <w:tcW w:w="807" w:type="pct"/>
                  <w:vAlign w:val="center"/>
                </w:tcPr>
                <w:p>
                  <w:pPr>
                    <w:spacing w:line="240" w:lineRule="auto"/>
                    <w:ind w:firstLine="0" w:firstLineChars="0"/>
                    <w:contextualSpacing/>
                    <w:jc w:val="center"/>
                    <w:rPr>
                      <w:rFonts w:cs="Times New Roman"/>
                      <w:sz w:val="21"/>
                      <w:szCs w:val="21"/>
                    </w:rPr>
                  </w:pPr>
                  <w:r>
                    <w:rPr>
                      <w:rFonts w:cs="Times New Roman"/>
                      <w:sz w:val="21"/>
                      <w:szCs w:val="21"/>
                    </w:rPr>
                    <w:t>排放量</w:t>
                  </w:r>
                </w:p>
              </w:tc>
              <w:tc>
                <w:tcPr>
                  <w:tcW w:w="1475" w:type="pct"/>
                  <w:vAlign w:val="center"/>
                </w:tcPr>
                <w:p>
                  <w:pPr>
                    <w:spacing w:line="240" w:lineRule="auto"/>
                    <w:ind w:firstLine="0" w:firstLineChars="0"/>
                    <w:contextualSpacing/>
                    <w:jc w:val="center"/>
                    <w:rPr>
                      <w:rFonts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6" w:type="pct"/>
                  <w:vAlign w:val="center"/>
                </w:tcPr>
                <w:p>
                  <w:pPr>
                    <w:spacing w:line="240" w:lineRule="auto"/>
                    <w:ind w:firstLine="0" w:firstLineChars="0"/>
                    <w:contextualSpacing/>
                    <w:jc w:val="center"/>
                    <w:rPr>
                      <w:rFonts w:hint="eastAsia" w:eastAsia="宋体" w:cs="Times New Roman"/>
                      <w:sz w:val="21"/>
                      <w:szCs w:val="21"/>
                      <w:lang w:eastAsia="zh-CN"/>
                    </w:rPr>
                  </w:pPr>
                  <w:r>
                    <w:rPr>
                      <w:rFonts w:hint="eastAsia" w:cs="Times New Roman"/>
                      <w:sz w:val="21"/>
                      <w:szCs w:val="21"/>
                      <w:lang w:val="en-US" w:eastAsia="zh-CN"/>
                    </w:rPr>
                    <w:t>锅炉用水</w:t>
                  </w:r>
                </w:p>
              </w:tc>
              <w:tc>
                <w:tcPr>
                  <w:tcW w:w="783" w:type="pct"/>
                  <w:vAlign w:val="center"/>
                </w:tcPr>
                <w:p>
                  <w:pPr>
                    <w:spacing w:line="240" w:lineRule="auto"/>
                    <w:ind w:firstLine="0" w:firstLineChars="0"/>
                    <w:contextualSpacing/>
                    <w:jc w:val="center"/>
                    <w:rPr>
                      <w:rFonts w:hint="default" w:eastAsia="宋体" w:cs="Times New Roman"/>
                      <w:sz w:val="21"/>
                      <w:szCs w:val="21"/>
                      <w:lang w:val="en-US" w:eastAsia="zh-CN"/>
                    </w:rPr>
                  </w:pPr>
                  <w:r>
                    <w:rPr>
                      <w:rFonts w:hint="eastAsia" w:cs="Times New Roman"/>
                      <w:sz w:val="21"/>
                      <w:szCs w:val="21"/>
                      <w:lang w:val="en-US" w:eastAsia="zh-CN"/>
                    </w:rPr>
                    <w:t>0</w:t>
                  </w:r>
                </w:p>
              </w:tc>
              <w:tc>
                <w:tcPr>
                  <w:tcW w:w="522" w:type="pct"/>
                  <w:vAlign w:val="center"/>
                </w:tcPr>
                <w:p>
                  <w:pPr>
                    <w:spacing w:line="240" w:lineRule="auto"/>
                    <w:ind w:firstLine="0" w:firstLineChars="0"/>
                    <w:contextualSpacing/>
                    <w:jc w:val="center"/>
                    <w:rPr>
                      <w:rFonts w:hint="default" w:eastAsia="宋体" w:cs="Times New Roman"/>
                      <w:sz w:val="21"/>
                      <w:szCs w:val="21"/>
                      <w:lang w:val="en-US" w:eastAsia="zh-CN"/>
                    </w:rPr>
                  </w:pPr>
                  <w:r>
                    <w:rPr>
                      <w:rFonts w:hint="eastAsia" w:cs="Times New Roman"/>
                      <w:sz w:val="21"/>
                      <w:szCs w:val="21"/>
                      <w:lang w:val="en-US" w:eastAsia="zh-CN"/>
                    </w:rPr>
                    <w:t>50</w:t>
                  </w:r>
                </w:p>
              </w:tc>
              <w:tc>
                <w:tcPr>
                  <w:tcW w:w="723" w:type="pct"/>
                  <w:vAlign w:val="center"/>
                </w:tcPr>
                <w:p>
                  <w:pPr>
                    <w:spacing w:line="240" w:lineRule="auto"/>
                    <w:ind w:firstLine="0" w:firstLineChars="0"/>
                    <w:contextualSpacing/>
                    <w:jc w:val="center"/>
                    <w:rPr>
                      <w:rFonts w:hint="default" w:cs="Times New Roman"/>
                      <w:sz w:val="21"/>
                      <w:szCs w:val="21"/>
                      <w:lang w:val="en-US" w:eastAsia="zh-CN"/>
                    </w:rPr>
                  </w:pPr>
                  <w:r>
                    <w:rPr>
                      <w:rFonts w:hint="eastAsia" w:cs="Times New Roman"/>
                      <w:sz w:val="21"/>
                      <w:szCs w:val="21"/>
                      <w:lang w:val="en-US" w:eastAsia="zh-CN"/>
                    </w:rPr>
                    <w:t>2400</w:t>
                  </w:r>
                </w:p>
              </w:tc>
              <w:tc>
                <w:tcPr>
                  <w:tcW w:w="807" w:type="pct"/>
                  <w:vAlign w:val="center"/>
                </w:tcPr>
                <w:p>
                  <w:pPr>
                    <w:spacing w:line="240" w:lineRule="auto"/>
                    <w:ind w:firstLine="0" w:firstLineChars="0"/>
                    <w:contextualSpacing/>
                    <w:jc w:val="center"/>
                    <w:rPr>
                      <w:rFonts w:hint="default" w:eastAsia="宋体" w:cs="Times New Roman"/>
                      <w:sz w:val="21"/>
                      <w:szCs w:val="21"/>
                      <w:lang w:val="en-US" w:eastAsia="zh-CN"/>
                    </w:rPr>
                  </w:pPr>
                  <w:r>
                    <w:rPr>
                      <w:rFonts w:hint="eastAsia" w:cs="Times New Roman"/>
                      <w:sz w:val="21"/>
                      <w:szCs w:val="21"/>
                      <w:lang w:val="en-US" w:eastAsia="zh-CN"/>
                    </w:rPr>
                    <w:t>1584</w:t>
                  </w:r>
                </w:p>
              </w:tc>
              <w:tc>
                <w:tcPr>
                  <w:tcW w:w="1475"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cs="Times New Roman"/>
                      <w:sz w:val="21"/>
                      <w:szCs w:val="21"/>
                    </w:rPr>
                  </w:pPr>
                  <w:r>
                    <w:rPr>
                      <w:rFonts w:hint="eastAsia" w:ascii="Times New Roman" w:hAnsi="Times New Roman" w:eastAsia="宋体" w:cs="Times New Roman"/>
                      <w:color w:val="000000"/>
                      <w:kern w:val="0"/>
                      <w:sz w:val="21"/>
                      <w:szCs w:val="21"/>
                      <w:lang w:val="en-US" w:eastAsia="zh-CN"/>
                    </w:rPr>
                    <w:t>软化水制备产生的浓水、锅炉废水排入园区污水管网，进入园区污水处理厂处置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6" w:type="pct"/>
                  <w:vAlign w:val="center"/>
                </w:tcPr>
                <w:p>
                  <w:pPr>
                    <w:spacing w:line="240" w:lineRule="auto"/>
                    <w:ind w:firstLine="0" w:firstLineChars="0"/>
                    <w:contextualSpacing/>
                    <w:jc w:val="center"/>
                    <w:rPr>
                      <w:rFonts w:hint="default"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软化水</w:t>
                  </w:r>
                  <w:r>
                    <w:rPr>
                      <w:rFonts w:hint="eastAsia" w:cs="Times New Roman"/>
                      <w:sz w:val="21"/>
                      <w:szCs w:val="21"/>
                      <w:lang w:val="en-US" w:eastAsia="zh-CN"/>
                    </w:rPr>
                    <w:t>制备用水</w:t>
                  </w:r>
                </w:p>
              </w:tc>
              <w:tc>
                <w:tcPr>
                  <w:tcW w:w="783" w:type="pct"/>
                  <w:vAlign w:val="center"/>
                </w:tcPr>
                <w:p>
                  <w:pPr>
                    <w:spacing w:line="240" w:lineRule="auto"/>
                    <w:ind w:firstLine="0" w:firstLineChars="0"/>
                    <w:contextualSpacing/>
                    <w:jc w:val="center"/>
                    <w:rPr>
                      <w:rFonts w:hint="default" w:eastAsia="宋体" w:cs="Times New Roman"/>
                      <w:sz w:val="21"/>
                      <w:szCs w:val="21"/>
                      <w:lang w:val="en-US" w:eastAsia="zh-CN"/>
                    </w:rPr>
                  </w:pPr>
                  <w:r>
                    <w:rPr>
                      <w:rFonts w:hint="eastAsia" w:cs="Times New Roman"/>
                      <w:sz w:val="21"/>
                      <w:szCs w:val="21"/>
                      <w:lang w:val="en-US" w:eastAsia="zh-CN"/>
                    </w:rPr>
                    <w:t>5042</w:t>
                  </w:r>
                </w:p>
              </w:tc>
              <w:tc>
                <w:tcPr>
                  <w:tcW w:w="522" w:type="pct"/>
                  <w:vAlign w:val="center"/>
                </w:tcPr>
                <w:p>
                  <w:pPr>
                    <w:spacing w:line="240" w:lineRule="auto"/>
                    <w:ind w:firstLine="0" w:firstLineChars="0"/>
                    <w:contextualSpacing/>
                    <w:jc w:val="center"/>
                    <w:rPr>
                      <w:rFonts w:hint="default" w:eastAsia="宋体" w:cs="Times New Roman"/>
                      <w:sz w:val="21"/>
                      <w:szCs w:val="21"/>
                      <w:lang w:val="en-US" w:eastAsia="zh-CN"/>
                    </w:rPr>
                  </w:pPr>
                  <w:r>
                    <w:rPr>
                      <w:rFonts w:hint="eastAsia" w:cs="Times New Roman"/>
                      <w:sz w:val="21"/>
                      <w:szCs w:val="21"/>
                      <w:lang w:val="en-US" w:eastAsia="zh-CN"/>
                    </w:rPr>
                    <w:t>0</w:t>
                  </w:r>
                </w:p>
              </w:tc>
              <w:tc>
                <w:tcPr>
                  <w:tcW w:w="723" w:type="pct"/>
                  <w:vAlign w:val="center"/>
                </w:tcPr>
                <w:p>
                  <w:pPr>
                    <w:spacing w:line="240" w:lineRule="auto"/>
                    <w:ind w:firstLine="0" w:firstLineChars="0"/>
                    <w:contextualSpacing/>
                    <w:jc w:val="center"/>
                    <w:rPr>
                      <w:rFonts w:hint="eastAsia" w:cs="Times New Roman"/>
                      <w:sz w:val="21"/>
                      <w:szCs w:val="21"/>
                      <w:lang w:val="en-US" w:eastAsia="zh-CN"/>
                    </w:rPr>
                  </w:pPr>
                  <w:r>
                    <w:rPr>
                      <w:rFonts w:hint="eastAsia" w:cs="Times New Roman"/>
                      <w:sz w:val="21"/>
                      <w:szCs w:val="21"/>
                      <w:lang w:val="en-US" w:eastAsia="zh-CN"/>
                    </w:rPr>
                    <w:t>0</w:t>
                  </w:r>
                </w:p>
              </w:tc>
              <w:tc>
                <w:tcPr>
                  <w:tcW w:w="807" w:type="pct"/>
                  <w:vAlign w:val="center"/>
                </w:tcPr>
                <w:p>
                  <w:pPr>
                    <w:spacing w:line="240" w:lineRule="auto"/>
                    <w:ind w:firstLine="0" w:firstLineChars="0"/>
                    <w:contextualSpacing/>
                    <w:jc w:val="center"/>
                    <w:rPr>
                      <w:rFonts w:hint="default" w:eastAsia="宋体" w:cs="Times New Roman"/>
                      <w:sz w:val="21"/>
                      <w:szCs w:val="21"/>
                      <w:lang w:val="en-US" w:eastAsia="zh-CN"/>
                    </w:rPr>
                  </w:pPr>
                  <w:r>
                    <w:rPr>
                      <w:rFonts w:hint="eastAsia" w:cs="Times New Roman"/>
                      <w:sz w:val="21"/>
                      <w:szCs w:val="21"/>
                      <w:lang w:val="en-US" w:eastAsia="zh-CN"/>
                    </w:rPr>
                    <w:t>1008</w:t>
                  </w:r>
                </w:p>
              </w:tc>
              <w:tc>
                <w:tcPr>
                  <w:tcW w:w="1475" w:type="pct"/>
                  <w:vMerge w:val="continue"/>
                  <w:vAlign w:val="center"/>
                </w:tcPr>
                <w:p>
                  <w:pPr>
                    <w:spacing w:line="240" w:lineRule="auto"/>
                    <w:ind w:firstLine="0" w:firstLineChars="0"/>
                    <w:contextualSpacing/>
                    <w:jc w:val="center"/>
                    <w:rPr>
                      <w:rFonts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6" w:type="pct"/>
                  <w:vAlign w:val="center"/>
                </w:tcPr>
                <w:p>
                  <w:pPr>
                    <w:spacing w:line="240" w:lineRule="auto"/>
                    <w:ind w:firstLine="0" w:firstLineChars="0"/>
                    <w:contextualSpacing/>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合计</w:t>
                  </w:r>
                </w:p>
              </w:tc>
              <w:tc>
                <w:tcPr>
                  <w:tcW w:w="783" w:type="pct"/>
                  <w:vAlign w:val="center"/>
                </w:tcPr>
                <w:p>
                  <w:pPr>
                    <w:spacing w:line="240" w:lineRule="auto"/>
                    <w:ind w:firstLine="0" w:firstLineChars="0"/>
                    <w:contextualSpacing/>
                    <w:jc w:val="center"/>
                    <w:rPr>
                      <w:rFonts w:hint="default" w:cs="Times New Roman"/>
                      <w:sz w:val="21"/>
                      <w:szCs w:val="21"/>
                      <w:lang w:val="en-US" w:eastAsia="zh-CN"/>
                    </w:rPr>
                  </w:pPr>
                  <w:r>
                    <w:rPr>
                      <w:rFonts w:hint="eastAsia" w:cs="Times New Roman"/>
                      <w:sz w:val="21"/>
                      <w:szCs w:val="21"/>
                      <w:lang w:val="en-US" w:eastAsia="zh-CN"/>
                    </w:rPr>
                    <w:t>5042</w:t>
                  </w:r>
                </w:p>
              </w:tc>
              <w:tc>
                <w:tcPr>
                  <w:tcW w:w="522" w:type="pct"/>
                  <w:vAlign w:val="center"/>
                </w:tcPr>
                <w:p>
                  <w:pPr>
                    <w:spacing w:line="240" w:lineRule="auto"/>
                    <w:ind w:firstLine="0" w:firstLineChars="0"/>
                    <w:contextualSpacing/>
                    <w:jc w:val="center"/>
                    <w:rPr>
                      <w:rFonts w:hint="default" w:cs="Times New Roman"/>
                      <w:sz w:val="21"/>
                      <w:szCs w:val="21"/>
                      <w:lang w:val="en-US" w:eastAsia="zh-CN"/>
                    </w:rPr>
                  </w:pPr>
                  <w:r>
                    <w:rPr>
                      <w:rFonts w:hint="eastAsia" w:cs="Times New Roman"/>
                      <w:sz w:val="21"/>
                      <w:szCs w:val="21"/>
                      <w:lang w:val="en-US" w:eastAsia="zh-CN"/>
                    </w:rPr>
                    <w:t>50</w:t>
                  </w:r>
                </w:p>
              </w:tc>
              <w:tc>
                <w:tcPr>
                  <w:tcW w:w="723" w:type="pct"/>
                  <w:vAlign w:val="center"/>
                </w:tcPr>
                <w:p>
                  <w:pPr>
                    <w:spacing w:line="240" w:lineRule="auto"/>
                    <w:ind w:firstLine="0" w:firstLineChars="0"/>
                    <w:contextualSpacing/>
                    <w:jc w:val="center"/>
                    <w:rPr>
                      <w:rFonts w:hint="default" w:cs="Times New Roman"/>
                      <w:sz w:val="21"/>
                      <w:szCs w:val="21"/>
                      <w:lang w:val="en-US" w:eastAsia="zh-CN"/>
                    </w:rPr>
                  </w:pPr>
                  <w:r>
                    <w:rPr>
                      <w:rFonts w:hint="eastAsia" w:cs="Times New Roman"/>
                      <w:sz w:val="21"/>
                      <w:szCs w:val="21"/>
                      <w:lang w:val="en-US" w:eastAsia="zh-CN"/>
                    </w:rPr>
                    <w:t>2400</w:t>
                  </w:r>
                </w:p>
              </w:tc>
              <w:tc>
                <w:tcPr>
                  <w:tcW w:w="807" w:type="pct"/>
                  <w:vAlign w:val="center"/>
                </w:tcPr>
                <w:p>
                  <w:pPr>
                    <w:spacing w:line="240" w:lineRule="auto"/>
                    <w:ind w:firstLine="0" w:firstLineChars="0"/>
                    <w:contextualSpacing/>
                    <w:jc w:val="center"/>
                    <w:rPr>
                      <w:rFonts w:hint="default" w:cs="Times New Roman"/>
                      <w:sz w:val="21"/>
                      <w:szCs w:val="21"/>
                      <w:lang w:val="en-US" w:eastAsia="zh-CN"/>
                    </w:rPr>
                  </w:pPr>
                  <w:r>
                    <w:rPr>
                      <w:rFonts w:hint="eastAsia" w:cs="Times New Roman"/>
                      <w:sz w:val="21"/>
                      <w:szCs w:val="21"/>
                      <w:lang w:val="en-US" w:eastAsia="zh-CN"/>
                    </w:rPr>
                    <w:t>2592</w:t>
                  </w:r>
                </w:p>
              </w:tc>
              <w:tc>
                <w:tcPr>
                  <w:tcW w:w="1475" w:type="pct"/>
                  <w:vMerge w:val="continue"/>
                  <w:vAlign w:val="center"/>
                </w:tcPr>
                <w:p>
                  <w:pPr>
                    <w:spacing w:line="240" w:lineRule="auto"/>
                    <w:ind w:firstLine="0" w:firstLineChars="0"/>
                    <w:contextualSpacing/>
                    <w:jc w:val="center"/>
                    <w:rPr>
                      <w:rFonts w:cs="Times New Roman"/>
                      <w:sz w:val="21"/>
                      <w:szCs w:val="21"/>
                    </w:rPr>
                  </w:pPr>
                </w:p>
              </w:tc>
            </w:tr>
          </w:tbl>
          <w:p>
            <w:pPr>
              <w:pStyle w:val="6"/>
              <w:rPr>
                <w:rFonts w:hint="default"/>
                <w:lang w:val="en-US"/>
              </w:rPr>
            </w:pPr>
            <w:r>
              <w:rPr>
                <w:sz w:val="24"/>
              </w:rPr>
              <mc:AlternateContent>
                <mc:Choice Requires="wpg">
                  <w:drawing>
                    <wp:anchor distT="0" distB="0" distL="114300" distR="114300" simplePos="0" relativeHeight="251661312" behindDoc="0" locked="0" layoutInCell="1" allowOverlap="1">
                      <wp:simplePos x="0" y="0"/>
                      <wp:positionH relativeFrom="column">
                        <wp:posOffset>217805</wp:posOffset>
                      </wp:positionH>
                      <wp:positionV relativeFrom="paragraph">
                        <wp:posOffset>7620</wp:posOffset>
                      </wp:positionV>
                      <wp:extent cx="4438650" cy="2336165"/>
                      <wp:effectExtent l="0" t="0" r="19050" b="5715"/>
                      <wp:wrapNone/>
                      <wp:docPr id="30" name="组合 30"/>
                      <wp:cNvGraphicFramePr/>
                      <a:graphic xmlns:a="http://schemas.openxmlformats.org/drawingml/2006/main">
                        <a:graphicData uri="http://schemas.microsoft.com/office/word/2010/wordprocessingGroup">
                          <wpg:wgp>
                            <wpg:cNvGrpSpPr/>
                            <wpg:grpSpPr>
                              <a:xfrm>
                                <a:off x="0" y="0"/>
                                <a:ext cx="4438650" cy="2336165"/>
                                <a:chOff x="2554" y="247843"/>
                                <a:chExt cx="6990" cy="3679"/>
                              </a:xfrm>
                            </wpg:grpSpPr>
                            <wpg:grpSp>
                              <wpg:cNvPr id="25" name="组合 25"/>
                              <wpg:cNvGrpSpPr/>
                              <wpg:grpSpPr>
                                <a:xfrm>
                                  <a:off x="2554" y="248314"/>
                                  <a:ext cx="6991" cy="3209"/>
                                  <a:chOff x="3518" y="247368"/>
                                  <a:chExt cx="6991" cy="3209"/>
                                </a:xfrm>
                              </wpg:grpSpPr>
                              <wpg:grpSp>
                                <wpg:cNvPr id="107" name="组合 107"/>
                                <wpg:cNvGrpSpPr/>
                                <wpg:grpSpPr>
                                  <a:xfrm>
                                    <a:off x="3518" y="247984"/>
                                    <a:ext cx="6991" cy="2593"/>
                                    <a:chOff x="4333" y="328344"/>
                                    <a:chExt cx="6678" cy="1991"/>
                                  </a:xfrm>
                                </wpg:grpSpPr>
                                <wpg:grpSp>
                                  <wpg:cNvPr id="208" name="组合 208"/>
                                  <wpg:cNvGrpSpPr/>
                                  <wpg:grpSpPr>
                                    <a:xfrm rot="0">
                                      <a:off x="4333" y="328344"/>
                                      <a:ext cx="6457" cy="1991"/>
                                      <a:chOff x="5124" y="356298"/>
                                      <a:chExt cx="6457" cy="1991"/>
                                    </a:xfrm>
                                  </wpg:grpSpPr>
                                  <wps:wsp>
                                    <wps:cNvPr id="139" name="文本框 53"/>
                                    <wps:cNvSpPr txBox="1"/>
                                    <wps:spPr>
                                      <a:xfrm>
                                        <a:off x="5492" y="356849"/>
                                        <a:ext cx="1048"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直接箭头连接符 70"/>
                                    <wps:cNvCnPr/>
                                    <wps:spPr>
                                      <a:xfrm flipV="1">
                                        <a:off x="5124" y="356818"/>
                                        <a:ext cx="1499" cy="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1" name="文本框 89"/>
                                    <wps:cNvSpPr txBox="1"/>
                                    <wps:spPr>
                                      <a:xfrm>
                                        <a:off x="6620" y="356608"/>
                                        <a:ext cx="1766" cy="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软化水制备装置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91"/>
                                    <wps:cNvSpPr txBox="1"/>
                                    <wps:spPr>
                                      <a:xfrm>
                                        <a:off x="5282" y="356348"/>
                                        <a:ext cx="1352" cy="4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5042m</w:t>
                                          </w:r>
                                          <w:r>
                                            <w:rPr>
                                              <w:rFonts w:hint="eastAsia"/>
                                              <w:sz w:val="21"/>
                                              <w:szCs w:val="21"/>
                                              <w:vertAlign w:val="superscript"/>
                                              <w:lang w:val="en-US" w:eastAsia="zh-CN"/>
                                            </w:rPr>
                                            <w:t>3</w:t>
                                          </w:r>
                                          <w:r>
                                            <w:rPr>
                                              <w:rFonts w:hint="eastAsia"/>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190"/>
                                    <wps:cNvCnPr/>
                                    <wps:spPr>
                                      <a:xfrm flipH="1">
                                        <a:off x="8000" y="357020"/>
                                        <a:ext cx="3" cy="67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1" name="文本框 191"/>
                                    <wps:cNvSpPr txBox="1"/>
                                    <wps:spPr>
                                      <a:xfrm>
                                        <a:off x="6340" y="357151"/>
                                        <a:ext cx="1640" cy="4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浓水1008m</w:t>
                                          </w:r>
                                          <w:r>
                                            <w:rPr>
                                              <w:rFonts w:hint="eastAsia"/>
                                              <w:sz w:val="21"/>
                                              <w:szCs w:val="21"/>
                                              <w:vertAlign w:val="superscript"/>
                                              <w:lang w:val="en-US" w:eastAsia="zh-CN"/>
                                            </w:rPr>
                                            <w:t>3</w:t>
                                          </w:r>
                                          <w:r>
                                            <w:rPr>
                                              <w:rFonts w:hint="eastAsia"/>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文本框 203"/>
                                    <wps:cNvSpPr txBox="1"/>
                                    <wps:spPr>
                                      <a:xfrm>
                                        <a:off x="6943" y="357667"/>
                                        <a:ext cx="4187" cy="62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center"/>
                                            <w:rPr>
                                              <w:rFonts w:hint="default"/>
                                              <w:lang w:val="en-US" w:eastAsia="zh-CN"/>
                                            </w:rPr>
                                          </w:pPr>
                                          <w:r>
                                            <w:rPr>
                                              <w:rFonts w:hint="eastAsia" w:ascii="Times New Roman" w:hAnsi="Times New Roman" w:eastAsia="宋体" w:cs="Times New Roman"/>
                                              <w:color w:val="000000"/>
                                              <w:kern w:val="0"/>
                                              <w:sz w:val="21"/>
                                              <w:szCs w:val="21"/>
                                              <w:lang w:val="en-US" w:eastAsia="zh-CN"/>
                                            </w:rPr>
                                            <w:t>软化水</w:t>
                                          </w:r>
                                          <w:r>
                                            <w:rPr>
                                              <w:rFonts w:hint="eastAsia" w:cs="Times New Roman"/>
                                              <w:sz w:val="21"/>
                                              <w:szCs w:val="21"/>
                                              <w:lang w:val="en-US" w:eastAsia="zh-CN"/>
                                            </w:rPr>
                                            <w:t>制备产生的</w:t>
                                          </w:r>
                                          <w:r>
                                            <w:rPr>
                                              <w:rFonts w:hint="eastAsia" w:ascii="Times New Roman" w:hAnsi="Times New Roman" w:eastAsia="宋体" w:cs="Times New Roman"/>
                                              <w:sz w:val="21"/>
                                              <w:szCs w:val="21"/>
                                              <w:lang w:val="en-US" w:eastAsia="zh-CN"/>
                                            </w:rPr>
                                            <w:t>浓水、锅炉废水排入园区污水管网，进入园区污水处理厂进一步处置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直接箭头连接符 204"/>
                                    <wps:cNvCnPr>
                                      <a:stCxn id="141" idx="3"/>
                                    </wps:cNvCnPr>
                                    <wps:spPr>
                                      <a:xfrm>
                                        <a:off x="8386" y="356820"/>
                                        <a:ext cx="812"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 name="文本框 205"/>
                                    <wps:cNvSpPr txBox="1"/>
                                    <wps:spPr>
                                      <a:xfrm>
                                        <a:off x="8224" y="356298"/>
                                        <a:ext cx="1097" cy="4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4034m</w:t>
                                          </w:r>
                                          <w:r>
                                            <w:rPr>
                                              <w:rFonts w:hint="eastAsia"/>
                                              <w:sz w:val="21"/>
                                              <w:szCs w:val="21"/>
                                              <w:vertAlign w:val="superscript"/>
                                              <w:lang w:val="en-US" w:eastAsia="zh-CN"/>
                                            </w:rPr>
                                            <w:t>3</w:t>
                                          </w:r>
                                          <w:r>
                                            <w:rPr>
                                              <w:rFonts w:hint="eastAsia"/>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文本框 206"/>
                                    <wps:cNvSpPr txBox="1"/>
                                    <wps:spPr>
                                      <a:xfrm>
                                        <a:off x="9178" y="356605"/>
                                        <a:ext cx="831" cy="45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锅炉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直接箭头连接符 211"/>
                                    <wps:cNvCnPr/>
                                    <wps:spPr>
                                      <a:xfrm>
                                        <a:off x="9560" y="357057"/>
                                        <a:ext cx="0" cy="6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2" name="文本框 212"/>
                                    <wps:cNvSpPr txBox="1"/>
                                    <wps:spPr>
                                      <a:xfrm>
                                        <a:off x="9536" y="357201"/>
                                        <a:ext cx="2045"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锅炉废水1584m</w:t>
                                          </w:r>
                                          <w:r>
                                            <w:rPr>
                                              <w:rFonts w:hint="eastAsia"/>
                                              <w:sz w:val="21"/>
                                              <w:szCs w:val="21"/>
                                              <w:vertAlign w:val="superscript"/>
                                              <w:lang w:val="en-US" w:eastAsia="zh-CN"/>
                                            </w:rPr>
                                            <w:t>3</w:t>
                                          </w:r>
                                          <w:r>
                                            <w:rPr>
                                              <w:rFonts w:hint="eastAsia"/>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44" name="文本框 48"/>
                                  <wps:cNvSpPr txBox="1"/>
                                  <wps:spPr>
                                    <a:xfrm>
                                      <a:off x="9828" y="328603"/>
                                      <a:ext cx="1183" cy="57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管道内循环供热</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 name="肘形连接符 1"/>
                                <wps:cNvCnPr>
                                  <a:stCxn id="144" idx="0"/>
                                </wps:cNvCnPr>
                                <wps:spPr>
                                  <a:xfrm rot="16200000" flipH="1" flipV="1">
                                    <a:off x="9127" y="247831"/>
                                    <a:ext cx="272" cy="1253"/>
                                  </a:xfrm>
                                  <a:prstGeom prst="bentConnector4">
                                    <a:avLst>
                                      <a:gd name="adj1" fmla="val -138051"/>
                                      <a:gd name="adj2" fmla="val 7466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 name="文本框 2"/>
                                <wps:cNvSpPr txBox="1"/>
                                <wps:spPr>
                                  <a:xfrm>
                                    <a:off x="8975" y="247368"/>
                                    <a:ext cx="950" cy="5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50m</w:t>
                                      </w:r>
                                      <w:r>
                                        <w:rPr>
                                          <w:rFonts w:hint="eastAsia"/>
                                          <w:sz w:val="21"/>
                                          <w:szCs w:val="21"/>
                                          <w:vertAlign w:val="superscript"/>
                                          <w:lang w:val="en-US" w:eastAsia="zh-CN"/>
                                        </w:rPr>
                                        <w:t>3</w:t>
                                      </w:r>
                                      <w:r>
                                        <w:rPr>
                                          <w:rFonts w:hint="eastAsia"/>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箭头连接符 17"/>
                                <wps:cNvCnPr>
                                  <a:stCxn id="206" idx="3"/>
                                </wps:cNvCnPr>
                                <wps:spPr>
                                  <a:xfrm>
                                    <a:off x="8632" y="248683"/>
                                    <a:ext cx="618" cy="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8" name="直接箭头连接符 28"/>
                              <wps:cNvCnPr/>
                              <wps:spPr>
                                <a:xfrm flipV="1">
                                  <a:off x="7104" y="248414"/>
                                  <a:ext cx="250" cy="933"/>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29" name="文本框 29"/>
                              <wps:cNvSpPr txBox="1"/>
                              <wps:spPr>
                                <a:xfrm>
                                  <a:off x="6370" y="247843"/>
                                  <a:ext cx="1817" cy="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both"/>
                                      <w:rPr>
                                        <w:rFonts w:hint="default" w:eastAsia="宋体"/>
                                        <w:sz w:val="21"/>
                                        <w:szCs w:val="21"/>
                                        <w:lang w:val="en-US" w:eastAsia="zh-CN"/>
                                      </w:rPr>
                                    </w:pPr>
                                    <w:r>
                                      <w:rPr>
                                        <w:rFonts w:hint="eastAsia"/>
                                        <w:sz w:val="21"/>
                                        <w:szCs w:val="21"/>
                                        <w:lang w:val="en-US" w:eastAsia="zh-CN"/>
                                      </w:rPr>
                                      <w:t>损耗量2400m</w:t>
                                    </w:r>
                                    <w:r>
                                      <w:rPr>
                                        <w:rFonts w:hint="eastAsia"/>
                                        <w:sz w:val="21"/>
                                        <w:szCs w:val="21"/>
                                        <w:vertAlign w:val="superscript"/>
                                        <w:lang w:val="en-US" w:eastAsia="zh-CN"/>
                                      </w:rPr>
                                      <w:t>3</w:t>
                                    </w:r>
                                    <w:r>
                                      <w:rPr>
                                        <w:rFonts w:hint="eastAsia"/>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15pt;margin-top:0.6pt;height:183.95pt;width:349.5pt;z-index:251661312;mso-width-relative:page;mso-height-relative:page;" coordorigin="2554,247843" coordsize="6990,3679" o:gfxdata="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Jo1XsbXAAAACAEAAA8AAAAAAAAAAQAgAAAA&#10;IgAAAGRycy9kb3ducmV2LnhtbFBLAQIUABQAAAAIAIdO4kB6+82gnQcAADgzAAAOAAAAAAAAAAEA&#10;IAAAACYBAABkcnMvZTJvRG9jLnhtbFBLBQYAAAAABgAGAFkBAAA1CwAAAAA=&#10;">
                      <o:lock v:ext="edit" aspectratio="f"/>
                      <v:group id="_x0000_s1026" o:spid="_x0000_s1026" o:spt="203" style="position:absolute;left:2554;top:248314;height:3209;width:6991;" coordorigin="3518,247368" coordsize="6991,3209"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518;top:247984;height:2593;width:6991;" coordorigin="4333,328344" coordsize="6678,1991"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4333;top:328344;height:1991;width:6457;" coordorigin="5124,356298" coordsize="6457,1991"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文本框 53" o:spid="_x0000_s1026" o:spt="202" type="#_x0000_t202" style="position:absolute;left:5492;top:356849;height:441;width:1048;" filled="f" stroked="f" coordsize="21600,21600" o:gfxdata="UEsDBAoAAAAAAIdO4kAAAAAAAAAAAAAAAAAEAAAAZHJzL1BLAwQUAAAACACHTuJA8Jxurr4AAADc&#10;AAAADwAAAGRycy9kb3ducmV2LnhtbEVPTWvCQBC9C/0PyxS8mY0W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xur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新鲜水</w:t>
                                    </w:r>
                                  </w:p>
                                </w:txbxContent>
                              </v:textbox>
                            </v:shape>
                            <v:shape id="直接箭头连接符 70" o:spid="_x0000_s1026" o:spt="32" type="#_x0000_t32" style="position:absolute;left:5124;top:356818;flip:y;height:3;width:1499;" filled="f" stroked="t" coordsize="21600,21600" o:gfxdata="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3lDC&#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文本框 89" o:spid="_x0000_s1026" o:spt="202" type="#_x0000_t202" style="position:absolute;left:6620;top:356608;height:425;width:1766;" fillcolor="#FFFFFF [3201]" filled="t" stroked="t" coordsize="21600,21600" o:gfxdata="UEsDBAoAAAAAAIdO4kAAAAAAAAAAAAAAAAAEAAAAZHJzL1BLAwQUAAAACACHTuJAiYIKbbUAAADc&#10;AAAADwAAAGRycy9kb3ducmV2LnhtbEVPvQrCMBDeBd8hnOCmaVVE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YIKb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软化水制备装置</w:t>
                                    </w:r>
                                  </w:p>
                                </w:txbxContent>
                              </v:textbox>
                            </v:shape>
                            <v:shape id="文本框 91" o:spid="_x0000_s1026" o:spt="202" type="#_x0000_t202" style="position:absolute;left:5282;top:356348;height:417;width:1352;" filled="f" stroked="f" coordsize="21600,21600" o:gfxdata="UEsDBAoAAAAAAIdO4kAAAAAAAAAAAAAAAAAEAAAAZHJzL1BLAwQUAAAACACHTuJApj6PorwAAADc&#10;AAAADwAAAGRycy9kb3ducmV2LnhtbEVPS4vCMBC+C/6HMII3TS3u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j6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5042m</w:t>
                                    </w:r>
                                    <w:r>
                                      <w:rPr>
                                        <w:rFonts w:hint="eastAsia"/>
                                        <w:sz w:val="21"/>
                                        <w:szCs w:val="21"/>
                                        <w:vertAlign w:val="superscript"/>
                                        <w:lang w:val="en-US" w:eastAsia="zh-CN"/>
                                      </w:rPr>
                                      <w:t>3</w:t>
                                    </w:r>
                                    <w:r>
                                      <w:rPr>
                                        <w:rFonts w:hint="eastAsia"/>
                                        <w:sz w:val="21"/>
                                        <w:szCs w:val="21"/>
                                        <w:lang w:val="en-US" w:eastAsia="zh-CN"/>
                                      </w:rPr>
                                      <w:t>/a</w:t>
                                    </w:r>
                                  </w:p>
                                </w:txbxContent>
                              </v:textbox>
                            </v:shape>
                            <v:shape id="_x0000_s1026" o:spid="_x0000_s1026" o:spt="32" type="#_x0000_t32" style="position:absolute;left:8000;top:357020;flip:x;height:671;width:3;" filled="f" stroked="t" coordsize="21600,21600" o:gfxdata="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vnyF&#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_x0000_s1026" o:spid="_x0000_s1026" o:spt="202" type="#_x0000_t202" style="position:absolute;left:6340;top:357151;height:422;width:1640;" filled="f" stroked="f" coordsize="21600,21600" o:gfxdata="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w9k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浓水1008m</w:t>
                                    </w:r>
                                    <w:r>
                                      <w:rPr>
                                        <w:rFonts w:hint="eastAsia"/>
                                        <w:sz w:val="21"/>
                                        <w:szCs w:val="21"/>
                                        <w:vertAlign w:val="superscript"/>
                                        <w:lang w:val="en-US" w:eastAsia="zh-CN"/>
                                      </w:rPr>
                                      <w:t>3</w:t>
                                    </w:r>
                                    <w:r>
                                      <w:rPr>
                                        <w:rFonts w:hint="eastAsia"/>
                                        <w:sz w:val="21"/>
                                        <w:szCs w:val="21"/>
                                        <w:lang w:val="en-US" w:eastAsia="zh-CN"/>
                                      </w:rPr>
                                      <w:t>/a</w:t>
                                    </w:r>
                                  </w:p>
                                </w:txbxContent>
                              </v:textbox>
                            </v:shape>
                            <v:shape id="_x0000_s1026" o:spid="_x0000_s1026" o:spt="202" type="#_x0000_t202" style="position:absolute;left:6943;top:357667;height:622;width:4187;" fillcolor="#FFFFFF [3201]" filled="t" stroked="f" coordsize="21600,21600" o:gfxdata="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tpU6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center"/>
                                      <w:rPr>
                                        <w:rFonts w:hint="default"/>
                                        <w:lang w:val="en-US" w:eastAsia="zh-CN"/>
                                      </w:rPr>
                                    </w:pPr>
                                    <w:r>
                                      <w:rPr>
                                        <w:rFonts w:hint="eastAsia" w:ascii="Times New Roman" w:hAnsi="Times New Roman" w:eastAsia="宋体" w:cs="Times New Roman"/>
                                        <w:color w:val="000000"/>
                                        <w:kern w:val="0"/>
                                        <w:sz w:val="21"/>
                                        <w:szCs w:val="21"/>
                                        <w:lang w:val="en-US" w:eastAsia="zh-CN"/>
                                      </w:rPr>
                                      <w:t>软化水</w:t>
                                    </w:r>
                                    <w:r>
                                      <w:rPr>
                                        <w:rFonts w:hint="eastAsia" w:cs="Times New Roman"/>
                                        <w:sz w:val="21"/>
                                        <w:szCs w:val="21"/>
                                        <w:lang w:val="en-US" w:eastAsia="zh-CN"/>
                                      </w:rPr>
                                      <w:t>制备产生的</w:t>
                                    </w:r>
                                    <w:r>
                                      <w:rPr>
                                        <w:rFonts w:hint="eastAsia" w:ascii="Times New Roman" w:hAnsi="Times New Roman" w:eastAsia="宋体" w:cs="Times New Roman"/>
                                        <w:sz w:val="21"/>
                                        <w:szCs w:val="21"/>
                                        <w:lang w:val="en-US" w:eastAsia="zh-CN"/>
                                      </w:rPr>
                                      <w:t>浓水、锅炉废水排入园区污水管网，进入园区污水处理厂进一步处置</w:t>
                                    </w:r>
                                  </w:p>
                                </w:txbxContent>
                              </v:textbox>
                            </v:shape>
                            <v:shape id="_x0000_s1026" o:spid="_x0000_s1026" o:spt="32" type="#_x0000_t32" style="position:absolute;left:8386;top:356820;height:1;width:812;" filled="f" stroked="t" coordsize="21600,21600" o:gfxdata="UEsDBAoAAAAAAIdO4kAAAAAAAAAAAAAAAAAEAAAAZHJzL1BLAwQUAAAACACHTuJApY1mCrsAAADc&#10;AAAADwAAAGRycy9kb3ducmV2LnhtbEWPT2sCMRTE7wW/Q3hCbzVRSi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1mC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202" type="#_x0000_t202" style="position:absolute;left:8224;top:356298;height:434;width:1097;" filled="f" stroked="f" coordsize="21600,21600" o:gfxdata="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z2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4034m</w:t>
                                    </w:r>
                                    <w:r>
                                      <w:rPr>
                                        <w:rFonts w:hint="eastAsia"/>
                                        <w:sz w:val="21"/>
                                        <w:szCs w:val="21"/>
                                        <w:vertAlign w:val="superscript"/>
                                        <w:lang w:val="en-US" w:eastAsia="zh-CN"/>
                                      </w:rPr>
                                      <w:t>3</w:t>
                                    </w:r>
                                    <w:r>
                                      <w:rPr>
                                        <w:rFonts w:hint="eastAsia"/>
                                        <w:sz w:val="21"/>
                                        <w:szCs w:val="21"/>
                                        <w:lang w:val="en-US" w:eastAsia="zh-CN"/>
                                      </w:rPr>
                                      <w:t>/a</w:t>
                                    </w:r>
                                  </w:p>
                                </w:txbxContent>
                              </v:textbox>
                            </v:shape>
                            <v:shape id="_x0000_s1026" o:spid="_x0000_s1026" o:spt="202" type="#_x0000_t202" style="position:absolute;left:9178;top:356605;height:459;width:831;" fillcolor="#FFFFFF [3201]" filled="t" stroked="t" coordsize="21600,21600" o:gfxdata="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SqW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锅炉</w:t>
                                    </w:r>
                                  </w:p>
                                </w:txbxContent>
                              </v:textbox>
                            </v:shape>
                            <v:shape id="_x0000_s1026" o:spid="_x0000_s1026" o:spt="32" type="#_x0000_t32" style="position:absolute;left:9560;top:357057;height:633;width:0;" filled="f" stroked="t" coordsize="21600,21600" o:gfxdata="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NTT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202" type="#_x0000_t202" style="position:absolute;left:9536;top:357201;height:435;width:2045;" filled="f" stroked="f" coordsize="21600,21600" o:gfxdata="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owc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锅炉废水1584m</w:t>
                                    </w:r>
                                    <w:r>
                                      <w:rPr>
                                        <w:rFonts w:hint="eastAsia"/>
                                        <w:sz w:val="21"/>
                                        <w:szCs w:val="21"/>
                                        <w:vertAlign w:val="superscript"/>
                                        <w:lang w:val="en-US" w:eastAsia="zh-CN"/>
                                      </w:rPr>
                                      <w:t>3</w:t>
                                    </w:r>
                                    <w:r>
                                      <w:rPr>
                                        <w:rFonts w:hint="eastAsia"/>
                                        <w:sz w:val="21"/>
                                        <w:szCs w:val="21"/>
                                        <w:lang w:val="en-US" w:eastAsia="zh-CN"/>
                                      </w:rPr>
                                      <w:t>/a</w:t>
                                    </w:r>
                                  </w:p>
                                </w:txbxContent>
                              </v:textbox>
                            </v:shape>
                          </v:group>
                          <v:shape id="文本框 48" o:spid="_x0000_s1026" o:spt="202" type="#_x0000_t202" style="position:absolute;left:9828;top:328603;height:570;width:1183;" fillcolor="#FFFFFF [3201]" filled="t" stroked="t" coordsize="21600,21600" o:gfxdata="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1qfW2AAAA3A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管道内循环供热</w:t>
                                  </w:r>
                                </w:p>
                              </w:txbxContent>
                            </v:textbox>
                          </v:shape>
                        </v:group>
                        <v:shape id="_x0000_s1026" o:spid="_x0000_s1026" o:spt="35" type="#_x0000_t35" style="position:absolute;left:9127;top:247831;flip:x y;height:1253;width:272;rotation:-5898240f;" filled="f" stroked="t" coordsize="21600,21600" o:gfxdata="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wd7dugAAANoA&#10;AAAPAAAAAAAAAAEAIAAAACIAAABkcnMvZG93bnJldi54bWxQSwECFAAUAAAACACHTuJAMy8FnjsA&#10;AAA5AAAAEAAAAAAAAAABACAAAAAJAQAAZHJzL3NoYXBleG1sLnhtbFBLBQYAAAAABgAGAFsBAACz&#10;AwAAAAA=&#10;" adj="-29819,16127">
                          <v:fill on="f" focussize="0,0"/>
                          <v:stroke weight="1pt" color="#000000 [3213]" miterlimit="8" joinstyle="miter" endarrow="open"/>
                          <v:imagedata o:title=""/>
                          <o:lock v:ext="edit" aspectratio="f"/>
                        </v:shape>
                        <v:shape id="_x0000_s1026" o:spid="_x0000_s1026" o:spt="202" type="#_x0000_t202" style="position:absolute;left:8975;top:247368;height:579;width:950;"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firstLine="0" w:firstLineChars="0"/>
                                  <w:jc w:val="center"/>
                                  <w:rPr>
                                    <w:rFonts w:hint="default" w:eastAsia="宋体"/>
                                    <w:sz w:val="21"/>
                                    <w:szCs w:val="21"/>
                                    <w:lang w:val="en-US" w:eastAsia="zh-CN"/>
                                  </w:rPr>
                                </w:pPr>
                                <w:r>
                                  <w:rPr>
                                    <w:rFonts w:hint="eastAsia"/>
                                    <w:sz w:val="21"/>
                                    <w:szCs w:val="21"/>
                                    <w:lang w:val="en-US" w:eastAsia="zh-CN"/>
                                  </w:rPr>
                                  <w:t>50m</w:t>
                                </w:r>
                                <w:r>
                                  <w:rPr>
                                    <w:rFonts w:hint="eastAsia"/>
                                    <w:sz w:val="21"/>
                                    <w:szCs w:val="21"/>
                                    <w:vertAlign w:val="superscript"/>
                                    <w:lang w:val="en-US" w:eastAsia="zh-CN"/>
                                  </w:rPr>
                                  <w:t>3</w:t>
                                </w:r>
                                <w:r>
                                  <w:rPr>
                                    <w:rFonts w:hint="eastAsia"/>
                                    <w:sz w:val="21"/>
                                    <w:szCs w:val="21"/>
                                    <w:lang w:val="en-US" w:eastAsia="zh-CN"/>
                                  </w:rPr>
                                  <w:t>/a</w:t>
                                </w:r>
                              </w:p>
                            </w:txbxContent>
                          </v:textbox>
                        </v:shape>
                        <v:shape id="_x0000_s1026" o:spid="_x0000_s1026" o:spt="32" type="#_x0000_t32" style="position:absolute;left:8632;top:248683;height:9;width:618;" filled="f" stroked="t" coordsize="21600,21600" o:gfxdata="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bELL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group>
                      <v:shape id="_x0000_s1026" o:spid="_x0000_s1026" o:spt="32" type="#_x0000_t32" style="position:absolute;left:7104;top:248414;flip:y;height:933;width:250;" filled="f" stroked="t" coordsize="21600,21600" o:gfxdata="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jWZ2ugAAANsA&#10;AAAPAAAAAAAAAAEAIAAAACIAAABkcnMvZG93bnJldi54bWxQSwECFAAUAAAACACHTuJAMy8FnjsA&#10;AAA5AAAAEAAAAAAAAAABACAAAAAJAQAAZHJzL3NoYXBleG1sLnhtbFBLBQYAAAAABgAGAFsBAACz&#10;AwAAAAA=&#10;">
                        <v:fill on="f" focussize="0,0"/>
                        <v:stroke weight="1pt" color="#000000 [3213]" miterlimit="8" joinstyle="miter" dashstyle="dash" endarrow="open"/>
                        <v:imagedata o:title=""/>
                        <o:lock v:ext="edit" aspectratio="f"/>
                      </v:shape>
                      <v:shape id="_x0000_s1026" o:spid="_x0000_s1026" o:spt="202" type="#_x0000_t202" style="position:absolute;left:6370;top:247843;height:580;width:1817;"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firstLine="0" w:firstLineChars="0"/>
                                <w:jc w:val="both"/>
                                <w:rPr>
                                  <w:rFonts w:hint="default" w:eastAsia="宋体"/>
                                  <w:sz w:val="21"/>
                                  <w:szCs w:val="21"/>
                                  <w:lang w:val="en-US" w:eastAsia="zh-CN"/>
                                </w:rPr>
                              </w:pPr>
                              <w:r>
                                <w:rPr>
                                  <w:rFonts w:hint="eastAsia"/>
                                  <w:sz w:val="21"/>
                                  <w:szCs w:val="21"/>
                                  <w:lang w:val="en-US" w:eastAsia="zh-CN"/>
                                </w:rPr>
                                <w:t>损耗量2400m</w:t>
                              </w:r>
                              <w:r>
                                <w:rPr>
                                  <w:rFonts w:hint="eastAsia"/>
                                  <w:sz w:val="21"/>
                                  <w:szCs w:val="21"/>
                                  <w:vertAlign w:val="superscript"/>
                                  <w:lang w:val="en-US" w:eastAsia="zh-CN"/>
                                </w:rPr>
                                <w:t>3</w:t>
                              </w:r>
                              <w:r>
                                <w:rPr>
                                  <w:rFonts w:hint="eastAsia"/>
                                  <w:sz w:val="21"/>
                                  <w:szCs w:val="21"/>
                                  <w:lang w:val="en-US" w:eastAsia="zh-CN"/>
                                </w:rPr>
                                <w:t>/a</w:t>
                              </w:r>
                            </w:p>
                          </w:txbxContent>
                        </v:textbox>
                      </v:shape>
                    </v:group>
                  </w:pict>
                </mc:Fallback>
              </mc:AlternateContent>
            </w:r>
          </w:p>
          <w:p>
            <w:pPr>
              <w:pStyle w:val="6"/>
              <w:rPr>
                <w:color w:val="000000" w:themeColor="text1"/>
                <w14:textFill>
                  <w14:solidFill>
                    <w14:schemeClr w14:val="tx1"/>
                  </w14:solidFill>
                </w14:textFill>
              </w:rPr>
            </w:pPr>
          </w:p>
          <w:p>
            <w:pPr>
              <w:pStyle w:val="6"/>
              <w:rPr>
                <w:color w:val="000000" w:themeColor="text1"/>
                <w14:textFill>
                  <w14:solidFill>
                    <w14:schemeClr w14:val="tx1"/>
                  </w14:solidFill>
                </w14:textFill>
              </w:rPr>
            </w:pPr>
          </w:p>
          <w:p>
            <w:pPr>
              <w:pStyle w:val="6"/>
              <w:rPr>
                <w:color w:val="000000" w:themeColor="text1"/>
                <w14:textFill>
                  <w14:solidFill>
                    <w14:schemeClr w14:val="tx1"/>
                  </w14:solidFill>
                </w14:textFill>
              </w:rPr>
            </w:pPr>
          </w:p>
          <w:p>
            <w:pPr>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pStyle w:val="34"/>
              <w:bidi w:val="0"/>
            </w:pPr>
            <w:r>
              <w:rPr>
                <w:rFonts w:hint="eastAsia"/>
              </w:rPr>
              <w:t>图2-1 项目水平衡图</w:t>
            </w:r>
          </w:p>
          <w:p>
            <w:pPr>
              <w:pStyle w:val="6"/>
              <w:jc w:val="center"/>
              <w:rPr>
                <w:rFonts w:hint="eastAsia" w:ascii="Times New Roman" w:hAnsi="Times New Roman" w:eastAsia="宋体" w:cstheme="minorBidi"/>
                <w:b/>
                <w:bCs/>
                <w:kern w:val="28"/>
                <w:sz w:val="24"/>
                <w:szCs w:val="32"/>
                <w:lang w:val="en-US" w:eastAsia="zh-CN" w:bidi="ar-SA"/>
              </w:rPr>
            </w:pPr>
            <w:r>
              <w:rPr>
                <w:rFonts w:hint="eastAsia" w:ascii="Times New Roman" w:hAnsi="Times New Roman" w:eastAsia="宋体" w:cstheme="minorBidi"/>
                <w:b/>
                <w:bCs/>
                <w:kern w:val="28"/>
                <w:sz w:val="24"/>
                <w:szCs w:val="32"/>
                <w:lang w:val="en-US" w:eastAsia="zh-CN" w:bidi="ar-SA"/>
              </w:rPr>
              <w:t>图2-1  项目水平衡图</w:t>
            </w:r>
          </w:p>
          <w:p>
            <w:pPr>
              <w:pStyle w:val="6"/>
              <w:rPr>
                <w:rFonts w:hint="eastAsia" w:ascii="Times New Roman" w:hAnsi="Times New Roman" w:eastAsia="宋体" w:cstheme="minorBidi"/>
                <w:b/>
                <w:bCs/>
                <w:kern w:val="28"/>
                <w:sz w:val="24"/>
                <w:szCs w:val="32"/>
                <w:lang w:val="en-US" w:eastAsia="zh-CN" w:bidi="ar-SA"/>
              </w:rPr>
            </w:pPr>
            <w:r>
              <w:rPr>
                <w:rFonts w:hint="eastAsia" w:ascii="Times New Roman" w:hAnsi="Times New Roman" w:eastAsia="宋体" w:cstheme="minorBidi"/>
                <w:b/>
                <w:bCs/>
                <w:kern w:val="28"/>
                <w:sz w:val="24"/>
                <w:szCs w:val="32"/>
                <w:lang w:val="en-US" w:eastAsia="zh-CN" w:bidi="ar-SA"/>
              </w:rPr>
              <w:t>2.</w:t>
            </w:r>
            <w:r>
              <w:rPr>
                <w:rFonts w:hint="eastAsia" w:cstheme="minorBidi"/>
                <w:b/>
                <w:bCs/>
                <w:kern w:val="28"/>
                <w:sz w:val="24"/>
                <w:szCs w:val="32"/>
                <w:lang w:val="en-US" w:eastAsia="zh-CN" w:bidi="ar-SA"/>
              </w:rPr>
              <w:t>8.</w:t>
            </w:r>
            <w:r>
              <w:rPr>
                <w:rFonts w:hint="eastAsia" w:ascii="Times New Roman" w:hAnsi="Times New Roman" w:eastAsia="宋体" w:cstheme="minorBidi"/>
                <w:b/>
                <w:bCs/>
                <w:kern w:val="28"/>
                <w:sz w:val="24"/>
                <w:szCs w:val="32"/>
                <w:lang w:val="en-US" w:eastAsia="zh-CN" w:bidi="ar-SA"/>
              </w:rPr>
              <w:t>2供暖</w:t>
            </w:r>
          </w:p>
          <w:p>
            <w:pPr>
              <w:ind w:firstLine="480"/>
              <w:rPr>
                <w:color w:val="000000" w:themeColor="text1"/>
                <w14:textFill>
                  <w14:solidFill>
                    <w14:schemeClr w14:val="tx1"/>
                  </w14:solidFill>
                </w14:textFill>
              </w:rPr>
            </w:pPr>
            <w:r>
              <w:t>本项目</w:t>
            </w:r>
            <w:r>
              <w:rPr>
                <w:rFonts w:hint="eastAsia"/>
                <w:lang w:val="en-US" w:eastAsia="zh-CN"/>
              </w:rPr>
              <w:t>建设内容为1台</w:t>
            </w:r>
            <w:r>
              <w:rPr>
                <w:rFonts w:hint="eastAsia"/>
                <w:highlight w:val="none"/>
                <w:lang w:val="en-US" w:eastAsia="zh-CN"/>
              </w:rPr>
              <w:t>4.2MW燃气常压热水锅炉，用于办公生活区冬季供暖</w:t>
            </w:r>
            <w:r>
              <w:rPr>
                <w:rFonts w:hint="eastAsia"/>
                <w:color w:val="000000" w:themeColor="text1"/>
                <w14:textFill>
                  <w14:solidFill>
                    <w14:schemeClr w14:val="tx1"/>
                  </w14:solidFill>
                </w14:textFill>
              </w:rPr>
              <w:t>。</w:t>
            </w:r>
          </w:p>
          <w:p>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供电</w:t>
            </w:r>
          </w:p>
          <w:p>
            <w:pPr>
              <w:ind w:firstLine="480"/>
              <w:rPr>
                <w:rFonts w:hint="eastAsia"/>
                <w:color w:val="000000" w:themeColor="text1"/>
                <w:kern w:val="0"/>
                <w:lang w:val="en-US" w:eastAsia="zh-CN"/>
                <w14:textFill>
                  <w14:solidFill>
                    <w14:schemeClr w14:val="tx1"/>
                  </w14:solidFill>
                </w14:textFill>
              </w:rPr>
            </w:pPr>
            <w:r>
              <w:rPr>
                <w:rFonts w:hint="eastAsia"/>
              </w:rPr>
              <w:t>本项目用电量约为2</w:t>
            </w:r>
            <w:r>
              <w:rPr>
                <w:rFonts w:hint="eastAsia"/>
                <w:lang w:val="en-US" w:eastAsia="zh-CN"/>
              </w:rPr>
              <w:t>0000</w:t>
            </w:r>
            <w:r>
              <w:rPr>
                <w:rFonts w:hint="eastAsia"/>
              </w:rPr>
              <w:t>kW</w:t>
            </w:r>
            <w:r>
              <w:rPr>
                <w:rFonts w:hint="eastAsia"/>
                <w:lang w:val="en-US" w:eastAsia="zh-CN"/>
              </w:rPr>
              <w:t>·</w:t>
            </w:r>
            <w:r>
              <w:rPr>
                <w:rFonts w:hint="eastAsia"/>
              </w:rPr>
              <w:t>h/a，</w:t>
            </w:r>
            <w:r>
              <w:rPr>
                <w:rFonts w:hint="eastAsia"/>
                <w:lang w:eastAsia="zh-CN"/>
              </w:rPr>
              <w:t>轮台县红桥石油服务区</w:t>
            </w:r>
            <w:r>
              <w:rPr>
                <w:rFonts w:hint="eastAsia" w:cs="Times New Roman"/>
                <w:szCs w:val="21"/>
              </w:rPr>
              <w:t>电网</w:t>
            </w:r>
            <w:r>
              <w:rPr>
                <w:rFonts w:hint="eastAsia" w:cs="Times New Roman"/>
                <w:szCs w:val="21"/>
                <w:lang w:val="en-US" w:eastAsia="zh-CN"/>
              </w:rPr>
              <w:t>供给</w:t>
            </w:r>
            <w:r>
              <w:rPr>
                <w:rFonts w:hint="eastAsia"/>
              </w:rPr>
              <w:t>，可满足本项目需求。</w:t>
            </w:r>
          </w:p>
          <w:p>
            <w:pPr>
              <w:ind w:left="0" w:leftChars="0" w:firstLine="0" w:firstLineChars="0"/>
              <w:rPr>
                <w:rFonts w:hint="eastAsia"/>
                <w:b/>
                <w:bCs/>
                <w:color w:val="000000" w:themeColor="text1"/>
                <w:kern w:val="0"/>
                <w:lang w:val="en-US" w:eastAsia="zh-CN"/>
                <w14:textFill>
                  <w14:solidFill>
                    <w14:schemeClr w14:val="tx1"/>
                  </w14:solidFill>
                </w14:textFill>
              </w:rPr>
            </w:pPr>
            <w:r>
              <w:rPr>
                <w:rFonts w:hint="eastAsia"/>
                <w:b/>
                <w:bCs/>
                <w:color w:val="000000" w:themeColor="text1"/>
                <w:kern w:val="0"/>
                <w:lang w:val="en-US" w:eastAsia="zh-CN"/>
                <w14:textFill>
                  <w14:solidFill>
                    <w14:schemeClr w14:val="tx1"/>
                  </w14:solidFill>
                </w14:textFill>
              </w:rPr>
              <w:t>2.8.4供气</w:t>
            </w:r>
          </w:p>
          <w:p>
            <w:pPr>
              <w:rPr>
                <w:rFonts w:hint="default"/>
                <w:lang w:val="en-US" w:eastAsia="zh-CN"/>
              </w:rPr>
            </w:pPr>
            <w:r>
              <w:rPr>
                <w:rFonts w:hint="eastAsia"/>
                <w:lang w:val="en-US" w:eastAsia="zh-CN"/>
              </w:rPr>
              <w:t>根据建设单位提供资料</w:t>
            </w:r>
            <w:r>
              <w:rPr>
                <w:rFonts w:hint="eastAsia"/>
                <w:highlight w:val="none"/>
                <w:lang w:val="en-US" w:eastAsia="zh-CN"/>
              </w:rPr>
              <w:t>，</w:t>
            </w:r>
            <w:r>
              <w:rPr>
                <w:rFonts w:hint="eastAsia"/>
                <w:highlight w:val="none"/>
              </w:rPr>
              <w:t>本项目用气量约为</w:t>
            </w:r>
            <w:r>
              <w:rPr>
                <w:rFonts w:hint="eastAsia"/>
                <w:highlight w:val="none"/>
                <w:lang w:val="en-US" w:eastAsia="zh-CN"/>
              </w:rPr>
              <w:t>136.3</w:t>
            </w:r>
            <w:r>
              <w:rPr>
                <w:rFonts w:hint="eastAsia"/>
                <w:highlight w:val="none"/>
              </w:rPr>
              <w:t>万m</w:t>
            </w:r>
            <w:r>
              <w:rPr>
                <w:rFonts w:hint="eastAsia"/>
                <w:highlight w:val="none"/>
                <w:vertAlign w:val="superscript"/>
              </w:rPr>
              <w:t>3</w:t>
            </w:r>
            <w:r>
              <w:rPr>
                <w:rFonts w:hint="eastAsia"/>
                <w:highlight w:val="none"/>
              </w:rPr>
              <w:t>/a，由</w:t>
            </w:r>
            <w:r>
              <w:rPr>
                <w:rFonts w:hint="eastAsia"/>
                <w:highlight w:val="none"/>
                <w:lang w:val="en-US" w:eastAsia="zh-CN"/>
              </w:rPr>
              <w:t>园</w:t>
            </w:r>
            <w:r>
              <w:rPr>
                <w:rFonts w:hint="eastAsia"/>
                <w:highlight w:val="none"/>
                <w:lang w:eastAsia="zh-CN"/>
              </w:rPr>
              <w:t>区</w:t>
            </w:r>
            <w:r>
              <w:rPr>
                <w:rFonts w:hint="eastAsia"/>
                <w:highlight w:val="none"/>
                <w:lang w:val="en-US" w:eastAsia="zh-CN"/>
              </w:rPr>
              <w:t>燃</w:t>
            </w:r>
            <w:r>
              <w:rPr>
                <w:rFonts w:hint="eastAsia"/>
                <w:highlight w:val="none"/>
              </w:rPr>
              <w:t>气管网供给，可满足本项目需求。</w:t>
            </w:r>
          </w:p>
        </w:tc>
        <w:tc>
          <w:tcPr>
            <w:tcW w:w="8547" w:type="dxa"/>
          </w:tcPr>
          <w:p>
            <w:pPr>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10" w:type="dxa"/>
            <w:vAlign w:val="center"/>
          </w:tcPr>
          <w:p>
            <w:pPr>
              <w:widowControl/>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工艺流程和产排污环节</w:t>
            </w:r>
          </w:p>
        </w:tc>
        <w:tc>
          <w:tcPr>
            <w:tcW w:w="8547" w:type="dxa"/>
          </w:tcPr>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工艺流程与产污环节分析</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.1施工期工艺流程和产排污环节</w:t>
            </w:r>
          </w:p>
          <w:p>
            <w:pPr>
              <w:bidi w:val="0"/>
            </w:pPr>
            <w:r>
              <w:rPr>
                <w:rFonts w:hint="eastAsia"/>
                <w:lang w:val="en-US" w:eastAsia="zh-CN"/>
              </w:rPr>
              <w:t>本项目依托原有锅炉房拆除原有锅炉，安装1台</w:t>
            </w:r>
            <w:r>
              <w:rPr>
                <w:rFonts w:hint="eastAsia"/>
                <w:highlight w:val="none"/>
                <w:lang w:val="en-US" w:eastAsia="zh-CN"/>
              </w:rPr>
              <w:t>4.2MW燃气常压热水锅炉及其附属设施</w:t>
            </w:r>
            <w:r>
              <w:rPr>
                <w:rFonts w:hint="eastAsia"/>
                <w:lang w:val="en-US" w:eastAsia="zh-CN"/>
              </w:rPr>
              <w:t>，施工内容简单，施工期污染物主要为设备安装及调试过程产生的噪声、废水和固体废物。</w:t>
            </w:r>
          </w:p>
          <w:p>
            <w:pPr>
              <w:pStyle w:val="6"/>
              <w:rPr>
                <w:rFonts w:cs="Times New Roman"/>
              </w:rPr>
            </w:pPr>
            <w:bookmarkStart w:id="8" w:name="OLE_LINK21"/>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运营期工艺流程与产污环节分析</w:t>
            </w:r>
            <w:bookmarkEnd w:id="8"/>
          </w:p>
          <w:p>
            <w:r>
              <w:rPr>
                <w:sz w:val="24"/>
              </w:rPr>
              <mc:AlternateContent>
                <mc:Choice Requires="wpg">
                  <w:drawing>
                    <wp:anchor distT="0" distB="0" distL="114300" distR="114300" simplePos="0" relativeHeight="251660288" behindDoc="0" locked="0" layoutInCell="1" allowOverlap="1">
                      <wp:simplePos x="0" y="0"/>
                      <wp:positionH relativeFrom="column">
                        <wp:posOffset>-16510</wp:posOffset>
                      </wp:positionH>
                      <wp:positionV relativeFrom="paragraph">
                        <wp:posOffset>91440</wp:posOffset>
                      </wp:positionV>
                      <wp:extent cx="5347335" cy="2682875"/>
                      <wp:effectExtent l="0" t="0" r="0" b="0"/>
                      <wp:wrapNone/>
                      <wp:docPr id="153" name="组合 153"/>
                      <wp:cNvGraphicFramePr/>
                      <a:graphic xmlns:a="http://schemas.openxmlformats.org/drawingml/2006/main">
                        <a:graphicData uri="http://schemas.microsoft.com/office/word/2010/wordprocessingGroup">
                          <wpg:wgp>
                            <wpg:cNvGrpSpPr/>
                            <wpg:grpSpPr>
                              <a:xfrm>
                                <a:off x="0" y="0"/>
                                <a:ext cx="5347335" cy="2682876"/>
                                <a:chOff x="2585" y="278640"/>
                                <a:chExt cx="8421" cy="4225"/>
                              </a:xfrm>
                            </wpg:grpSpPr>
                            <wpg:grpSp>
                              <wpg:cNvPr id="14" name="组合 14"/>
                              <wpg:cNvGrpSpPr/>
                              <wpg:grpSpPr>
                                <a:xfrm>
                                  <a:off x="2585" y="278640"/>
                                  <a:ext cx="7562" cy="4225"/>
                                  <a:chOff x="3190" y="276708"/>
                                  <a:chExt cx="7159" cy="3697"/>
                                </a:xfrm>
                              </wpg:grpSpPr>
                              <wps:wsp>
                                <wps:cNvPr id="13" name="直接箭头连接符 13"/>
                                <wps:cNvCnPr/>
                                <wps:spPr>
                                  <a:xfrm>
                                    <a:off x="5899" y="279223"/>
                                    <a:ext cx="0" cy="64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grpSp>
                                <wpg:cNvPr id="145" name="组合 33"/>
                                <wpg:cNvGrpSpPr/>
                                <wpg:grpSpPr>
                                  <a:xfrm>
                                    <a:off x="3190" y="276708"/>
                                    <a:ext cx="7159" cy="3697"/>
                                    <a:chOff x="2952" y="286202"/>
                                    <a:chExt cx="7159" cy="3697"/>
                                  </a:xfrm>
                                </wpg:grpSpPr>
                                <wps:wsp>
                                  <wps:cNvPr id="146" name="文本框 17"/>
                                  <wps:cNvSpPr txBox="1"/>
                                  <wps:spPr>
                                    <a:xfrm>
                                      <a:off x="5335" y="289370"/>
                                      <a:ext cx="739" cy="5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0"/>
                                            <w:szCs w:val="20"/>
                                          </w:rPr>
                                        </w:pPr>
                                        <w:r>
                                          <w:rPr>
                                            <w:rFonts w:hint="eastAsia"/>
                                            <w:sz w:val="20"/>
                                            <w:szCs w:val="20"/>
                                            <w:lang w:val="en-US" w:eastAsia="zh-CN"/>
                                          </w:rPr>
                                          <w:t>浓</w:t>
                                        </w:r>
                                        <w:r>
                                          <w:rPr>
                                            <w:rFonts w:hint="eastAsia"/>
                                            <w:sz w:val="20"/>
                                            <w:szCs w:val="20"/>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3" name="组合 23"/>
                                  <wpg:cNvGrpSpPr/>
                                  <wpg:grpSpPr>
                                    <a:xfrm rot="0">
                                      <a:off x="2952" y="286202"/>
                                      <a:ext cx="7159" cy="3697"/>
                                      <a:chOff x="5988" y="174117"/>
                                      <a:chExt cx="7159" cy="3697"/>
                                    </a:xfrm>
                                  </wpg:grpSpPr>
                                  <wps:wsp>
                                    <wps:cNvPr id="3" name="文本框 3"/>
                                    <wps:cNvSpPr txBox="1"/>
                                    <wps:spPr>
                                      <a:xfrm>
                                        <a:off x="8152" y="175274"/>
                                        <a:ext cx="1584" cy="47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pPr>
                                          <w:r>
                                            <w:rPr>
                                              <w:rFonts w:hint="eastAsia"/>
                                            </w:rPr>
                                            <w:t>调压计量器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7677" y="176156"/>
                                        <a:ext cx="2048" cy="47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pPr>
                                          <w:r>
                                            <w:rPr>
                                              <w:rFonts w:hint="eastAsia"/>
                                            </w:rPr>
                                            <w:t>软化水装置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10445" y="175251"/>
                                        <a:ext cx="596" cy="143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pPr>
                                          <w:r>
                                            <w:rPr>
                                              <w:rFonts w:hint="eastAsia"/>
                                            </w:rPr>
                                            <w:t>燃</w:t>
                                          </w:r>
                                        </w:p>
                                        <w:p>
                                          <w:pPr>
                                            <w:spacing w:line="240" w:lineRule="auto"/>
                                            <w:ind w:firstLine="0" w:firstLineChars="0"/>
                                            <w:jc w:val="center"/>
                                          </w:pPr>
                                          <w:r>
                                            <w:rPr>
                                              <w:rFonts w:hint="eastAsia"/>
                                            </w:rPr>
                                            <w:t>气</w:t>
                                          </w:r>
                                        </w:p>
                                        <w:p>
                                          <w:pPr>
                                            <w:spacing w:line="240" w:lineRule="auto"/>
                                            <w:ind w:firstLine="0" w:firstLineChars="0"/>
                                            <w:jc w:val="center"/>
                                          </w:pPr>
                                          <w:r>
                                            <w:rPr>
                                              <w:rFonts w:hint="eastAsia"/>
                                            </w:rPr>
                                            <w:t>锅</w:t>
                                          </w:r>
                                        </w:p>
                                        <w:p>
                                          <w:pPr>
                                            <w:spacing w:line="240" w:lineRule="auto"/>
                                            <w:ind w:firstLine="0" w:firstLineChars="0"/>
                                            <w:jc w:val="center"/>
                                          </w:pPr>
                                          <w:r>
                                            <w:rPr>
                                              <w:rFonts w:hint="eastAsia"/>
                                            </w:rPr>
                                            <w:t>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直接箭头连接符 6"/>
                                    <wps:cNvCnPr/>
                                    <wps:spPr>
                                      <a:xfrm>
                                        <a:off x="7432" y="175517"/>
                                        <a:ext cx="70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文本框 7"/>
                                    <wps:cNvSpPr txBox="1"/>
                                    <wps:spPr>
                                      <a:xfrm>
                                        <a:off x="11938" y="175191"/>
                                        <a:ext cx="647" cy="1147"/>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hint="default" w:eastAsia="宋体"/>
                                              <w:lang w:val="en-US" w:eastAsia="zh-CN"/>
                                            </w:rPr>
                                          </w:pPr>
                                          <w:r>
                                            <w:rPr>
                                              <w:rFonts w:hint="eastAsia"/>
                                              <w:lang w:val="en-US" w:eastAsia="zh-CN"/>
                                            </w:rPr>
                                            <w:t>换热器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直接箭头连接符 8"/>
                                    <wps:cNvCnPr/>
                                    <wps:spPr>
                                      <a:xfrm>
                                        <a:off x="9752" y="175530"/>
                                        <a:ext cx="70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直接箭头连接符 9"/>
                                    <wps:cNvCnPr/>
                                    <wps:spPr>
                                      <a:xfrm>
                                        <a:off x="9738" y="176410"/>
                                        <a:ext cx="70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直接箭头连接符 10"/>
                                    <wps:cNvCnPr/>
                                    <wps:spPr>
                                      <a:xfrm>
                                        <a:off x="6962" y="176384"/>
                                        <a:ext cx="70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文本框 11"/>
                                    <wps:cNvSpPr txBox="1"/>
                                    <wps:spPr>
                                      <a:xfrm>
                                        <a:off x="6006" y="175288"/>
                                        <a:ext cx="1584" cy="4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pPr>
                                          <w:r>
                                            <w:rPr>
                                              <w:rFonts w:hint="eastAsia"/>
                                            </w:rPr>
                                            <w:t>管道天然气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5988" y="176157"/>
                                        <a:ext cx="1074" cy="4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a:endCxn id="7" idx="1"/>
                                    </wps:cNvCnPr>
                                    <wps:spPr>
                                      <a:xfrm flipV="1">
                                        <a:off x="11052" y="175765"/>
                                        <a:ext cx="886" cy="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11027" y="175799"/>
                                        <a:ext cx="801"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hint="default" w:eastAsia="宋体"/>
                                              <w:sz w:val="20"/>
                                              <w:szCs w:val="20"/>
                                              <w:lang w:val="en-US" w:eastAsia="zh-CN"/>
                                            </w:rPr>
                                          </w:pPr>
                                          <w:r>
                                            <w:rPr>
                                              <w:rFonts w:hint="eastAsia"/>
                                              <w:sz w:val="20"/>
                                              <w:szCs w:val="20"/>
                                              <w:lang w:val="en-US" w:eastAsia="zh-CN"/>
                                            </w:rPr>
                                            <w:t>热水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箭头连接符 19"/>
                                    <wps:cNvCnPr/>
                                    <wps:spPr>
                                      <a:xfrm flipV="1">
                                        <a:off x="10746" y="174569"/>
                                        <a:ext cx="0" cy="654"/>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0" name="文本框 20"/>
                                    <wps:cNvSpPr txBox="1"/>
                                    <wps:spPr>
                                      <a:xfrm>
                                        <a:off x="9129" y="174117"/>
                                        <a:ext cx="4018"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rPr>
                                              <w:rFonts w:hint="default" w:eastAsia="宋体"/>
                                              <w:lang w:val="en-US" w:eastAsia="zh-CN"/>
                                            </w:rPr>
                                          </w:pPr>
                                          <w:r>
                                            <w:rPr>
                                              <w:rFonts w:hint="eastAsia"/>
                                            </w:rPr>
                                            <w:t>颗粒物、二氧化硫、氮氧化物</w:t>
                                          </w:r>
                                          <w:r>
                                            <w:rPr>
                                              <w:rFonts w:hint="eastAsia"/>
                                              <w:lang w:eastAsia="zh-CN"/>
                                            </w:rPr>
                                            <w:t>、</w:t>
                                          </w:r>
                                          <w:r>
                                            <w:rPr>
                                              <w:rFonts w:hint="eastAsia"/>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wps:spPr>
                                      <a:xfrm>
                                        <a:off x="10772" y="176729"/>
                                        <a:ext cx="0" cy="64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 name="文本框 22"/>
                                    <wps:cNvSpPr txBox="1"/>
                                    <wps:spPr>
                                      <a:xfrm>
                                        <a:off x="10431" y="177321"/>
                                        <a:ext cx="695" cy="4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sz w:val="20"/>
                                              <w:szCs w:val="20"/>
                                            </w:rPr>
                                          </w:pPr>
                                          <w:r>
                                            <w:rPr>
                                              <w:rFonts w:hint="eastAsia"/>
                                              <w:sz w:val="20"/>
                                              <w:szCs w:val="20"/>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cNvPr id="152" name="组合 152"/>
                              <wpg:cNvGrpSpPr/>
                              <wpg:grpSpPr>
                                <a:xfrm>
                                  <a:off x="7934" y="279852"/>
                                  <a:ext cx="3072" cy="2247"/>
                                  <a:chOff x="7934" y="279852"/>
                                  <a:chExt cx="3072" cy="2247"/>
                                </a:xfrm>
                              </wpg:grpSpPr>
                              <wps:wsp>
                                <wps:cNvPr id="148" name="肘形连接符 148"/>
                                <wps:cNvCnPr>
                                  <a:stCxn id="7" idx="2"/>
                                </wps:cNvCnPr>
                                <wps:spPr>
                                  <a:xfrm rot="5400000">
                                    <a:off x="8435" y="280676"/>
                                    <a:ext cx="275" cy="1278"/>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9" name="文本框 149"/>
                                <wps:cNvSpPr txBox="1"/>
                                <wps:spPr>
                                  <a:xfrm>
                                    <a:off x="8214" y="281469"/>
                                    <a:ext cx="962" cy="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hint="default" w:eastAsia="宋体"/>
                                          <w:sz w:val="20"/>
                                          <w:szCs w:val="20"/>
                                          <w:lang w:val="en-US" w:eastAsia="zh-CN"/>
                                        </w:rPr>
                                      </w:pPr>
                                      <w:r>
                                        <w:rPr>
                                          <w:rFonts w:hint="eastAsia"/>
                                          <w:sz w:val="20"/>
                                          <w:szCs w:val="20"/>
                                          <w:lang w:val="en-US" w:eastAsia="zh-CN"/>
                                        </w:rPr>
                                        <w:t>循环水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直接箭头连接符 150"/>
                                <wps:cNvCnPr/>
                                <wps:spPr>
                                  <a:xfrm>
                                    <a:off x="9567" y="280511"/>
                                    <a:ext cx="74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1" name="文本框 17"/>
                                <wps:cNvSpPr txBox="1"/>
                                <wps:spPr>
                                  <a:xfrm>
                                    <a:off x="10292" y="279852"/>
                                    <a:ext cx="714" cy="1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center"/>
                                        <w:rPr>
                                          <w:rFonts w:hint="default" w:eastAsia="宋体"/>
                                          <w:sz w:val="20"/>
                                          <w:szCs w:val="20"/>
                                          <w:lang w:val="en-US" w:eastAsia="zh-CN"/>
                                        </w:rPr>
                                      </w:pPr>
                                      <w:r>
                                        <w:rPr>
                                          <w:rFonts w:hint="eastAsia"/>
                                          <w:sz w:val="20"/>
                                          <w:szCs w:val="20"/>
                                          <w:lang w:val="en-US" w:eastAsia="zh-CN"/>
                                        </w:rPr>
                                        <w:t>办公生活区供暖</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3pt;margin-top:7.2pt;height:211.25pt;width:421.05pt;z-index:251660288;mso-width-relative:page;mso-height-relative:page;" coordorigin="2585,278640" coordsize="8421,4225" o:gfxdata="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">
                      <o:lock v:ext="edit" aspectratio="f"/>
                      <v:group id="_x0000_s1026" o:spid="_x0000_s1026" o:spt="203" style="position:absolute;left:2585;top:278640;height:4225;width:7562;" coordorigin="3190,276708" coordsize="7159,3697"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899;top:279223;height:640;width:0;" filled="f" stroked="t" coordsize="21600,21600" o:gfxdata="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sBJugAAANsA&#10;AAAPAAAAAAAAAAEAIAAAACIAAABkcnMvZG93bnJldi54bWxQSwECFAAUAAAACACHTuJAMy8FnjsA&#10;AAA5AAAAEAAAAAAAAAABACAAAAAJAQAAZHJzL3NoYXBleG1sLnhtbFBLBQYAAAAABgAGAFsBAACz&#10;AwAAAAA=&#10;">
                          <v:fill on="f" focussize="0,0"/>
                          <v:stroke weight="1pt" color="#000000 [3213]" miterlimit="8" joinstyle="miter" dashstyle="dash" endarrow="open"/>
                          <v:imagedata o:title=""/>
                          <o:lock v:ext="edit" aspectratio="f"/>
                        </v:shape>
                        <v:group id="组合 33" o:spid="_x0000_s1026" o:spt="203" style="position:absolute;left:3190;top:276708;height:3697;width:7159;" coordorigin="2952,286202" coordsize="7159,3697"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文本框 17" o:spid="_x0000_s1026" o:spt="202" type="#_x0000_t202" style="position:absolute;left:5335;top:289370;height:507;width:739;"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firstLine="0" w:firstLineChars="0"/>
                                    <w:jc w:val="center"/>
                                    <w:rPr>
                                      <w:sz w:val="20"/>
                                      <w:szCs w:val="20"/>
                                    </w:rPr>
                                  </w:pPr>
                                  <w:r>
                                    <w:rPr>
                                      <w:rFonts w:hint="eastAsia"/>
                                      <w:sz w:val="20"/>
                                      <w:szCs w:val="20"/>
                                      <w:lang w:val="en-US" w:eastAsia="zh-CN"/>
                                    </w:rPr>
                                    <w:t>浓</w:t>
                                  </w:r>
                                  <w:r>
                                    <w:rPr>
                                      <w:rFonts w:hint="eastAsia"/>
                                      <w:sz w:val="20"/>
                                      <w:szCs w:val="20"/>
                                    </w:rPr>
                                    <w:t>水</w:t>
                                  </w:r>
                                </w:p>
                              </w:txbxContent>
                            </v:textbox>
                          </v:shape>
                          <v:group id="_x0000_s1026" o:spid="_x0000_s1026" o:spt="203" style="position:absolute;left:2952;top:286202;height:3697;width:7159;" coordorigin="5988,174117" coordsize="7159,3697"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152;top:175274;height:478;width:1584;" filled="f" stroked="t" coordsize="21600,21600" o:gfxdata="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70K7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ind w:firstLine="0" w:firstLineChars="0"/>
                                      <w:jc w:val="center"/>
                                    </w:pPr>
                                    <w:r>
                                      <w:rPr>
                                        <w:rFonts w:hint="eastAsia"/>
                                      </w:rPr>
                                      <w:t>调压计量器</w:t>
                                    </w:r>
                                  </w:p>
                                </w:txbxContent>
                              </v:textbox>
                            </v:shape>
                            <v:shape id="_x0000_s1026" o:spid="_x0000_s1026" o:spt="202" type="#_x0000_t202" style="position:absolute;left:7677;top:176156;height:478;width:2048;" filled="f" stroked="t" coordsize="21600,21600" o:gfxdata="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dsX7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ind w:firstLine="0" w:firstLineChars="0"/>
                                      <w:jc w:val="center"/>
                                    </w:pPr>
                                    <w:r>
                                      <w:rPr>
                                        <w:rFonts w:hint="eastAsia"/>
                                      </w:rPr>
                                      <w:t>软化水装置</w:t>
                                    </w:r>
                                  </w:p>
                                </w:txbxContent>
                              </v:textbox>
                            </v:shape>
                            <v:shape id="_x0000_s1026" o:spid="_x0000_s1026" o:spt="202" type="#_x0000_t202" style="position:absolute;left:10445;top:175251;height:1434;width:596;" filled="f" stroked="t" coordsize="21600,21600" o:gfxdata="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vJxL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spacing w:line="240" w:lineRule="auto"/>
                                      <w:ind w:firstLine="0" w:firstLineChars="0"/>
                                      <w:jc w:val="center"/>
                                    </w:pPr>
                                    <w:r>
                                      <w:rPr>
                                        <w:rFonts w:hint="eastAsia"/>
                                      </w:rPr>
                                      <w:t>燃</w:t>
                                    </w:r>
                                  </w:p>
                                  <w:p>
                                    <w:pPr>
                                      <w:spacing w:line="240" w:lineRule="auto"/>
                                      <w:ind w:firstLine="0" w:firstLineChars="0"/>
                                      <w:jc w:val="center"/>
                                    </w:pPr>
                                    <w:r>
                                      <w:rPr>
                                        <w:rFonts w:hint="eastAsia"/>
                                      </w:rPr>
                                      <w:t>气</w:t>
                                    </w:r>
                                  </w:p>
                                  <w:p>
                                    <w:pPr>
                                      <w:spacing w:line="240" w:lineRule="auto"/>
                                      <w:ind w:firstLine="0" w:firstLineChars="0"/>
                                      <w:jc w:val="center"/>
                                    </w:pPr>
                                    <w:r>
                                      <w:rPr>
                                        <w:rFonts w:hint="eastAsia"/>
                                      </w:rPr>
                                      <w:t>锅</w:t>
                                    </w:r>
                                  </w:p>
                                  <w:p>
                                    <w:pPr>
                                      <w:spacing w:line="240" w:lineRule="auto"/>
                                      <w:ind w:firstLine="0" w:firstLineChars="0"/>
                                      <w:jc w:val="center"/>
                                    </w:pPr>
                                    <w:r>
                                      <w:rPr>
                                        <w:rFonts w:hint="eastAsia"/>
                                      </w:rPr>
                                      <w:t>炉</w:t>
                                    </w:r>
                                  </w:p>
                                </w:txbxContent>
                              </v:textbox>
                            </v:shape>
                            <v:shape id="_x0000_s1026" o:spid="_x0000_s1026" o:spt="32" type="#_x0000_t32" style="position:absolute;left:7432;top:175517;height:0;width:707;" filled="f" stroked="t" coordsize="21600,21600" o:gfxdata="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eV3O5AAAA2g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_x0000_s1026" o:spid="_x0000_s1026" o:spt="202" type="#_x0000_t202" style="position:absolute;left:11938;top:175191;height:1147;width:647;" filled="f" stroked="t" coordsize="21600,21600" o:gfxdata="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fIovQAA&#10;ANoAAAAPAAAAAAAAAAEAIAAAACIAAABkcnMvZG93bnJldi54bWxQSwECFAAUAAAACACHTuJAMy8F&#10;njsAAAA5AAAAEAAAAAAAAAABACAAAAAMAQAAZHJzL3NoYXBleG1sLnhtbFBLBQYAAAAABgAGAFsB&#10;AAC2AwAAAAA=&#10;">
                              <v:fill on="f" focussize="0,0"/>
                              <v:stroke weight="0.5pt" color="#000000 [3204]" joinstyle="round"/>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换热器</w:t>
                                    </w:r>
                                  </w:p>
                                </w:txbxContent>
                              </v:textbox>
                            </v:shape>
                            <v:shape id="_x0000_s1026" o:spid="_x0000_s1026" o:spt="32" type="#_x0000_t32" style="position:absolute;left:9752;top:175530;height:0;width:707;" filled="f" stroked="t" coordsize="21600,21600" o:gfxdata="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rNZpq2AAAA2gAAAA8A&#10;AAAAAAAAAQAgAAAAIgAAAGRycy9kb3ducmV2LnhtbFBLAQIUABQAAAAIAIdO4kAzLwWeOwAAADkA&#10;AAAQAAAAAAAAAAEAIAAAAAUBAABkcnMvc2hhcGV4bWwueG1sUEsFBgAAAAAGAAYAWwEAAK8DAAAA&#10;AA==&#10;">
                              <v:fill on="f" focussize="0,0"/>
                              <v:stroke weight="1pt" color="#000000 [3213]" miterlimit="8" joinstyle="miter" endarrow="open"/>
                              <v:imagedata o:title=""/>
                              <o:lock v:ext="edit" aspectratio="f"/>
                            </v:shape>
                            <v:shape id="_x0000_s1026" o:spid="_x0000_s1026" o:spt="32" type="#_x0000_t32" style="position:absolute;left:9738;top:176410;height:0;width:707;" filled="f" stroked="t" coordsize="21600,21600" o:gfxdata="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HDAbsAAADa&#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6962;top:176384;height:0;width:707;" filled="f" stroked="t" coordsize="21600,21600" o:gfxdata="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9cWL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202" type="#_x0000_t202" style="position:absolute;left:6006;top:175288;height:478;width:158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firstLine="0" w:firstLineChars="0"/>
                                      <w:jc w:val="center"/>
                                    </w:pPr>
                                    <w:r>
                                      <w:rPr>
                                        <w:rFonts w:hint="eastAsia"/>
                                      </w:rPr>
                                      <w:t>管道天然气</w:t>
                                    </w:r>
                                  </w:p>
                                </w:txbxContent>
                              </v:textbox>
                            </v:shape>
                            <v:shape id="_x0000_s1026" o:spid="_x0000_s1026" o:spt="202" type="#_x0000_t202" style="position:absolute;left:5988;top:176157;height:494;width:1074;"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240" w:lineRule="auto"/>
                                      <w:ind w:firstLine="0" w:firstLineChars="0"/>
                                      <w:jc w:val="center"/>
                                    </w:pPr>
                                    <w:r>
                                      <w:rPr>
                                        <w:rFonts w:hint="eastAsia"/>
                                      </w:rPr>
                                      <w:t>新鲜水</w:t>
                                    </w:r>
                                  </w:p>
                                </w:txbxContent>
                              </v:textbox>
                            </v:shape>
                            <v:shape id="_x0000_s1026" o:spid="_x0000_s1026" o:spt="32" type="#_x0000_t32" style="position:absolute;left:11052;top:175765;flip:y;height:14;width:886;" filled="f" stroked="t" coordsize="21600,21600" o:gfxdata="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vvQAA&#10;ANs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_x0000_s1026" o:spid="_x0000_s1026" o:spt="202" type="#_x0000_t202" style="position:absolute;left:11027;top:175799;height:464;width:801;"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0" w:firstLineChars="0"/>
                                      <w:jc w:val="center"/>
                                      <w:rPr>
                                        <w:rFonts w:hint="default" w:eastAsia="宋体"/>
                                        <w:sz w:val="20"/>
                                        <w:szCs w:val="20"/>
                                        <w:lang w:val="en-US" w:eastAsia="zh-CN"/>
                                      </w:rPr>
                                    </w:pPr>
                                    <w:r>
                                      <w:rPr>
                                        <w:rFonts w:hint="eastAsia"/>
                                        <w:sz w:val="20"/>
                                        <w:szCs w:val="20"/>
                                        <w:lang w:val="en-US" w:eastAsia="zh-CN"/>
                                      </w:rPr>
                                      <w:t>热水</w:t>
                                    </w:r>
                                  </w:p>
                                </w:txbxContent>
                              </v:textbox>
                            </v:shape>
                            <v:shape id="_x0000_s1026" o:spid="_x0000_s1026" o:spt="32" type="#_x0000_t32" style="position:absolute;left:10746;top:174569;flip:y;height:654;width:0;" filled="f" stroked="t" coordsize="21600,21600" o:gfxdata="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rQlQugAAANsA&#10;AAAPAAAAAAAAAAEAIAAAACIAAABkcnMvZG93bnJldi54bWxQSwECFAAUAAAACACHTuJAMy8FnjsA&#10;AAA5AAAAEAAAAAAAAAABACAAAAAJAQAAZHJzL3NoYXBleG1sLnhtbFBLBQYAAAAABgAGAFsBAACz&#10;AwAAAAA=&#10;">
                              <v:fill on="f" focussize="0,0"/>
                              <v:stroke weight="1pt" color="#000000 [3213]" miterlimit="8" joinstyle="miter" dashstyle="dash" endarrow="open"/>
                              <v:imagedata o:title=""/>
                              <o:lock v:ext="edit" aspectratio="f"/>
                            </v:shape>
                            <v:shape id="_x0000_s1026" o:spid="_x0000_s1026" o:spt="202" type="#_x0000_t202" style="position:absolute;left:9129;top:174117;height:435;width:4018;"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240" w:lineRule="auto"/>
                                      <w:ind w:firstLine="0" w:firstLineChars="0"/>
                                      <w:jc w:val="center"/>
                                      <w:rPr>
                                        <w:rFonts w:hint="default" w:eastAsia="宋体"/>
                                        <w:lang w:val="en-US" w:eastAsia="zh-CN"/>
                                      </w:rPr>
                                    </w:pPr>
                                    <w:r>
                                      <w:rPr>
                                        <w:rFonts w:hint="eastAsia"/>
                                      </w:rPr>
                                      <w:t>颗粒物、二氧化硫、氮氧化物</w:t>
                                    </w:r>
                                    <w:r>
                                      <w:rPr>
                                        <w:rFonts w:hint="eastAsia"/>
                                        <w:lang w:eastAsia="zh-CN"/>
                                      </w:rPr>
                                      <w:t>、</w:t>
                                    </w:r>
                                    <w:r>
                                      <w:rPr>
                                        <w:rFonts w:hint="eastAsia"/>
                                        <w:lang w:val="en-US" w:eastAsia="zh-CN"/>
                                      </w:rPr>
                                      <w:t>噪声</w:t>
                                    </w:r>
                                  </w:p>
                                </w:txbxContent>
                              </v:textbox>
                            </v:shape>
                            <v:shape id="_x0000_s1026" o:spid="_x0000_s1026" o:spt="32" type="#_x0000_t32" style="position:absolute;left:10772;top:176729;height:640;width:0;" filled="f" stroked="t" coordsize="21600,21600" o:gfxdata="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DEY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open"/>
                              <v:imagedata o:title=""/>
                              <o:lock v:ext="edit" aspectratio="f"/>
                            </v:shape>
                            <v:shape id="_x0000_s1026" o:spid="_x0000_s1026" o:spt="202" type="#_x0000_t202" style="position:absolute;left:10431;top:177321;height:493;width:695;"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0" w:firstLineChars="0"/>
                                      <w:jc w:val="center"/>
                                      <w:rPr>
                                        <w:sz w:val="20"/>
                                        <w:szCs w:val="20"/>
                                      </w:rPr>
                                    </w:pPr>
                                    <w:r>
                                      <w:rPr>
                                        <w:rFonts w:hint="eastAsia"/>
                                        <w:sz w:val="20"/>
                                        <w:szCs w:val="20"/>
                                      </w:rPr>
                                      <w:t>废水</w:t>
                                    </w:r>
                                  </w:p>
                                </w:txbxContent>
                              </v:textbox>
                            </v:shape>
                          </v:group>
                        </v:group>
                      </v:group>
                      <v:group id="_x0000_s1026" o:spid="_x0000_s1026" o:spt="203" style="position:absolute;left:7934;top:279852;height:2247;width:3072;" coordorigin="7934,279852" coordsize="3072,2247"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_x0000_s1026" o:spid="_x0000_s1026" o:spt="33" type="#_x0000_t33" style="position:absolute;left:8435;top:280676;height:1278;width:275;rotation:5898240f;" filled="f" stroked="t" coordsize="21600,21600" o:gfxdata="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yM5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202" type="#_x0000_t202" style="position:absolute;left:8214;top:281469;height:630;width:962;"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0" w:firstLineChars="0"/>
                                  <w:jc w:val="center"/>
                                  <w:rPr>
                                    <w:rFonts w:hint="default" w:eastAsia="宋体"/>
                                    <w:sz w:val="20"/>
                                    <w:szCs w:val="20"/>
                                    <w:lang w:val="en-US" w:eastAsia="zh-CN"/>
                                  </w:rPr>
                                </w:pPr>
                                <w:r>
                                  <w:rPr>
                                    <w:rFonts w:hint="eastAsia"/>
                                    <w:sz w:val="20"/>
                                    <w:szCs w:val="20"/>
                                    <w:lang w:val="en-US" w:eastAsia="zh-CN"/>
                                  </w:rPr>
                                  <w:t>循环水</w:t>
                                </w:r>
                              </w:p>
                            </w:txbxContent>
                          </v:textbox>
                        </v:shape>
                        <v:shape id="_x0000_s1026" o:spid="_x0000_s1026" o:spt="32" type="#_x0000_t32" style="position:absolute;left:9567;top:280511;height:0;width:746;" filled="f" stroked="t" coordsize="21600,21600" o:gfxdata="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C5o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文本框 17" o:spid="_x0000_s1026" o:spt="202" type="#_x0000_t202" style="position:absolute;left:10292;top:279852;height:1510;width:714;" filled="f" stroked="f" coordsize="21600,21600" o:gfxdata="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WHC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center"/>
                                  <w:rPr>
                                    <w:rFonts w:hint="default" w:eastAsia="宋体"/>
                                    <w:sz w:val="20"/>
                                    <w:szCs w:val="20"/>
                                    <w:lang w:val="en-US" w:eastAsia="zh-CN"/>
                                  </w:rPr>
                                </w:pPr>
                                <w:r>
                                  <w:rPr>
                                    <w:rFonts w:hint="eastAsia"/>
                                    <w:sz w:val="20"/>
                                    <w:szCs w:val="20"/>
                                    <w:lang w:val="en-US" w:eastAsia="zh-CN"/>
                                  </w:rPr>
                                  <w:t>办公生活区供暖</w:t>
                                </w:r>
                              </w:p>
                            </w:txbxContent>
                          </v:textbox>
                        </v:shape>
                      </v:group>
                    </v:group>
                  </w:pict>
                </mc:Fallback>
              </mc:AlternateContent>
            </w:r>
          </w:p>
          <w:p/>
          <w:p/>
          <w:p/>
          <w:p/>
          <w:p/>
          <w:p/>
          <w:p/>
          <w:p>
            <w:pPr>
              <w:bidi w:val="0"/>
              <w:ind w:left="0" w:leftChars="0" w:firstLine="0" w:firstLineChars="0"/>
            </w:pPr>
          </w:p>
          <w:p>
            <w:pPr>
              <w:pStyle w:val="34"/>
              <w:rPr>
                <w:rFonts w:hint="eastAsia" w:ascii="宋体" w:hAnsi="宋体" w:cs="宋体"/>
                <w:color w:val="000000"/>
                <w:kern w:val="0"/>
                <w:lang w:bidi="ar"/>
              </w:rPr>
            </w:pPr>
            <w:r>
              <w:rPr>
                <w:rFonts w:hint="eastAsia"/>
              </w:rPr>
              <w:t>图2-</w:t>
            </w:r>
            <w:r>
              <w:rPr>
                <w:rFonts w:hint="eastAsia" w:eastAsia="宋体"/>
                <w:lang w:val="en-US" w:eastAsia="zh-CN"/>
              </w:rPr>
              <w:t>2</w:t>
            </w:r>
            <w:r>
              <w:rPr>
                <w:rFonts w:hint="eastAsia"/>
              </w:rPr>
              <w:t xml:space="preserve">   </w:t>
            </w:r>
            <w:r>
              <w:rPr>
                <w:rFonts w:hint="eastAsia"/>
                <w:lang w:val="en-US" w:eastAsia="zh-CN"/>
              </w:rPr>
              <w:t>运营期</w:t>
            </w:r>
            <w:r>
              <w:rPr>
                <w:rFonts w:hint="eastAsia"/>
              </w:rPr>
              <w:t>工艺流程及产污节点图</w:t>
            </w:r>
          </w:p>
          <w:p>
            <w:pPr>
              <w:bidi w:val="0"/>
              <w:rPr>
                <w:rFonts w:hint="default"/>
              </w:rPr>
            </w:pPr>
            <w:r>
              <w:rPr>
                <w:rFonts w:hint="default"/>
                <w:lang w:val="en-US" w:eastAsia="zh-CN"/>
              </w:rPr>
              <w:t>锅炉系统：本项目建设1台额定热功率为</w:t>
            </w:r>
            <w:r>
              <w:rPr>
                <w:rFonts w:hint="eastAsia"/>
                <w:lang w:val="en-US" w:eastAsia="zh-CN"/>
              </w:rPr>
              <w:t>4.2</w:t>
            </w:r>
            <w:r>
              <w:rPr>
                <w:rFonts w:hint="default"/>
                <w:lang w:val="en-US" w:eastAsia="zh-CN"/>
              </w:rPr>
              <w:t>MW的燃气</w:t>
            </w:r>
            <w:r>
              <w:rPr>
                <w:rFonts w:hint="eastAsia"/>
                <w:lang w:val="en-US" w:eastAsia="zh-CN"/>
              </w:rPr>
              <w:t>热水</w:t>
            </w:r>
            <w:r>
              <w:rPr>
                <w:rFonts w:hint="default"/>
                <w:lang w:val="en-US" w:eastAsia="zh-CN"/>
              </w:rPr>
              <w:t>锅炉，燃料</w:t>
            </w:r>
            <w:r>
              <w:rPr>
                <w:rFonts w:hint="eastAsia"/>
              </w:rPr>
              <w:t>由</w:t>
            </w:r>
            <w:r>
              <w:rPr>
                <w:rFonts w:hint="eastAsia"/>
                <w:lang w:val="en-US" w:eastAsia="zh-CN"/>
              </w:rPr>
              <w:t>园区燃气</w:t>
            </w:r>
            <w:r>
              <w:rPr>
                <w:rFonts w:hint="eastAsia"/>
              </w:rPr>
              <w:t>管网</w:t>
            </w:r>
            <w:r>
              <w:rPr>
                <w:rFonts w:hint="eastAsia"/>
                <w:lang w:val="en-US" w:eastAsia="zh-CN"/>
              </w:rPr>
              <w:t>供给</w:t>
            </w:r>
            <w:r>
              <w:rPr>
                <w:rFonts w:hint="default"/>
                <w:lang w:val="en-US" w:eastAsia="zh-CN"/>
              </w:rPr>
              <w:t>，供热范围为</w:t>
            </w:r>
            <w:r>
              <w:rPr>
                <w:rFonts w:hint="eastAsia"/>
                <w:lang w:val="en-US" w:eastAsia="zh-CN"/>
              </w:rPr>
              <w:t>鸿源石油装备有限公司</w:t>
            </w:r>
            <w:r>
              <w:rPr>
                <w:rFonts w:hint="default"/>
                <w:lang w:val="en-US" w:eastAsia="zh-CN"/>
              </w:rPr>
              <w:t>厂区办公生活</w:t>
            </w:r>
            <w:r>
              <w:rPr>
                <w:rFonts w:hint="eastAsia"/>
                <w:lang w:val="en-US" w:eastAsia="zh-CN"/>
              </w:rPr>
              <w:t>区</w:t>
            </w:r>
            <w:r>
              <w:rPr>
                <w:rFonts w:hint="default"/>
                <w:lang w:val="en-US" w:eastAsia="zh-CN"/>
              </w:rPr>
              <w:t>。</w:t>
            </w:r>
            <w:r>
              <w:rPr>
                <w:rFonts w:hint="eastAsia" w:ascii="宋体" w:hAnsi="宋体" w:cs="宋体"/>
                <w:color w:val="000000"/>
                <w:kern w:val="0"/>
                <w:lang w:bidi="ar"/>
              </w:rPr>
              <w:t>产污节点为天然气在燃烧器中燃烧产生的废气及噪声，废气中污染因子为颗粒物、二氧化硫、氮氧化物。</w:t>
            </w:r>
            <w:r>
              <w:rPr>
                <w:rFonts w:hint="eastAsia" w:ascii="宋体" w:hAnsi="宋体" w:cs="宋体"/>
                <w:color w:val="000000"/>
                <w:kern w:val="0"/>
                <w:lang w:val="en-US" w:eastAsia="zh-CN" w:bidi="ar"/>
              </w:rPr>
              <w:t>新鲜水经过</w:t>
            </w:r>
            <w:r>
              <w:rPr>
                <w:rFonts w:hint="default" w:ascii="Times New Roman" w:hAnsi="Times New Roman" w:cs="Times New Roman"/>
                <w:lang w:val="en-US" w:eastAsia="zh-CN"/>
              </w:rPr>
              <w:t>软化水</w:t>
            </w:r>
            <w:r>
              <w:rPr>
                <w:rFonts w:hint="default" w:ascii="Times New Roman" w:hAnsi="Times New Roman" w:cs="Times New Roman"/>
              </w:rPr>
              <w:t>装置</w:t>
            </w:r>
            <w:r>
              <w:rPr>
                <w:rFonts w:hint="eastAsia"/>
                <w:lang w:val="en-US" w:eastAsia="zh-CN"/>
              </w:rPr>
              <w:t>净化后进入锅炉，纯水制备过程产生的浓水以及锅炉运行过程产生的废水</w:t>
            </w:r>
            <w:r>
              <w:rPr>
                <w:rFonts w:hint="eastAsia"/>
                <w:kern w:val="0"/>
                <w:szCs w:val="21"/>
              </w:rPr>
              <w:t>排入园区污水管网，进入园区污水处理厂进一步处置</w:t>
            </w:r>
            <w:r>
              <w:rPr>
                <w:rFonts w:hint="eastAsia"/>
                <w:lang w:eastAsia="zh-CN"/>
              </w:rPr>
              <w:t>。</w:t>
            </w:r>
          </w:p>
          <w:p>
            <w:pPr>
              <w:bidi w:val="0"/>
              <w:rPr>
                <w:rFonts w:hint="default"/>
              </w:rPr>
            </w:pPr>
            <w:r>
              <w:rPr>
                <w:rFonts w:hint="default"/>
                <w:lang w:val="en-US" w:eastAsia="zh-CN"/>
              </w:rPr>
              <w:t>热水循环系统：新鲜水经过</w:t>
            </w:r>
            <w:r>
              <w:rPr>
                <w:rFonts w:hint="default" w:ascii="Times New Roman" w:hAnsi="Times New Roman" w:cs="Times New Roman"/>
                <w:lang w:val="en-US" w:eastAsia="zh-CN"/>
              </w:rPr>
              <w:t>软化水</w:t>
            </w:r>
            <w:r>
              <w:rPr>
                <w:rFonts w:hint="default" w:ascii="Times New Roman" w:hAnsi="Times New Roman" w:cs="Times New Roman"/>
              </w:rPr>
              <w:t>装置</w:t>
            </w:r>
            <w:r>
              <w:rPr>
                <w:rFonts w:hint="eastAsia"/>
                <w:lang w:val="en-US" w:eastAsia="zh-CN"/>
              </w:rPr>
              <w:t>过滤后</w:t>
            </w:r>
            <w:r>
              <w:rPr>
                <w:rFonts w:hint="default"/>
                <w:lang w:val="en-US" w:eastAsia="zh-CN"/>
              </w:rPr>
              <w:t>进入锅炉内，经锅炉加热，烧热的水在循环水泵的压力下，从热水出口流出热水</w:t>
            </w:r>
            <w:r>
              <w:rPr>
                <w:rFonts w:hint="eastAsia"/>
                <w:lang w:val="en-US" w:eastAsia="zh-CN"/>
              </w:rPr>
              <w:t>，</w:t>
            </w:r>
            <w:r>
              <w:rPr>
                <w:rFonts w:hint="default"/>
                <w:lang w:val="en-US" w:eastAsia="zh-CN"/>
              </w:rPr>
              <w:t>再接到分水器</w:t>
            </w:r>
            <w:r>
              <w:rPr>
                <w:rFonts w:hint="eastAsia"/>
                <w:lang w:val="en-US" w:eastAsia="zh-CN"/>
              </w:rPr>
              <w:t>供给</w:t>
            </w:r>
            <w:r>
              <w:rPr>
                <w:rFonts w:hint="default"/>
                <w:lang w:val="en-US" w:eastAsia="zh-CN"/>
              </w:rPr>
              <w:t>到</w:t>
            </w:r>
            <w:r>
              <w:rPr>
                <w:rFonts w:hint="eastAsia"/>
                <w:lang w:val="en-US" w:eastAsia="zh-CN"/>
              </w:rPr>
              <w:t>办公生活区</w:t>
            </w:r>
            <w:r>
              <w:rPr>
                <w:rFonts w:hint="default"/>
                <w:lang w:val="en-US" w:eastAsia="zh-CN"/>
              </w:rPr>
              <w:t>。室内一级网回水总管进入锅炉房后，进入循环水泵，由循环水泵加压后进入锅炉进水母管，通过锅炉进水管进入锅炉加热。</w:t>
            </w:r>
          </w:p>
          <w:p>
            <w:pPr>
              <w:widowControl/>
              <w:ind w:firstLine="480"/>
              <w:jc w:val="left"/>
              <w:rPr>
                <w:rFonts w:hint="eastAsia" w:ascii="宋体" w:hAnsi="宋体" w:cs="宋体"/>
                <w:color w:val="000000"/>
                <w:kern w:val="0"/>
                <w:lang w:bidi="ar"/>
              </w:rPr>
            </w:pPr>
            <w:r>
              <w:rPr>
                <w:rFonts w:hint="default" w:ascii="Times New Roman" w:hAnsi="Times New Roman" w:cs="Times New Roman"/>
                <w:lang w:val="en-US" w:eastAsia="zh-CN"/>
              </w:rPr>
              <w:t>软化水</w:t>
            </w:r>
            <w:r>
              <w:rPr>
                <w:rFonts w:hint="default" w:ascii="Times New Roman" w:hAnsi="Times New Roman" w:cs="Times New Roman"/>
              </w:rPr>
              <w:t>装置工作原理：</w:t>
            </w:r>
            <w:r>
              <w:rPr>
                <w:rFonts w:hint="default" w:ascii="Times New Roman" w:hAnsi="Times New Roman" w:cs="Times New Roman"/>
                <w:color w:val="000000"/>
                <w:kern w:val="0"/>
                <w:lang w:bidi="ar"/>
              </w:rPr>
              <w:t>通过树脂上的可交换离子（如H⁺、Na⁺或OH⁻）与水中的杂质离子（如Ca²⁺、Mg²⁺、Cl⁻等）发生可逆置换反应，从而去除水中离子，实现水质净化</w:t>
            </w:r>
            <w:r>
              <w:rPr>
                <w:rFonts w:hint="eastAsia" w:cs="Times New Roman"/>
                <w:color w:val="000000"/>
                <w:kern w:val="0"/>
                <w:lang w:eastAsia="zh-CN" w:bidi="ar"/>
              </w:rPr>
              <w:t>，</w:t>
            </w:r>
            <w:r>
              <w:rPr>
                <w:rFonts w:hint="default" w:ascii="Times New Roman" w:hAnsi="Times New Roman" w:cs="Times New Roman"/>
                <w:color w:val="000000"/>
                <w:kern w:val="0"/>
                <w:lang w:bidi="ar"/>
              </w:rPr>
              <w:t>‌该过程依赖树脂的功能基团选择性吸附目标离子，并通过再生恢复交换能力，广泛应用于水软化、除盐及高纯水制备。</w:t>
            </w:r>
            <w:r>
              <w:rPr>
                <w:rFonts w:hint="eastAsia" w:ascii="宋体" w:hAnsi="宋体" w:cs="宋体"/>
                <w:color w:val="000000"/>
                <w:kern w:val="0"/>
                <w:lang w:bidi="ar"/>
              </w:rPr>
              <w:t>‌‌</w:t>
            </w:r>
          </w:p>
          <w:p>
            <w:pPr>
              <w:rPr>
                <w:rFonts w:hint="eastAsia" w:ascii="宋体" w:hAnsi="宋体" w:cs="宋体"/>
                <w:color w:val="000000"/>
                <w:kern w:val="0"/>
                <w:lang w:bidi="ar"/>
              </w:rPr>
            </w:pPr>
            <w:r>
              <w:rPr>
                <w:rFonts w:hint="default"/>
                <w:lang w:val="en-US" w:eastAsia="zh-CN"/>
              </w:rPr>
              <w:t>锅炉采用低氮燃烧技术，是指采用各种燃烧技术手段来控制燃烧过程中NOx的生成，又称低NOx燃烧技术。</w:t>
            </w:r>
            <w:r>
              <w:rPr>
                <w:rFonts w:hint="eastAsia" w:ascii="宋体" w:hAnsi="宋体" w:cs="宋体"/>
                <w:color w:val="000000"/>
                <w:kern w:val="0"/>
                <w:lang w:bidi="ar"/>
              </w:rPr>
              <w:t>低氮燃烧器原理：它通过特殊设计的燃烧器结构，改变通过燃烧器的风气比例，使在燃烧器内部或出口射流的空气分级，以控制燃烧器中燃料与空气的混合过程，尽可能降低着火区的温度和降低着火区的氧浓度，在保证天然气着火和燃烧的同时能有效的抑制</w:t>
            </w:r>
            <w:r>
              <w:rPr>
                <w:color w:val="000000"/>
                <w:kern w:val="0"/>
                <w:lang w:bidi="ar"/>
              </w:rPr>
              <w:t>NOx</w:t>
            </w:r>
            <w:r>
              <w:rPr>
                <w:rFonts w:hint="eastAsia" w:ascii="宋体" w:hAnsi="宋体" w:cs="宋体"/>
                <w:color w:val="000000"/>
                <w:kern w:val="0"/>
                <w:lang w:bidi="ar"/>
              </w:rPr>
              <w:t>的生成。并在富燃料燃烧条件下，选择合适的停留时间和温度使</w:t>
            </w:r>
            <w:r>
              <w:rPr>
                <w:rFonts w:hint="eastAsia" w:ascii="宋体" w:hAnsi="宋体" w:cs="宋体"/>
                <w:color w:val="000000"/>
                <w:kern w:val="0"/>
                <w:lang w:eastAsia="zh-CN" w:bidi="ar"/>
              </w:rPr>
              <w:t>“</w:t>
            </w:r>
            <w:r>
              <w:rPr>
                <w:color w:val="000000"/>
                <w:kern w:val="0"/>
                <w:lang w:bidi="ar"/>
              </w:rPr>
              <w:t>N</w:t>
            </w:r>
            <w:r>
              <w:rPr>
                <w:rFonts w:hint="eastAsia" w:ascii="宋体" w:hAnsi="宋体" w:cs="宋体"/>
                <w:color w:val="000000"/>
                <w:kern w:val="0"/>
                <w:lang w:eastAsia="zh-CN" w:bidi="ar"/>
              </w:rPr>
              <w:t>”</w:t>
            </w:r>
            <w:r>
              <w:rPr>
                <w:rFonts w:hint="eastAsia" w:ascii="宋体" w:hAnsi="宋体" w:cs="宋体"/>
                <w:color w:val="000000"/>
                <w:kern w:val="0"/>
                <w:lang w:bidi="ar"/>
              </w:rPr>
              <w:t>最大限度的转化成</w:t>
            </w:r>
            <w:r>
              <w:rPr>
                <w:rFonts w:hint="eastAsia" w:ascii="宋体" w:hAnsi="宋体" w:cs="宋体"/>
                <w:color w:val="000000"/>
                <w:kern w:val="0"/>
                <w:lang w:eastAsia="zh-CN" w:bidi="ar"/>
              </w:rPr>
              <w:t>“</w:t>
            </w:r>
            <w:r>
              <w:rPr>
                <w:color w:val="000000"/>
                <w:kern w:val="0"/>
                <w:lang w:bidi="ar"/>
              </w:rPr>
              <w:t>N</w:t>
            </w:r>
            <w:r>
              <w:rPr>
                <w:rFonts w:hint="eastAsia"/>
                <w:color w:val="000000"/>
                <w:kern w:val="0"/>
                <w:vertAlign w:val="subscript"/>
                <w:lang w:val="en-US" w:eastAsia="zh-CN" w:bidi="ar"/>
              </w:rPr>
              <w:t>2</w:t>
            </w:r>
            <w:r>
              <w:rPr>
                <w:rFonts w:hint="eastAsia" w:ascii="宋体" w:hAnsi="宋体" w:cs="宋体"/>
                <w:color w:val="000000"/>
                <w:kern w:val="0"/>
                <w:lang w:eastAsia="zh-CN" w:bidi="ar"/>
              </w:rPr>
              <w:t>”</w:t>
            </w:r>
            <w:r>
              <w:rPr>
                <w:rFonts w:hint="eastAsia" w:ascii="宋体" w:hAnsi="宋体" w:cs="宋体"/>
                <w:color w:val="000000"/>
                <w:kern w:val="0"/>
                <w:lang w:bidi="ar"/>
              </w:rPr>
              <w:t>，以达到减少</w:t>
            </w:r>
            <w:r>
              <w:rPr>
                <w:color w:val="000000"/>
                <w:kern w:val="0"/>
                <w:lang w:bidi="ar"/>
              </w:rPr>
              <w:t>NOx</w:t>
            </w:r>
            <w:r>
              <w:rPr>
                <w:rFonts w:hint="eastAsia" w:ascii="宋体" w:hAnsi="宋体" w:cs="宋体"/>
                <w:color w:val="000000"/>
                <w:kern w:val="0"/>
                <w:lang w:bidi="ar"/>
              </w:rPr>
              <w:t>排放的目的。</w:t>
            </w:r>
          </w:p>
          <w:p>
            <w:pPr>
              <w:ind w:firstLine="480"/>
              <w:rPr>
                <w:bCs/>
                <w:kern w:val="0"/>
              </w:rPr>
            </w:pPr>
            <w:r>
              <w:rPr>
                <w:rFonts w:hint="eastAsia"/>
                <w:bCs/>
                <w:kern w:val="0"/>
              </w:rPr>
              <w:t>本项目</w:t>
            </w:r>
            <w:r>
              <w:rPr>
                <w:rFonts w:hint="eastAsia"/>
                <w:bCs/>
                <w:kern w:val="0"/>
                <w:lang w:val="en-US" w:eastAsia="zh-CN"/>
              </w:rPr>
              <w:t>运营期</w:t>
            </w:r>
            <w:r>
              <w:rPr>
                <w:rFonts w:hint="eastAsia"/>
                <w:bCs/>
                <w:kern w:val="0"/>
              </w:rPr>
              <w:t>工艺流程以及污染物产生环节如下：</w:t>
            </w:r>
          </w:p>
          <w:p>
            <w:pPr>
              <w:pStyle w:val="34"/>
            </w:pPr>
            <w:r>
              <w:t>表</w:t>
            </w:r>
            <w:r>
              <w:rPr>
                <w:rFonts w:hint="eastAsia" w:eastAsia="宋体"/>
              </w:rPr>
              <w:t>2-</w:t>
            </w:r>
            <w:r>
              <w:rPr>
                <w:rFonts w:hint="eastAsia" w:eastAsia="宋体"/>
                <w:lang w:val="en-US" w:eastAsia="zh-CN"/>
              </w:rPr>
              <w:t>6</w:t>
            </w:r>
            <w:r>
              <w:t xml:space="preserve">    </w:t>
            </w:r>
            <w:r>
              <w:rPr>
                <w:rFonts w:hint="eastAsia"/>
              </w:rPr>
              <w:t>本项目生产过程产污节点表</w:t>
            </w:r>
          </w:p>
          <w:tbl>
            <w:tblPr>
              <w:tblStyle w:val="21"/>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883"/>
              <w:gridCol w:w="1767"/>
              <w:gridCol w:w="3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Align w:val="center"/>
                </w:tcPr>
                <w:p>
                  <w:pPr>
                    <w:pStyle w:val="33"/>
                  </w:pPr>
                  <w:r>
                    <w:rPr>
                      <w:rFonts w:hint="eastAsia"/>
                    </w:rPr>
                    <w:t>名称</w:t>
                  </w:r>
                </w:p>
              </w:tc>
              <w:tc>
                <w:tcPr>
                  <w:tcW w:w="1124" w:type="pct"/>
                  <w:vAlign w:val="center"/>
                </w:tcPr>
                <w:p>
                  <w:pPr>
                    <w:pStyle w:val="33"/>
                  </w:pPr>
                  <w:r>
                    <w:rPr>
                      <w:rFonts w:hint="eastAsia"/>
                    </w:rPr>
                    <w:t>污染来源</w:t>
                  </w:r>
                </w:p>
              </w:tc>
              <w:tc>
                <w:tcPr>
                  <w:tcW w:w="1055" w:type="pct"/>
                  <w:vAlign w:val="center"/>
                </w:tcPr>
                <w:p>
                  <w:pPr>
                    <w:pStyle w:val="33"/>
                  </w:pPr>
                  <w:r>
                    <w:rPr>
                      <w:rFonts w:hint="eastAsia"/>
                    </w:rPr>
                    <w:t>主要污染物</w:t>
                  </w:r>
                </w:p>
              </w:tc>
              <w:tc>
                <w:tcPr>
                  <w:tcW w:w="2306" w:type="pct"/>
                  <w:vAlign w:val="center"/>
                </w:tcPr>
                <w:p>
                  <w:pPr>
                    <w:pStyle w:val="33"/>
                  </w:pPr>
                  <w:r>
                    <w:rPr>
                      <w:rFonts w:hint="eastAsia"/>
                    </w:rPr>
                    <w:t>排放去向及治理措施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Align w:val="center"/>
                </w:tcPr>
                <w:p>
                  <w:pPr>
                    <w:pStyle w:val="33"/>
                  </w:pPr>
                  <w:r>
                    <w:rPr>
                      <w:rFonts w:hint="eastAsia"/>
                    </w:rPr>
                    <w:t>废气</w:t>
                  </w:r>
                </w:p>
              </w:tc>
              <w:tc>
                <w:tcPr>
                  <w:tcW w:w="1124" w:type="pct"/>
                  <w:vAlign w:val="center"/>
                </w:tcPr>
                <w:p>
                  <w:pPr>
                    <w:pStyle w:val="33"/>
                  </w:pPr>
                  <w:r>
                    <w:rPr>
                      <w:rFonts w:hint="eastAsia"/>
                      <w:lang w:val="en-US" w:eastAsia="zh-CN"/>
                    </w:rPr>
                    <w:t>锅炉</w:t>
                  </w:r>
                  <w:r>
                    <w:rPr>
                      <w:rFonts w:hint="eastAsia"/>
                    </w:rPr>
                    <w:t>燃烧</w:t>
                  </w:r>
                </w:p>
              </w:tc>
              <w:tc>
                <w:tcPr>
                  <w:tcW w:w="1055" w:type="pct"/>
                  <w:vAlign w:val="center"/>
                </w:tcPr>
                <w:p>
                  <w:pPr>
                    <w:pStyle w:val="33"/>
                  </w:pPr>
                  <w:r>
                    <w:rPr>
                      <w:rFonts w:hint="eastAsia"/>
                    </w:rPr>
                    <w:t>颗粒物、二氧化硫、氮氧化物</w:t>
                  </w:r>
                </w:p>
              </w:tc>
              <w:tc>
                <w:tcPr>
                  <w:tcW w:w="2306" w:type="pct"/>
                  <w:vAlign w:val="center"/>
                </w:tcPr>
                <w:p>
                  <w:pPr>
                    <w:pStyle w:val="33"/>
                  </w:pPr>
                  <w:r>
                    <w:rPr>
                      <w:rFonts w:hint="eastAsia"/>
                    </w:rPr>
                    <w:t>使用清洁能源天然气作为燃料，</w:t>
                  </w:r>
                  <w:r>
                    <w:rPr>
                      <w:rFonts w:hint="eastAsia"/>
                      <w:lang w:val="en-US" w:eastAsia="zh-CN"/>
                    </w:rPr>
                    <w:t>加装</w:t>
                  </w:r>
                  <w:r>
                    <w:rPr>
                      <w:rFonts w:hint="eastAsia"/>
                    </w:rPr>
                    <w:t>低氮燃烧器，</w:t>
                  </w:r>
                  <w:r>
                    <w:rPr>
                      <w:rFonts w:hint="eastAsia"/>
                      <w:lang w:val="en-US" w:eastAsia="zh-CN"/>
                    </w:rPr>
                    <w:t>锅炉</w:t>
                  </w:r>
                  <w:r>
                    <w:rPr>
                      <w:rFonts w:hint="eastAsia"/>
                      <w:highlight w:val="none"/>
                    </w:rPr>
                    <w:t>烟气通过</w:t>
                  </w:r>
                  <w:r>
                    <w:rPr>
                      <w:rFonts w:hint="eastAsia"/>
                      <w:highlight w:val="none"/>
                      <w:lang w:val="en-US" w:eastAsia="zh-CN"/>
                    </w:rPr>
                    <w:t>1根16</w:t>
                  </w:r>
                  <w:r>
                    <w:rPr>
                      <w:rFonts w:hint="eastAsia"/>
                      <w:highlight w:val="none"/>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vAlign w:val="center"/>
                </w:tcPr>
                <w:p>
                  <w:pPr>
                    <w:pStyle w:val="33"/>
                  </w:pPr>
                  <w:r>
                    <w:rPr>
                      <w:rFonts w:hint="eastAsia"/>
                    </w:rPr>
                    <w:t>废水</w:t>
                  </w:r>
                </w:p>
              </w:tc>
              <w:tc>
                <w:tcPr>
                  <w:tcW w:w="1124" w:type="pct"/>
                  <w:vAlign w:val="center"/>
                </w:tcPr>
                <w:p>
                  <w:pPr>
                    <w:pStyle w:val="33"/>
                  </w:pPr>
                  <w:r>
                    <w:rPr>
                      <w:rFonts w:hint="eastAsia"/>
                    </w:rPr>
                    <w:t>锅炉排水</w:t>
                  </w:r>
                </w:p>
              </w:tc>
              <w:tc>
                <w:tcPr>
                  <w:tcW w:w="1055" w:type="pct"/>
                  <w:vAlign w:val="center"/>
                </w:tcPr>
                <w:p>
                  <w:pPr>
                    <w:pStyle w:val="33"/>
                  </w:pPr>
                  <w:bookmarkStart w:id="9" w:name="OLE_LINK1"/>
                  <w:r>
                    <w:t>COD</w:t>
                  </w:r>
                  <w:bookmarkEnd w:id="9"/>
                </w:p>
              </w:tc>
              <w:tc>
                <w:tcPr>
                  <w:tcW w:w="2306" w:type="pct"/>
                  <w:vMerge w:val="restart"/>
                  <w:vAlign w:val="center"/>
                </w:tcPr>
                <w:p>
                  <w:pPr>
                    <w:pStyle w:val="33"/>
                    <w:rPr>
                      <w:rFonts w:hint="eastAsia"/>
                    </w:rPr>
                  </w:pPr>
                  <w:r>
                    <w:rPr>
                      <w:rFonts w:hint="eastAsia"/>
                      <w:kern w:val="0"/>
                      <w:szCs w:val="21"/>
                    </w:rPr>
                    <w:t>排入园区污水管网，进入园区污水处理厂进一步处置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vAlign w:val="center"/>
                </w:tcPr>
                <w:p>
                  <w:pPr>
                    <w:pStyle w:val="33"/>
                    <w:rPr>
                      <w:rFonts w:hint="eastAsia"/>
                    </w:rPr>
                  </w:pPr>
                </w:p>
              </w:tc>
              <w:tc>
                <w:tcPr>
                  <w:tcW w:w="1124" w:type="pct"/>
                  <w:vAlign w:val="center"/>
                </w:tcPr>
                <w:p>
                  <w:pPr>
                    <w:pStyle w:val="33"/>
                    <w:rPr>
                      <w:rFonts w:hint="default" w:eastAsia="宋体"/>
                      <w:lang w:val="en-US" w:eastAsia="zh-CN"/>
                    </w:rPr>
                  </w:pPr>
                  <w:r>
                    <w:rPr>
                      <w:rFonts w:hint="eastAsia"/>
                      <w:lang w:val="en-US" w:eastAsia="zh-CN"/>
                    </w:rPr>
                    <w:t>软化水装置</w:t>
                  </w:r>
                </w:p>
              </w:tc>
              <w:tc>
                <w:tcPr>
                  <w:tcW w:w="1055" w:type="pct"/>
                  <w:vAlign w:val="center"/>
                </w:tcPr>
                <w:p>
                  <w:pPr>
                    <w:pStyle w:val="33"/>
                    <w:rPr>
                      <w:rFonts w:hint="default" w:eastAsia="宋体"/>
                      <w:lang w:val="en-US" w:eastAsia="zh-CN"/>
                    </w:rPr>
                  </w:pPr>
                  <w:r>
                    <w:t>COD</w:t>
                  </w:r>
                  <w:r>
                    <w:rPr>
                      <w:rFonts w:hint="eastAsia"/>
                      <w:lang w:eastAsia="zh-CN"/>
                    </w:rPr>
                    <w:t>，</w:t>
                  </w:r>
                  <w:r>
                    <w:rPr>
                      <w:rFonts w:hint="eastAsia"/>
                      <w:lang w:val="en-US" w:eastAsia="zh-CN"/>
                    </w:rPr>
                    <w:t>钙镁离子</w:t>
                  </w:r>
                </w:p>
              </w:tc>
              <w:tc>
                <w:tcPr>
                  <w:tcW w:w="2306" w:type="pct"/>
                  <w:vMerge w:val="continue"/>
                  <w:vAlign w:val="center"/>
                </w:tcPr>
                <w:p>
                  <w:pPr>
                    <w:pStyle w:val="33"/>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14" w:type="pct"/>
                  <w:vAlign w:val="center"/>
                </w:tcPr>
                <w:p>
                  <w:pPr>
                    <w:pStyle w:val="33"/>
                  </w:pPr>
                  <w:r>
                    <w:rPr>
                      <w:rFonts w:hint="eastAsia"/>
                    </w:rPr>
                    <w:t>噪声</w:t>
                  </w:r>
                </w:p>
              </w:tc>
              <w:tc>
                <w:tcPr>
                  <w:tcW w:w="1124" w:type="pct"/>
                  <w:vAlign w:val="center"/>
                </w:tcPr>
                <w:p>
                  <w:pPr>
                    <w:pStyle w:val="33"/>
                  </w:pPr>
                  <w:r>
                    <w:rPr>
                      <w:rFonts w:hint="eastAsia"/>
                    </w:rPr>
                    <w:t>设备运行</w:t>
                  </w:r>
                </w:p>
              </w:tc>
              <w:tc>
                <w:tcPr>
                  <w:tcW w:w="1055" w:type="pct"/>
                  <w:vAlign w:val="center"/>
                </w:tcPr>
                <w:p>
                  <w:pPr>
                    <w:pStyle w:val="33"/>
                  </w:pPr>
                  <w:r>
                    <w:t>Leq(A)</w:t>
                  </w:r>
                </w:p>
              </w:tc>
              <w:tc>
                <w:tcPr>
                  <w:tcW w:w="2306" w:type="pct"/>
                  <w:vAlign w:val="center"/>
                </w:tcPr>
                <w:p>
                  <w:pPr>
                    <w:pStyle w:val="33"/>
                  </w:pPr>
                  <w:r>
                    <w:t>控制噪声源，</w:t>
                  </w:r>
                  <w:r>
                    <w:rPr>
                      <w:rFonts w:hint="eastAsia"/>
                    </w:rPr>
                    <w:t>基础减震、隔声</w:t>
                  </w:r>
                  <w:r>
                    <w:t>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Align w:val="center"/>
                </w:tcPr>
                <w:p>
                  <w:pPr>
                    <w:pStyle w:val="33"/>
                  </w:pPr>
                  <w:r>
                    <w:rPr>
                      <w:rFonts w:hint="eastAsia"/>
                    </w:rPr>
                    <w:t>固废</w:t>
                  </w:r>
                </w:p>
              </w:tc>
              <w:tc>
                <w:tcPr>
                  <w:tcW w:w="1124" w:type="pct"/>
                  <w:vAlign w:val="center"/>
                </w:tcPr>
                <w:p>
                  <w:pPr>
                    <w:pStyle w:val="33"/>
                    <w:rPr>
                      <w:rFonts w:hint="default" w:eastAsia="宋体"/>
                      <w:lang w:val="en-US" w:eastAsia="zh-CN"/>
                    </w:rPr>
                  </w:pPr>
                  <w:r>
                    <w:rPr>
                      <w:rFonts w:hint="eastAsia"/>
                      <w:lang w:val="en-US" w:eastAsia="zh-CN"/>
                    </w:rPr>
                    <w:t>纯净水制备系统</w:t>
                  </w:r>
                </w:p>
              </w:tc>
              <w:tc>
                <w:tcPr>
                  <w:tcW w:w="1055" w:type="pct"/>
                  <w:vAlign w:val="center"/>
                </w:tcPr>
                <w:p>
                  <w:pPr>
                    <w:pStyle w:val="33"/>
                    <w:rPr>
                      <w:rFonts w:hint="eastAsia" w:eastAsia="宋体"/>
                      <w:lang w:eastAsia="zh-CN"/>
                    </w:rPr>
                  </w:pPr>
                  <w:r>
                    <w:rPr>
                      <w:rFonts w:hint="eastAsia"/>
                      <w:lang w:val="en-US" w:eastAsia="zh-CN"/>
                    </w:rPr>
                    <w:t>离子交换树脂</w:t>
                  </w:r>
                </w:p>
              </w:tc>
              <w:tc>
                <w:tcPr>
                  <w:tcW w:w="2306" w:type="pct"/>
                  <w:vAlign w:val="center"/>
                </w:tcPr>
                <w:p>
                  <w:pPr>
                    <w:pStyle w:val="33"/>
                    <w:rPr>
                      <w:rFonts w:hint="default" w:eastAsia="宋体"/>
                      <w:lang w:val="en-US" w:eastAsia="zh-CN"/>
                    </w:rPr>
                  </w:pPr>
                  <w:r>
                    <w:rPr>
                      <w:rFonts w:hint="eastAsia"/>
                      <w:lang w:val="en-US" w:eastAsia="zh-CN"/>
                    </w:rPr>
                    <w:t>由厂家进行定期更换回收</w:t>
                  </w:r>
                </w:p>
              </w:tc>
            </w:tr>
          </w:tbl>
          <w:p>
            <w:pPr>
              <w:pStyle w:val="16"/>
              <w:ind w:left="0" w:leftChars="0" w:firstLine="0" w:firstLineChars="0"/>
              <w:jc w:val="both"/>
              <w:rPr>
                <w:rFonts w:hint="default"/>
                <w:lang w:val="en-US" w:eastAsia="zh-CN"/>
              </w:rPr>
            </w:pPr>
          </w:p>
        </w:tc>
        <w:tc>
          <w:tcPr>
            <w:tcW w:w="8547" w:type="dxa"/>
          </w:tcPr>
          <w:p>
            <w:pPr>
              <w:pStyle w:val="16"/>
              <w:ind w:left="0" w:leftChars="0" w:firstLine="0" w:firstLineChars="0"/>
              <w:jc w:val="both"/>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10" w:type="dxa"/>
            <w:vAlign w:val="center"/>
          </w:tcPr>
          <w:p>
            <w:pPr>
              <w:widowControl/>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与项目有关的原有环境污染问题</w:t>
            </w:r>
          </w:p>
        </w:tc>
        <w:tc>
          <w:tcPr>
            <w:tcW w:w="8547" w:type="dxa"/>
          </w:tcPr>
          <w:p>
            <w:pPr>
              <w:pStyle w:val="28"/>
              <w:ind w:left="0" w:leftChars="0" w:firstLine="0" w:firstLineChars="0"/>
              <w:rPr>
                <w:rFonts w:hint="default" w:ascii="Times New Roman" w:hAnsi="Times New Roman" w:eastAsia="宋体"/>
                <w:b/>
                <w:bCs/>
                <w:sz w:val="24"/>
                <w:szCs w:val="24"/>
                <w:highlight w:val="none"/>
                <w:lang w:val="en-US" w:eastAsia="zh-CN"/>
              </w:rPr>
            </w:pPr>
            <w:r>
              <w:rPr>
                <w:rFonts w:hint="eastAsia" w:ascii="Times New Roman" w:hAnsi="Times New Roman"/>
                <w:b/>
                <w:bCs/>
                <w:sz w:val="24"/>
                <w:szCs w:val="24"/>
                <w:highlight w:val="none"/>
                <w:lang w:val="en-US" w:eastAsia="zh-CN"/>
              </w:rPr>
              <w:t>2.11与项目有关的原有环境污染问题</w:t>
            </w:r>
          </w:p>
          <w:p>
            <w:pPr>
              <w:ind w:left="0" w:leftChars="0" w:firstLine="0" w:firstLineChars="0"/>
              <w:rPr>
                <w:rFonts w:hint="default" w:eastAsia="宋体"/>
                <w:b/>
                <w:bCs/>
                <w:highlight w:val="none"/>
                <w:lang w:val="en-US" w:eastAsia="zh-CN"/>
              </w:rPr>
            </w:pPr>
            <w:r>
              <w:rPr>
                <w:rFonts w:hint="eastAsia"/>
                <w:b/>
                <w:bCs/>
                <w:highlight w:val="none"/>
                <w:lang w:val="en-US" w:eastAsia="zh-CN"/>
              </w:rPr>
              <w:t>2.11.1现有工程环保手续履行情况</w:t>
            </w:r>
          </w:p>
          <w:p>
            <w:pPr>
              <w:bidi w:val="0"/>
              <w:rPr>
                <w:rFonts w:hint="eastAsia"/>
                <w:lang w:val="en-US" w:eastAsia="zh-CN"/>
              </w:rPr>
            </w:pPr>
            <w:bookmarkStart w:id="10" w:name="OLE_LINK7"/>
            <w:r>
              <w:rPr>
                <w:rFonts w:hint="eastAsia"/>
                <w:color w:val="auto"/>
                <w:lang w:eastAsia="zh-CN"/>
              </w:rPr>
              <w:t>巴州鸿源石油装备器材有限公司</w:t>
            </w:r>
            <w:r>
              <w:rPr>
                <w:rFonts w:hint="eastAsia"/>
                <w:color w:val="auto"/>
                <w:lang w:val="en-US" w:eastAsia="zh-CN"/>
              </w:rPr>
              <w:t>于2024年8月编制了《</w:t>
            </w:r>
            <w:r>
              <w:rPr>
                <w:rFonts w:hint="eastAsia"/>
                <w:color w:val="auto"/>
                <w:lang w:eastAsia="zh-CN"/>
              </w:rPr>
              <w:t>巴州鸿源石油装备器材有限公司</w:t>
            </w:r>
            <w:r>
              <w:rPr>
                <w:rFonts w:hint="eastAsia"/>
                <w:color w:val="auto"/>
                <w:lang w:val="en-US" w:eastAsia="zh-CN"/>
              </w:rPr>
              <w:t>油管修复技术改造</w:t>
            </w:r>
            <w:r>
              <w:rPr>
                <w:rFonts w:hint="eastAsia"/>
                <w:color w:val="auto"/>
                <w:lang w:eastAsia="zh-CN"/>
              </w:rPr>
              <w:t>项目</w:t>
            </w:r>
            <w:r>
              <w:rPr>
                <w:rFonts w:hint="eastAsia"/>
                <w:color w:val="auto"/>
                <w:lang w:val="en-US" w:eastAsia="zh-CN"/>
              </w:rPr>
              <w:t>环境影响评价报告表》，2024年9月4日取得《关于</w:t>
            </w:r>
            <w:r>
              <w:rPr>
                <w:rFonts w:hint="eastAsia"/>
                <w:color w:val="auto"/>
                <w:lang w:eastAsia="zh-CN"/>
              </w:rPr>
              <w:t>巴州鸿源石油装备器材有限公司</w:t>
            </w:r>
            <w:r>
              <w:rPr>
                <w:rFonts w:hint="eastAsia"/>
                <w:color w:val="auto"/>
                <w:lang w:val="en-US" w:eastAsia="zh-CN"/>
              </w:rPr>
              <w:t>油管修复技术改造</w:t>
            </w:r>
            <w:r>
              <w:rPr>
                <w:rFonts w:hint="eastAsia"/>
                <w:color w:val="auto"/>
                <w:lang w:eastAsia="zh-CN"/>
              </w:rPr>
              <w:t>项目</w:t>
            </w:r>
            <w:r>
              <w:rPr>
                <w:rFonts w:hint="eastAsia"/>
                <w:color w:val="auto"/>
                <w:lang w:val="en-US" w:eastAsia="zh-CN"/>
              </w:rPr>
              <w:t>的批复</w:t>
            </w:r>
            <w:r>
              <w:rPr>
                <w:rFonts w:hint="eastAsia"/>
                <w:color w:val="auto"/>
                <w:lang w:eastAsia="zh-CN"/>
              </w:rPr>
              <w:t>》（</w:t>
            </w:r>
            <w:r>
              <w:rPr>
                <w:rFonts w:hint="eastAsia"/>
                <w:color w:val="auto"/>
                <w:lang w:val="en-US" w:eastAsia="zh-CN"/>
              </w:rPr>
              <w:t>巴环评价函</w:t>
            </w:r>
            <w:r>
              <w:rPr>
                <w:rFonts w:hint="eastAsia"/>
                <w:lang w:val="en-US" w:eastAsia="zh-CN"/>
              </w:rPr>
              <w:t>〔2024〕</w:t>
            </w:r>
            <w:r>
              <w:rPr>
                <w:rFonts w:hint="eastAsia"/>
                <w:color w:val="auto"/>
                <w:lang w:val="en-US" w:eastAsia="zh-CN"/>
              </w:rPr>
              <w:t>205号），至今还未进行竣工环境保护验收。</w:t>
            </w:r>
          </w:p>
          <w:p>
            <w:pPr>
              <w:bidi w:val="0"/>
              <w:rPr>
                <w:rFonts w:hint="eastAsia" w:cs="Times New Roman"/>
                <w:lang w:val="en-US" w:eastAsia="zh-CN"/>
              </w:rPr>
            </w:pPr>
            <w:r>
              <w:rPr>
                <w:rFonts w:hint="eastAsia"/>
                <w:color w:val="auto"/>
                <w:lang w:eastAsia="zh-CN"/>
              </w:rPr>
              <w:t>巴州鸿源石油装备器材有限公司</w:t>
            </w:r>
            <w:r>
              <w:rPr>
                <w:rFonts w:hint="eastAsia" w:cs="Times New Roman"/>
                <w:lang w:val="en-US" w:eastAsia="zh-CN"/>
              </w:rPr>
              <w:t>已按排污许可管理规定进行排污许可登记，登记编号：91652822689579824T001Y，有效期为2020-11-26至2025-11-25。</w:t>
            </w:r>
          </w:p>
          <w:p>
            <w:pPr>
              <w:bidi w:val="0"/>
              <w:ind w:left="0" w:leftChars="0" w:firstLine="0" w:firstLineChars="0"/>
              <w:rPr>
                <w:rFonts w:hint="eastAsia" w:cs="Times New Roman"/>
                <w:lang w:val="en-US" w:eastAsia="zh-CN"/>
              </w:rPr>
            </w:pPr>
            <w:r>
              <w:rPr>
                <w:rFonts w:hint="eastAsia"/>
                <w:b/>
                <w:bCs/>
                <w:lang w:val="en-US" w:eastAsia="zh-CN"/>
              </w:rPr>
              <w:t>2.11.2现有工程污染物实际排放总量核算</w:t>
            </w:r>
          </w:p>
          <w:p>
            <w:pPr>
              <w:spacing w:line="360" w:lineRule="auto"/>
              <w:ind w:firstLine="480" w:firstLineChars="200"/>
              <w:rPr>
                <w:color w:val="000000"/>
                <w:sz w:val="24"/>
              </w:rPr>
            </w:pPr>
            <w:r>
              <w:rPr>
                <w:color w:val="000000"/>
                <w:sz w:val="24"/>
              </w:rPr>
              <w:t>根据《</w:t>
            </w:r>
            <w:r>
              <w:rPr>
                <w:rFonts w:hint="eastAsia"/>
                <w:color w:val="auto"/>
                <w:lang w:eastAsia="zh-CN"/>
              </w:rPr>
              <w:t>巴州鸿源石油装备器材有限公司</w:t>
            </w:r>
            <w:r>
              <w:rPr>
                <w:rFonts w:hint="eastAsia"/>
                <w:color w:val="auto"/>
                <w:lang w:val="en-US" w:eastAsia="zh-CN"/>
              </w:rPr>
              <w:t>油管修复技术改造</w:t>
            </w:r>
            <w:r>
              <w:rPr>
                <w:rFonts w:hint="eastAsia"/>
                <w:color w:val="auto"/>
                <w:lang w:eastAsia="zh-CN"/>
              </w:rPr>
              <w:t>项目</w:t>
            </w:r>
            <w:r>
              <w:rPr>
                <w:rFonts w:hint="eastAsia"/>
                <w:color w:val="auto"/>
                <w:lang w:val="en-US" w:eastAsia="zh-CN"/>
              </w:rPr>
              <w:t>环境影响评价报告表</w:t>
            </w:r>
            <w:r>
              <w:rPr>
                <w:color w:val="000000"/>
                <w:sz w:val="24"/>
              </w:rPr>
              <w:t>》</w:t>
            </w:r>
            <w:r>
              <w:rPr>
                <w:rFonts w:hint="eastAsia"/>
                <w:color w:val="000000"/>
                <w:sz w:val="24"/>
                <w:lang w:val="en-US" w:eastAsia="zh-CN"/>
              </w:rPr>
              <w:t>及其批复</w:t>
            </w:r>
            <w:r>
              <w:rPr>
                <w:color w:val="000000"/>
                <w:sz w:val="24"/>
              </w:rPr>
              <w:t>，与本项目有关的原有污染</w:t>
            </w:r>
            <w:r>
              <w:rPr>
                <w:rFonts w:hint="eastAsia"/>
                <w:color w:val="000000"/>
                <w:sz w:val="24"/>
                <w:lang w:val="en-US" w:eastAsia="zh-CN"/>
              </w:rPr>
              <w:t>物产生</w:t>
            </w:r>
            <w:r>
              <w:rPr>
                <w:color w:val="000000"/>
                <w:sz w:val="24"/>
              </w:rPr>
              <w:t>情况</w:t>
            </w:r>
            <w:r>
              <w:rPr>
                <w:rFonts w:hint="eastAsia"/>
                <w:color w:val="000000"/>
                <w:sz w:val="24"/>
              </w:rPr>
              <w:t>如下</w:t>
            </w:r>
            <w:r>
              <w:rPr>
                <w:color w:val="000000"/>
                <w:sz w:val="24"/>
              </w:rPr>
              <w:t>：</w:t>
            </w:r>
          </w:p>
          <w:p>
            <w:pPr>
              <w:pStyle w:val="5"/>
              <w:bidi w:val="0"/>
              <w:ind w:firstLine="482" w:firstLineChars="200"/>
              <w:rPr>
                <w:rFonts w:hint="default"/>
                <w:b/>
                <w:bCs/>
                <w:lang w:val="en-US" w:eastAsia="zh-CN"/>
              </w:rPr>
            </w:pPr>
            <w:r>
              <w:rPr>
                <w:b/>
                <w:bCs/>
                <w:color w:val="000000"/>
                <w:sz w:val="24"/>
              </w:rPr>
              <w:t>1</w:t>
            </w:r>
            <w:r>
              <w:rPr>
                <w:rFonts w:hint="eastAsia"/>
                <w:b/>
                <w:bCs/>
                <w:color w:val="000000"/>
                <w:sz w:val="24"/>
                <w:lang w:val="en-US" w:eastAsia="zh-CN"/>
              </w:rPr>
              <w:t>.</w:t>
            </w:r>
            <w:r>
              <w:rPr>
                <w:rFonts w:hint="eastAsia"/>
                <w:b/>
                <w:bCs/>
                <w:lang w:val="en-US" w:eastAsia="zh-CN"/>
              </w:rPr>
              <w:t>锅炉废气</w:t>
            </w:r>
          </w:p>
          <w:p>
            <w:pPr>
              <w:bidi w:val="0"/>
              <w:rPr>
                <w:rFonts w:hint="eastAsia"/>
                <w:lang w:val="en-US" w:eastAsia="zh-CN"/>
              </w:rPr>
            </w:pPr>
            <w:r>
              <w:rPr>
                <w:rFonts w:hint="eastAsia"/>
                <w:lang w:val="en-US" w:eastAsia="zh-CN"/>
              </w:rPr>
              <w:t>生产工艺（脱脂、磷化、水洗）用热由2台0.5t/h燃气蒸汽锅炉供给（1#清洗机1台，2#清洗机1台），加热至工序所需温度后低负荷保温运转，1台0.5t/h锅炉使用时长100h/a，耗气量约为4000Nm</w:t>
            </w:r>
            <w:r>
              <w:rPr>
                <w:rFonts w:hint="eastAsia"/>
                <w:vertAlign w:val="superscript"/>
                <w:lang w:val="en-US" w:eastAsia="zh-CN"/>
              </w:rPr>
              <w:t>3</w:t>
            </w:r>
            <w:r>
              <w:rPr>
                <w:rFonts w:hint="eastAsia"/>
                <w:lang w:val="en-US" w:eastAsia="zh-CN"/>
              </w:rPr>
              <w:t>/a；冬季办公楼、宿舍、食堂、门卫室采暖原计划采用1台1.4MW常压热水锅炉供给。</w:t>
            </w:r>
          </w:p>
          <w:p>
            <w:pPr>
              <w:bidi w:val="0"/>
              <w:rPr>
                <w:rFonts w:hint="default"/>
                <w:lang w:val="en-US" w:eastAsia="zh-CN"/>
              </w:rPr>
            </w:pPr>
            <w:r>
              <w:rPr>
                <w:rFonts w:hint="eastAsia"/>
                <w:lang w:val="en-US" w:eastAsia="zh-CN"/>
              </w:rPr>
              <w:t>燃气锅炉</w:t>
            </w:r>
            <w:r>
              <w:rPr>
                <w:rFonts w:hint="eastAsia"/>
              </w:rPr>
              <w:t>清洁能源天然气作为燃料</w:t>
            </w:r>
            <w:r>
              <w:rPr>
                <w:rFonts w:hint="eastAsia"/>
                <w:lang w:val="en-US" w:eastAsia="zh-CN"/>
              </w:rPr>
              <w:t>，加装低氮燃烧器，2台0.5t/h燃气蒸汽锅炉产生的燃料废气经11m高排气筒排放（周边200m范围内最高建筑物为本项目生产车间8m高），排气筒高度满足《锅炉大气污染物排放标准》（GB13271-2014）中“新建锅炉房的烟囱周围半径200m距离内有建筑物时，其烟囱应高出最高建筑物3m”要求。2台0.5t/h燃气蒸汽锅炉产生的污染物颗粒物0.88kg/a、二氧化硫1.6kg/a、氮氧化物2.424kg/a；1台1.4MW常压热水锅炉产生的污染物颗粒物55kg/a、二氧化硫100kg/a、氮氧化物150kg/a。</w:t>
            </w:r>
          </w:p>
          <w:p>
            <w:pPr>
              <w:spacing w:line="360" w:lineRule="auto"/>
              <w:ind w:firstLine="482" w:firstLineChars="200"/>
              <w:rPr>
                <w:b/>
                <w:color w:val="000000"/>
                <w:sz w:val="24"/>
                <w:highlight w:val="none"/>
              </w:rPr>
            </w:pPr>
            <w:r>
              <w:rPr>
                <w:b/>
                <w:color w:val="000000"/>
                <w:sz w:val="24"/>
                <w:highlight w:val="none"/>
              </w:rPr>
              <w:t>2</w:t>
            </w:r>
            <w:r>
              <w:rPr>
                <w:rFonts w:hint="eastAsia"/>
                <w:b/>
                <w:color w:val="000000"/>
                <w:sz w:val="24"/>
                <w:highlight w:val="none"/>
                <w:lang w:val="en-US" w:eastAsia="zh-CN"/>
              </w:rPr>
              <w:t>.</w:t>
            </w:r>
            <w:r>
              <w:rPr>
                <w:b/>
                <w:color w:val="000000"/>
                <w:sz w:val="24"/>
                <w:highlight w:val="none"/>
              </w:rPr>
              <w:t>废水</w:t>
            </w:r>
          </w:p>
          <w:p>
            <w:pPr>
              <w:numPr>
                <w:ilvl w:val="0"/>
                <w:numId w:val="1"/>
              </w:numPr>
              <w:spacing w:line="360" w:lineRule="auto"/>
              <w:ind w:firstLine="480" w:firstLineChars="200"/>
              <w:rPr>
                <w:rFonts w:hint="eastAsia"/>
                <w:highlight w:val="none"/>
                <w:lang w:val="en-US" w:eastAsia="zh-CN"/>
              </w:rPr>
            </w:pPr>
            <w:r>
              <w:rPr>
                <w:rFonts w:hint="eastAsia"/>
                <w:highlight w:val="none"/>
                <w:lang w:val="en-US" w:eastAsia="zh-CN"/>
              </w:rPr>
              <w:t>锅炉废水</w:t>
            </w:r>
          </w:p>
          <w:p>
            <w:pPr>
              <w:autoSpaceDE w:val="0"/>
              <w:autoSpaceDN w:val="0"/>
              <w:spacing w:line="360" w:lineRule="auto"/>
              <w:ind w:firstLine="480" w:firstLineChars="200"/>
              <w:rPr>
                <w:rFonts w:hint="default"/>
                <w:highlight w:val="none"/>
                <w:lang w:val="en-US"/>
              </w:rPr>
            </w:pPr>
            <w:r>
              <w:rPr>
                <w:rFonts w:hint="eastAsia"/>
                <w:lang w:val="en-US" w:eastAsia="zh-CN"/>
              </w:rPr>
              <w:t>2台0.5t/h燃气蒸汽锅炉（生产供热），1台1.4MW常压热水锅炉（冬季供暖）合计排放废水（软化水装置+锅炉排污水）共200t/a。</w:t>
            </w:r>
          </w:p>
          <w:p>
            <w:pPr>
              <w:spacing w:line="360" w:lineRule="auto"/>
              <w:ind w:firstLine="482" w:firstLineChars="200"/>
              <w:rPr>
                <w:b/>
                <w:color w:val="000000"/>
                <w:sz w:val="24"/>
                <w:highlight w:val="none"/>
              </w:rPr>
            </w:pPr>
            <w:r>
              <w:rPr>
                <w:b/>
                <w:color w:val="000000"/>
                <w:sz w:val="24"/>
                <w:highlight w:val="none"/>
              </w:rPr>
              <w:t>3</w:t>
            </w:r>
            <w:r>
              <w:rPr>
                <w:rFonts w:hint="eastAsia"/>
                <w:b/>
                <w:color w:val="000000"/>
                <w:sz w:val="24"/>
                <w:highlight w:val="none"/>
                <w:lang w:val="en-US" w:eastAsia="zh-CN"/>
              </w:rPr>
              <w:t>.</w:t>
            </w:r>
            <w:r>
              <w:rPr>
                <w:b/>
                <w:color w:val="000000"/>
                <w:sz w:val="24"/>
                <w:highlight w:val="none"/>
              </w:rPr>
              <w:t>噪声</w:t>
            </w:r>
          </w:p>
          <w:p>
            <w:pPr>
              <w:autoSpaceDE w:val="0"/>
              <w:autoSpaceDN w:val="0"/>
              <w:spacing w:line="360" w:lineRule="auto"/>
              <w:ind w:firstLine="480" w:firstLineChars="200"/>
              <w:rPr>
                <w:rFonts w:hint="default"/>
                <w:highlight w:val="none"/>
                <w:lang w:val="en-US" w:eastAsia="zh-CN"/>
              </w:rPr>
            </w:pPr>
            <w:r>
              <w:rPr>
                <w:rFonts w:hint="eastAsia"/>
                <w:highlight w:val="none"/>
              </w:rPr>
              <w:t>主要噪声源为</w:t>
            </w:r>
            <w:r>
              <w:rPr>
                <w:rFonts w:hint="eastAsia"/>
                <w:lang w:val="en-US" w:eastAsia="zh-CN"/>
              </w:rPr>
              <w:t>锅炉主机和循环泵</w:t>
            </w:r>
            <w:r>
              <w:rPr>
                <w:rFonts w:hint="eastAsia"/>
                <w:highlight w:val="none"/>
              </w:rPr>
              <w:t>产生噪声</w:t>
            </w:r>
            <w:r>
              <w:rPr>
                <w:rFonts w:hint="eastAsia"/>
                <w:highlight w:val="none"/>
                <w:lang w:eastAsia="zh-CN"/>
              </w:rPr>
              <w:t>，</w:t>
            </w:r>
            <w:r>
              <w:rPr>
                <w:rFonts w:hint="eastAsia"/>
                <w:highlight w:val="none"/>
              </w:rPr>
              <w:t>基础减振处理</w:t>
            </w:r>
            <w:r>
              <w:rPr>
                <w:rFonts w:hint="eastAsia"/>
                <w:highlight w:val="none"/>
                <w:lang w:eastAsia="zh-CN"/>
              </w:rPr>
              <w:t>，</w:t>
            </w:r>
            <w:r>
              <w:rPr>
                <w:rFonts w:hint="eastAsia"/>
                <w:highlight w:val="none"/>
                <w:lang w:val="en-US" w:eastAsia="zh-CN"/>
              </w:rPr>
              <w:t>厂房隔声</w:t>
            </w:r>
            <w:r>
              <w:rPr>
                <w:rFonts w:hint="eastAsia"/>
                <w:highlight w:val="none"/>
              </w:rPr>
              <w:t>和距离衰减</w:t>
            </w:r>
            <w:r>
              <w:rPr>
                <w:rFonts w:hint="eastAsia"/>
                <w:highlight w:val="none"/>
                <w:lang w:val="en-US" w:eastAsia="zh-CN"/>
              </w:rPr>
              <w:t>进行噪声污染控制。</w:t>
            </w:r>
          </w:p>
          <w:p>
            <w:pPr>
              <w:spacing w:line="360" w:lineRule="auto"/>
              <w:ind w:firstLine="482" w:firstLineChars="200"/>
              <w:rPr>
                <w:b/>
                <w:color w:val="000000"/>
                <w:sz w:val="24"/>
                <w:highlight w:val="none"/>
              </w:rPr>
            </w:pPr>
            <w:r>
              <w:rPr>
                <w:b/>
                <w:color w:val="000000"/>
                <w:sz w:val="24"/>
                <w:highlight w:val="none"/>
              </w:rPr>
              <w:t>4</w:t>
            </w:r>
            <w:r>
              <w:rPr>
                <w:rFonts w:hint="eastAsia"/>
                <w:b/>
                <w:color w:val="000000"/>
                <w:sz w:val="24"/>
                <w:highlight w:val="none"/>
                <w:lang w:val="en-US" w:eastAsia="zh-CN"/>
              </w:rPr>
              <w:t>.</w:t>
            </w:r>
            <w:r>
              <w:rPr>
                <w:b/>
                <w:color w:val="000000"/>
                <w:sz w:val="24"/>
                <w:highlight w:val="none"/>
              </w:rPr>
              <w:t>固废</w:t>
            </w:r>
          </w:p>
          <w:p>
            <w:pPr>
              <w:keepNext w:val="0"/>
              <w:keepLines w:val="0"/>
              <w:widowControl/>
              <w:suppressLineNumbers w:val="0"/>
              <w:jc w:val="left"/>
              <w:rPr>
                <w:highlight w:val="yellow"/>
              </w:rPr>
            </w:pPr>
            <w:r>
              <w:rPr>
                <w:rFonts w:hint="eastAsia"/>
                <w:lang w:val="en-US" w:eastAsia="zh-CN"/>
              </w:rPr>
              <w:t>锅炉</w:t>
            </w:r>
            <w:r>
              <w:rPr>
                <w:rFonts w:hint="default"/>
                <w:lang w:val="en-US" w:eastAsia="zh-CN"/>
              </w:rPr>
              <w:t>软化水</w:t>
            </w:r>
            <w:r>
              <w:rPr>
                <w:rFonts w:hint="default"/>
              </w:rPr>
              <w:t>装置</w:t>
            </w:r>
            <w:r>
              <w:rPr>
                <w:rFonts w:hint="eastAsia"/>
              </w:rPr>
              <w:t>产生</w:t>
            </w:r>
            <w:r>
              <w:rPr>
                <w:rFonts w:hint="eastAsia"/>
                <w:lang w:val="en-US" w:eastAsia="zh-CN"/>
              </w:rPr>
              <w:t>的离子交换树脂由厂家进行定期更换回收，不在厂区内贮存。</w:t>
            </w:r>
          </w:p>
          <w:p>
            <w:pPr>
              <w:spacing w:line="360" w:lineRule="auto"/>
              <w:ind w:firstLine="482" w:firstLineChars="200"/>
              <w:rPr>
                <w:b/>
                <w:color w:val="000000"/>
                <w:sz w:val="24"/>
                <w:highlight w:val="none"/>
              </w:rPr>
            </w:pPr>
            <w:r>
              <w:rPr>
                <w:b/>
                <w:color w:val="000000"/>
                <w:sz w:val="24"/>
                <w:highlight w:val="none"/>
              </w:rPr>
              <w:t>5</w:t>
            </w:r>
            <w:r>
              <w:rPr>
                <w:rFonts w:hint="eastAsia"/>
                <w:b/>
                <w:color w:val="000000"/>
                <w:sz w:val="24"/>
                <w:highlight w:val="none"/>
                <w:lang w:val="en-US" w:eastAsia="zh-CN"/>
              </w:rPr>
              <w:t>.</w:t>
            </w:r>
            <w:r>
              <w:rPr>
                <w:b/>
                <w:color w:val="000000"/>
                <w:sz w:val="24"/>
                <w:highlight w:val="none"/>
              </w:rPr>
              <w:t>总量控制指标</w:t>
            </w:r>
          </w:p>
          <w:p>
            <w:pPr>
              <w:spacing w:line="360" w:lineRule="auto"/>
              <w:ind w:firstLine="480" w:firstLineChars="200"/>
              <w:rPr>
                <w:rFonts w:hint="default"/>
                <w:color w:val="000000"/>
                <w:sz w:val="24"/>
                <w:lang w:val="en-US"/>
              </w:rPr>
            </w:pPr>
            <w:r>
              <w:rPr>
                <w:rFonts w:hint="eastAsia"/>
                <w:color w:val="auto"/>
                <w:lang w:val="en-US" w:eastAsia="zh-CN"/>
              </w:rPr>
              <w:t>《</w:t>
            </w:r>
            <w:r>
              <w:rPr>
                <w:rFonts w:hint="eastAsia"/>
                <w:color w:val="auto"/>
                <w:lang w:eastAsia="zh-CN"/>
              </w:rPr>
              <w:t>巴州鸿源石油装备器材有限公司</w:t>
            </w:r>
            <w:r>
              <w:rPr>
                <w:rFonts w:hint="eastAsia"/>
                <w:color w:val="auto"/>
                <w:lang w:val="en-US" w:eastAsia="zh-CN"/>
              </w:rPr>
              <w:t>油管修复技术改造</w:t>
            </w:r>
            <w:r>
              <w:rPr>
                <w:rFonts w:hint="eastAsia"/>
                <w:color w:val="auto"/>
                <w:lang w:eastAsia="zh-CN"/>
              </w:rPr>
              <w:t>项目</w:t>
            </w:r>
            <w:r>
              <w:rPr>
                <w:rFonts w:hint="eastAsia"/>
                <w:color w:val="auto"/>
                <w:lang w:val="en-US" w:eastAsia="zh-CN"/>
              </w:rPr>
              <w:t>环境影响评价报告表》</w:t>
            </w:r>
            <w:r>
              <w:rPr>
                <w:rFonts w:hint="eastAsia"/>
                <w:color w:val="000000"/>
                <w:sz w:val="24"/>
                <w:lang w:val="en-US" w:eastAsia="zh-CN"/>
              </w:rPr>
              <w:t>环评批复许可</w:t>
            </w:r>
            <w:r>
              <w:rPr>
                <w:rFonts w:hint="eastAsia"/>
                <w:color w:val="000000"/>
                <w:sz w:val="24"/>
              </w:rPr>
              <w:t>的</w:t>
            </w:r>
            <w:r>
              <w:rPr>
                <w:rFonts w:hint="eastAsia"/>
                <w:color w:val="auto"/>
                <w:lang w:val="en-US" w:eastAsia="zh-CN"/>
              </w:rPr>
              <w:t>总量控制建议指标：VOCs：0.55t/a</w:t>
            </w:r>
            <w:r>
              <w:rPr>
                <w:rFonts w:hint="eastAsia"/>
                <w:color w:val="auto"/>
                <w:lang w:eastAsia="zh-CN"/>
              </w:rPr>
              <w:t>，</w:t>
            </w:r>
            <w:r>
              <w:rPr>
                <w:rFonts w:hint="eastAsia"/>
                <w:color w:val="auto"/>
              </w:rPr>
              <w:t>NOx</w:t>
            </w:r>
            <w:r>
              <w:rPr>
                <w:rFonts w:hint="eastAsia"/>
                <w:color w:val="auto"/>
                <w:lang w:eastAsia="zh-CN"/>
              </w:rPr>
              <w:t>：</w:t>
            </w:r>
            <w:r>
              <w:rPr>
                <w:rFonts w:hint="eastAsia"/>
                <w:color w:val="auto"/>
                <w:lang w:val="en-US" w:eastAsia="zh-CN"/>
              </w:rPr>
              <w:t>0.15</w:t>
            </w:r>
            <w:r>
              <w:rPr>
                <w:rFonts w:hint="eastAsia"/>
                <w:color w:val="auto"/>
              </w:rPr>
              <w:t>t/a</w:t>
            </w:r>
            <w:r>
              <w:rPr>
                <w:rFonts w:hint="eastAsia"/>
                <w:color w:val="auto"/>
                <w:lang w:val="en-US" w:eastAsia="zh-CN"/>
              </w:rPr>
              <w:t>。</w:t>
            </w:r>
          </w:p>
          <w:bookmarkEnd w:id="10"/>
          <w:p>
            <w:pPr>
              <w:ind w:left="0" w:leftChars="0" w:firstLine="0" w:firstLineChars="0"/>
              <w:rPr>
                <w:rFonts w:hint="eastAsia"/>
              </w:rPr>
            </w:pPr>
            <w:r>
              <w:rPr>
                <w:rFonts w:hint="eastAsia" w:cs="Times New Roman"/>
                <w:b/>
                <w:bCs/>
                <w:kern w:val="2"/>
                <w:sz w:val="24"/>
                <w:szCs w:val="24"/>
                <w:highlight w:val="none"/>
                <w:lang w:val="en-US" w:eastAsia="zh-CN" w:bidi="ar-SA"/>
              </w:rPr>
              <w:t>2.11.3现有环境问题及整改措施</w:t>
            </w:r>
          </w:p>
          <w:p>
            <w:pPr>
              <w:pStyle w:val="28"/>
              <w:ind w:firstLine="500"/>
              <w:rPr>
                <w:rFonts w:ascii="Times New Roman" w:hAnsi="Times New Roman"/>
                <w:sz w:val="24"/>
                <w:szCs w:val="24"/>
              </w:rPr>
            </w:pPr>
            <w:r>
              <w:rPr>
                <w:rFonts w:hint="eastAsia"/>
                <w:sz w:val="24"/>
                <w:lang w:val="en-US" w:eastAsia="zh-CN"/>
              </w:rPr>
              <w:t>经查阅本项目相关环保资料以及现场踏勘，建议企业及时对</w:t>
            </w:r>
            <w:r>
              <w:rPr>
                <w:rFonts w:hint="eastAsia"/>
                <w:color w:val="auto"/>
                <w:lang w:val="en-US" w:eastAsia="zh-CN"/>
              </w:rPr>
              <w:t>《</w:t>
            </w:r>
            <w:r>
              <w:rPr>
                <w:rFonts w:hint="eastAsia"/>
                <w:color w:val="auto"/>
                <w:lang w:eastAsia="zh-CN"/>
              </w:rPr>
              <w:t>巴州鸿源石油装备器材有限公司</w:t>
            </w:r>
            <w:r>
              <w:rPr>
                <w:rFonts w:hint="eastAsia"/>
                <w:color w:val="auto"/>
                <w:lang w:val="en-US" w:eastAsia="zh-CN"/>
              </w:rPr>
              <w:t>油管修复技术改造</w:t>
            </w:r>
            <w:r>
              <w:rPr>
                <w:rFonts w:hint="eastAsia"/>
                <w:color w:val="auto"/>
                <w:lang w:eastAsia="zh-CN"/>
              </w:rPr>
              <w:t>项目</w:t>
            </w:r>
            <w:r>
              <w:rPr>
                <w:rFonts w:hint="eastAsia"/>
                <w:color w:val="auto"/>
                <w:lang w:val="en-US" w:eastAsia="zh-CN"/>
              </w:rPr>
              <w:t>》主体项目进行竣工环境保护验收，及时根据厂区实际排污情况进行变更、延续</w:t>
            </w:r>
            <w:r>
              <w:rPr>
                <w:rFonts w:hint="eastAsia" w:cs="Times New Roman"/>
                <w:lang w:val="en-US" w:eastAsia="zh-CN"/>
              </w:rPr>
              <w:t>排污许可登记信息</w:t>
            </w:r>
            <w:r>
              <w:rPr>
                <w:rFonts w:hint="eastAsia"/>
                <w:sz w:val="24"/>
                <w:lang w:val="en-US" w:eastAsia="zh-CN"/>
              </w:rPr>
              <w:t>。</w:t>
            </w:r>
          </w:p>
        </w:tc>
        <w:tc>
          <w:tcPr>
            <w:tcW w:w="8547" w:type="dxa"/>
          </w:tcPr>
          <w:p>
            <w:pPr>
              <w:pStyle w:val="28"/>
              <w:ind w:firstLine="500"/>
              <w:rPr>
                <w:rFonts w:hint="eastAsia"/>
                <w:sz w:val="24"/>
                <w:lang w:val="en-US" w:eastAsia="zh-CN"/>
              </w:rPr>
            </w:pPr>
          </w:p>
        </w:tc>
      </w:tr>
    </w:tbl>
    <w:p>
      <w:pPr>
        <w:ind w:firstLine="480"/>
        <w:rPr>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三、区域环境质量现状、环境保护目标及评价标准</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2"/>
        <w:gridCol w:w="87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7" w:hRule="atLeast"/>
          <w:jc w:val="center"/>
        </w:trPr>
        <w:tc>
          <w:tcPr>
            <w:tcW w:w="308" w:type="pct"/>
            <w:vAlign w:val="center"/>
          </w:tcPr>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区域环境质量现状</w:t>
            </w:r>
          </w:p>
        </w:tc>
        <w:tc>
          <w:tcPr>
            <w:tcW w:w="4691" w:type="pct"/>
            <w:vAlign w:val="center"/>
          </w:tcPr>
          <w:p>
            <w:pPr>
              <w:pStyle w:val="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环境空气质量评价</w:t>
            </w:r>
          </w:p>
          <w:p>
            <w:pPr>
              <w:pStyle w:val="5"/>
              <w:rPr>
                <w:rFonts w:hint="default" w:eastAsia="宋体"/>
                <w:lang w:val="en-US" w:eastAsia="zh-CN"/>
              </w:rPr>
            </w:pPr>
            <w:r>
              <w:rPr>
                <w:rFonts w:hint="eastAsia"/>
                <w:color w:val="000000" w:themeColor="text1"/>
                <w:lang w:val="en-US" w:eastAsia="zh-CN"/>
                <w14:textFill>
                  <w14:solidFill>
                    <w14:schemeClr w14:val="tx1"/>
                  </w14:solidFill>
                </w14:textFill>
              </w:rPr>
              <w:t>3.1.1</w:t>
            </w:r>
            <w:r>
              <w:rPr>
                <w:rFonts w:hint="eastAsia"/>
              </w:rPr>
              <w:t>基本污染物环境质量现状评价</w:t>
            </w:r>
          </w:p>
          <w:p>
            <w:pPr>
              <w:ind w:firstLine="480"/>
            </w:pPr>
            <w:r>
              <w:rPr>
                <w:rFonts w:hint="eastAsia"/>
              </w:rPr>
              <w:t>根据《202</w:t>
            </w:r>
            <w:r>
              <w:rPr>
                <w:rFonts w:hint="eastAsia"/>
                <w:lang w:val="en-US" w:eastAsia="zh-CN"/>
              </w:rPr>
              <w:t>4</w:t>
            </w:r>
            <w:r>
              <w:rPr>
                <w:rFonts w:hint="eastAsia"/>
              </w:rPr>
              <w:t>巴音郭楞蒙古自治州生态环境状况公报》，2024年，全州空气质量综合指数为5.22，同比下降7.9%，空气质量明显好于2023年。全州平均优良天数比例为62%，同比增加15.7%，PM</w:t>
            </w:r>
            <w:r>
              <w:rPr>
                <w:rFonts w:hint="eastAsia"/>
                <w:vertAlign w:val="subscript"/>
              </w:rPr>
              <w:t>10</w:t>
            </w:r>
            <w:r>
              <w:rPr>
                <w:rFonts w:hint="eastAsia"/>
              </w:rPr>
              <w:t>为首要污染物，未出现PM</w:t>
            </w:r>
            <w:r>
              <w:rPr>
                <w:rFonts w:hint="eastAsia"/>
                <w:vertAlign w:val="subscript"/>
              </w:rPr>
              <w:t>2.5</w:t>
            </w:r>
            <w:r>
              <w:rPr>
                <w:rFonts w:hint="eastAsia"/>
              </w:rPr>
              <w:t>、O</w:t>
            </w:r>
            <w:r>
              <w:rPr>
                <w:rFonts w:hint="eastAsia"/>
                <w:vertAlign w:val="subscript"/>
              </w:rPr>
              <w:t>3</w:t>
            </w:r>
            <w:r>
              <w:rPr>
                <w:rFonts w:hint="eastAsia"/>
              </w:rPr>
              <w:t>-8</w:t>
            </w:r>
            <w:r>
              <w:rPr>
                <w:rFonts w:hint="eastAsia"/>
                <w:lang w:val="en-US" w:eastAsia="zh-CN"/>
              </w:rPr>
              <w:t>h</w:t>
            </w:r>
            <w:r>
              <w:rPr>
                <w:rFonts w:hint="eastAsia"/>
              </w:rPr>
              <w:t>、SO</w:t>
            </w:r>
            <w:r>
              <w:rPr>
                <w:rFonts w:hint="eastAsia"/>
                <w:vertAlign w:val="subscript"/>
              </w:rPr>
              <w:t>2</w:t>
            </w:r>
            <w:r>
              <w:rPr>
                <w:rFonts w:hint="eastAsia"/>
              </w:rPr>
              <w:t>、NO</w:t>
            </w:r>
            <w:r>
              <w:rPr>
                <w:rFonts w:hint="eastAsia"/>
                <w:vertAlign w:val="subscript"/>
              </w:rPr>
              <w:t>2</w:t>
            </w:r>
            <w:r>
              <w:rPr>
                <w:rFonts w:hint="eastAsia"/>
              </w:rPr>
              <w:t>、CO为首要污染物的超标天。2024年，库尔勒市降水pH值范围为7.5~8.4，未监测到酸雨。2024年，全州八县一市年均降尘量为22.63t/</w:t>
            </w:r>
            <w:r>
              <w:rPr>
                <w:rFonts w:hint="eastAsia"/>
                <w:lang w:val="en-US" w:eastAsia="zh-CN"/>
              </w:rPr>
              <w:t>(</w:t>
            </w:r>
            <w:r>
              <w:rPr>
                <w:rFonts w:hint="eastAsia"/>
              </w:rPr>
              <w:t>km</w:t>
            </w:r>
            <w:r>
              <w:rPr>
                <w:rFonts w:hint="eastAsia"/>
                <w:vertAlign w:val="superscript"/>
              </w:rPr>
              <w:t>2</w:t>
            </w:r>
            <w:r>
              <w:rPr>
                <w:rFonts w:hint="eastAsia"/>
              </w:rPr>
              <w:t>·月</w:t>
            </w:r>
            <w:r>
              <w:rPr>
                <w:rFonts w:hint="eastAsia"/>
                <w:lang w:val="en-US" w:eastAsia="zh-CN"/>
              </w:rPr>
              <w:t>)</w:t>
            </w:r>
            <w:r>
              <w:rPr>
                <w:rFonts w:hint="eastAsia"/>
              </w:rPr>
              <w:t>。</w:t>
            </w:r>
          </w:p>
          <w:p>
            <w:pPr>
              <w:ind w:firstLine="480"/>
              <w:rPr>
                <w:rFonts w:hint="eastAsia"/>
              </w:rPr>
            </w:pPr>
            <w:r>
              <w:rPr>
                <w:rFonts w:hint="eastAsia"/>
              </w:rPr>
              <w:t>项目所在区域SO</w:t>
            </w:r>
            <w:r>
              <w:rPr>
                <w:rFonts w:hint="eastAsia"/>
                <w:vertAlign w:val="subscript"/>
              </w:rPr>
              <w:t>2</w:t>
            </w:r>
            <w:r>
              <w:rPr>
                <w:rFonts w:hint="eastAsia"/>
              </w:rPr>
              <w:t>、NO</w:t>
            </w:r>
            <w:r>
              <w:rPr>
                <w:rFonts w:hint="eastAsia"/>
                <w:vertAlign w:val="subscript"/>
              </w:rPr>
              <w:t>2</w:t>
            </w:r>
            <w:r>
              <w:rPr>
                <w:rFonts w:hint="eastAsia"/>
              </w:rPr>
              <w:t>、CO和O</w:t>
            </w:r>
            <w:r>
              <w:rPr>
                <w:rFonts w:hint="eastAsia"/>
                <w:vertAlign w:val="subscript"/>
              </w:rPr>
              <w:t>3</w:t>
            </w:r>
            <w:r>
              <w:rPr>
                <w:rFonts w:hint="eastAsia"/>
              </w:rPr>
              <w:t>、PM</w:t>
            </w:r>
            <w:r>
              <w:rPr>
                <w:rFonts w:hint="eastAsia"/>
                <w:vertAlign w:val="subscript"/>
              </w:rPr>
              <w:t>2.5</w:t>
            </w:r>
            <w:r>
              <w:rPr>
                <w:rFonts w:hint="eastAsia"/>
              </w:rPr>
              <w:t>均浓度均满足《环境空气质量标准》（GB3095-2012）的二级标准要求；受沙尘天气影响PM</w:t>
            </w:r>
            <w:r>
              <w:rPr>
                <w:rFonts w:hint="eastAsia"/>
                <w:vertAlign w:val="subscript"/>
              </w:rPr>
              <w:t>10</w:t>
            </w:r>
            <w:r>
              <w:rPr>
                <w:rFonts w:hint="eastAsia"/>
              </w:rPr>
              <w:t>年均值浓度超过《环境空气质量标准》（GB3095-2012）的二级标准要求，本项目所在区域为非达标区域。对于环境空气质量不达标区域需提交《大气环境不达标区域削减方案》，根据关于将巴音郭楞蒙古自治州吐鲁番市哈密市纳入执行《环境影响评价技术导则大气环境（HJ2.2-2018）》差别化政策范围的复函（环办环评函</w:t>
            </w:r>
            <w:r>
              <w:t>〔</w:t>
            </w:r>
            <w:r>
              <w:rPr>
                <w:rFonts w:hint="eastAsia"/>
              </w:rPr>
              <w:t>2020</w:t>
            </w:r>
            <w:r>
              <w:t>〕</w:t>
            </w:r>
            <w:r>
              <w:rPr>
                <w:rFonts w:hint="eastAsia"/>
              </w:rPr>
              <w:t>341号），本地区新建项目可不提供颗粒物区域削减方案。</w:t>
            </w:r>
          </w:p>
          <w:p>
            <w:pPr>
              <w:pStyle w:val="5"/>
            </w:pPr>
            <w:r>
              <w:rPr>
                <w:rFonts w:hint="eastAsia"/>
                <w:lang w:val="en-US" w:eastAsia="zh-CN"/>
              </w:rPr>
              <w:t>3.1.2</w:t>
            </w:r>
            <w:r>
              <w:rPr>
                <w:rFonts w:hint="eastAsia"/>
              </w:rPr>
              <w:t>其他污染物质量现状评价</w:t>
            </w:r>
          </w:p>
          <w:p>
            <w:pPr>
              <w:ind w:firstLine="480"/>
              <w:textAlignment w:val="auto"/>
              <w:rPr>
                <w:rFonts w:cs="Times New Roman"/>
              </w:rPr>
            </w:pPr>
            <w:r>
              <w:rPr>
                <w:rFonts w:hint="eastAsia" w:cs="Times New Roman"/>
              </w:rPr>
              <w:t>（</w:t>
            </w:r>
            <w:r>
              <w:rPr>
                <w:rFonts w:cs="Times New Roman"/>
              </w:rPr>
              <w:t>1</w:t>
            </w:r>
            <w:r>
              <w:rPr>
                <w:rFonts w:hint="eastAsia" w:cs="Times New Roman"/>
              </w:rPr>
              <w:t>）监测布点</w:t>
            </w:r>
          </w:p>
          <w:p>
            <w:pPr>
              <w:adjustRightInd w:val="0"/>
              <w:snapToGrid w:val="0"/>
              <w:ind w:firstLine="480"/>
              <w:rPr>
                <w:rFonts w:cs="Times New Roman"/>
                <w:color w:val="000000"/>
              </w:rPr>
            </w:pPr>
            <w:r>
              <w:rPr>
                <w:rFonts w:hint="eastAsia"/>
                <w:bCs/>
                <w:kern w:val="0"/>
                <w:szCs w:val="24"/>
                <w:lang w:val="en-US" w:eastAsia="zh-CN"/>
              </w:rPr>
              <w:t>根据</w:t>
            </w:r>
            <w:r>
              <w:rPr>
                <w:bCs/>
                <w:kern w:val="0"/>
                <w:szCs w:val="24"/>
              </w:rPr>
              <w:t>《建设项目环境影响报告表编制技术指南（污染影响类）（试行）》中监测点设置要求，结合评价区域的地形特征、环境空气保护目标和区域环境特征进行布点</w:t>
            </w:r>
            <w:r>
              <w:rPr>
                <w:rFonts w:hint="eastAsia"/>
                <w:bCs/>
                <w:kern w:val="0"/>
                <w:szCs w:val="24"/>
                <w:lang w:eastAsia="zh-CN"/>
              </w:rPr>
              <w:t>。</w:t>
            </w:r>
            <w:r>
              <w:rPr>
                <w:rFonts w:hint="eastAsia"/>
                <w:bCs/>
                <w:kern w:val="0"/>
                <w:szCs w:val="24"/>
              </w:rPr>
              <w:t>排放国家、地方环境空气质量标准中有标准限值要求的特征污染物时，引用建设项目周边5千米范围内近3年的现有监测数据</w:t>
            </w:r>
            <w:r>
              <w:rPr>
                <w:rFonts w:hint="eastAsia"/>
                <w:bCs/>
                <w:kern w:val="0"/>
                <w:szCs w:val="24"/>
                <w:lang w:eastAsia="zh-CN"/>
              </w:rPr>
              <w:t>。</w:t>
            </w:r>
            <w:r>
              <w:rPr>
                <w:rFonts w:hint="eastAsia"/>
                <w:color w:val="000000"/>
              </w:rPr>
              <w:t>本项目引用《</w:t>
            </w:r>
            <w:r>
              <w:rPr>
                <w:rFonts w:hint="eastAsia"/>
                <w:color w:val="000000"/>
                <w:lang w:val="en-US" w:eastAsia="zh-CN"/>
              </w:rPr>
              <w:t>丝路夏新（新疆）纺织科技有限公司</w:t>
            </w:r>
            <w:r>
              <w:rPr>
                <w:rFonts w:hint="eastAsia"/>
                <w:color w:val="000000"/>
              </w:rPr>
              <w:t>》</w:t>
            </w:r>
            <w:r>
              <w:rPr>
                <w:rFonts w:hint="eastAsia"/>
                <w:color w:val="000000"/>
                <w:lang w:val="en-US" w:eastAsia="zh-CN"/>
              </w:rPr>
              <w:t>环境空气</w:t>
            </w:r>
            <w:r>
              <w:rPr>
                <w:rFonts w:hint="eastAsia"/>
                <w:color w:val="000000"/>
              </w:rPr>
              <w:t>现状监测数据</w:t>
            </w:r>
            <w:r>
              <w:rPr>
                <w:rFonts w:cs="Times New Roman"/>
                <w:color w:val="000000"/>
              </w:rPr>
              <w:t>。</w:t>
            </w:r>
          </w:p>
          <w:p>
            <w:pPr>
              <w:pStyle w:val="34"/>
              <w:bidi w:val="0"/>
            </w:pPr>
            <w:r>
              <w:rPr>
                <w:rFonts w:hint="eastAsia"/>
              </w:rPr>
              <w:t>表</w:t>
            </w:r>
            <w:r>
              <w:t>3-</w:t>
            </w:r>
            <w:r>
              <w:rPr>
                <w:rFonts w:hint="eastAsia"/>
                <w:lang w:val="en-US" w:eastAsia="zh-CN"/>
              </w:rPr>
              <w:t>1</w:t>
            </w:r>
            <w:r>
              <w:t xml:space="preserve">  </w:t>
            </w:r>
            <w:r>
              <w:rPr>
                <w:rFonts w:hint="eastAsia"/>
              </w:rPr>
              <w:t>特征污染物监测点位基本信息</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1"/>
              <w:gridCol w:w="1047"/>
              <w:gridCol w:w="1777"/>
              <w:gridCol w:w="1277"/>
              <w:gridCol w:w="1511"/>
              <w:gridCol w:w="13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68" w:type="pct"/>
                  <w:vAlign w:val="center"/>
                </w:tcPr>
                <w:p>
                  <w:pPr>
                    <w:spacing w:line="240" w:lineRule="auto"/>
                    <w:ind w:firstLine="0" w:firstLineChars="0"/>
                    <w:contextualSpacing/>
                    <w:jc w:val="center"/>
                    <w:rPr>
                      <w:color w:val="000000"/>
                      <w:sz w:val="21"/>
                    </w:rPr>
                  </w:pPr>
                  <w:r>
                    <w:rPr>
                      <w:rFonts w:hint="eastAsia"/>
                      <w:color w:val="000000"/>
                      <w:sz w:val="21"/>
                    </w:rPr>
                    <w:t>监测点名称</w:t>
                  </w:r>
                </w:p>
              </w:tc>
              <w:tc>
                <w:tcPr>
                  <w:tcW w:w="618" w:type="pct"/>
                  <w:vAlign w:val="center"/>
                </w:tcPr>
                <w:p>
                  <w:pPr>
                    <w:spacing w:line="240" w:lineRule="auto"/>
                    <w:ind w:firstLine="0" w:firstLineChars="0"/>
                    <w:contextualSpacing/>
                    <w:jc w:val="center"/>
                    <w:rPr>
                      <w:color w:val="000000"/>
                      <w:sz w:val="21"/>
                    </w:rPr>
                  </w:pPr>
                  <w:r>
                    <w:rPr>
                      <w:rFonts w:hint="eastAsia"/>
                      <w:color w:val="000000"/>
                      <w:sz w:val="21"/>
                    </w:rPr>
                    <w:t>监测因子</w:t>
                  </w:r>
                </w:p>
              </w:tc>
              <w:tc>
                <w:tcPr>
                  <w:tcW w:w="1049" w:type="pct"/>
                  <w:vAlign w:val="center"/>
                </w:tcPr>
                <w:p>
                  <w:pPr>
                    <w:spacing w:line="240" w:lineRule="auto"/>
                    <w:ind w:firstLine="0" w:firstLineChars="0"/>
                    <w:contextualSpacing/>
                    <w:jc w:val="center"/>
                    <w:rPr>
                      <w:color w:val="000000"/>
                      <w:sz w:val="21"/>
                    </w:rPr>
                  </w:pPr>
                  <w:r>
                    <w:rPr>
                      <w:rFonts w:hint="eastAsia"/>
                      <w:color w:val="000000"/>
                      <w:sz w:val="21"/>
                    </w:rPr>
                    <w:t>监测时段</w:t>
                  </w:r>
                </w:p>
              </w:tc>
              <w:tc>
                <w:tcPr>
                  <w:tcW w:w="754" w:type="pct"/>
                  <w:vAlign w:val="center"/>
                </w:tcPr>
                <w:p>
                  <w:pPr>
                    <w:spacing w:line="240" w:lineRule="auto"/>
                    <w:ind w:firstLine="0" w:firstLineChars="0"/>
                    <w:contextualSpacing/>
                    <w:jc w:val="center"/>
                    <w:rPr>
                      <w:color w:val="000000"/>
                      <w:sz w:val="21"/>
                    </w:rPr>
                  </w:pPr>
                  <w:r>
                    <w:rPr>
                      <w:rFonts w:hint="eastAsia"/>
                      <w:color w:val="000000"/>
                      <w:sz w:val="21"/>
                    </w:rPr>
                    <w:t>相对方位</w:t>
                  </w:r>
                </w:p>
              </w:tc>
              <w:tc>
                <w:tcPr>
                  <w:tcW w:w="892" w:type="pct"/>
                  <w:vAlign w:val="center"/>
                </w:tcPr>
                <w:p>
                  <w:pPr>
                    <w:spacing w:line="240" w:lineRule="auto"/>
                    <w:ind w:firstLine="0" w:firstLineChars="0"/>
                    <w:contextualSpacing/>
                    <w:jc w:val="center"/>
                    <w:rPr>
                      <w:color w:val="000000"/>
                      <w:sz w:val="21"/>
                    </w:rPr>
                  </w:pPr>
                  <w:r>
                    <w:rPr>
                      <w:rFonts w:hint="eastAsia"/>
                      <w:color w:val="000000"/>
                      <w:sz w:val="21"/>
                    </w:rPr>
                    <w:t>相对距离</w:t>
                  </w:r>
                  <w:r>
                    <w:rPr>
                      <w:color w:val="000000"/>
                      <w:sz w:val="21"/>
                    </w:rPr>
                    <w:t>/m</w:t>
                  </w:r>
                </w:p>
              </w:tc>
              <w:tc>
                <w:tcPr>
                  <w:tcW w:w="817" w:type="pct"/>
                  <w:vAlign w:val="center"/>
                </w:tcPr>
                <w:p>
                  <w:pPr>
                    <w:spacing w:line="240" w:lineRule="auto"/>
                    <w:ind w:firstLine="0" w:firstLineChars="0"/>
                    <w:contextualSpacing/>
                    <w:jc w:val="center"/>
                    <w:rPr>
                      <w:color w:val="000000"/>
                      <w:sz w:val="21"/>
                    </w:rPr>
                  </w:pPr>
                  <w:r>
                    <w:rPr>
                      <w:rFonts w:hint="eastAsia"/>
                      <w:color w:val="000000"/>
                      <w:sz w:val="21"/>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67" w:hRule="atLeast"/>
              </w:trPr>
              <w:tc>
                <w:tcPr>
                  <w:tcW w:w="868" w:type="pct"/>
                  <w:vAlign w:val="center"/>
                </w:tcPr>
                <w:p>
                  <w:pPr>
                    <w:spacing w:line="240" w:lineRule="auto"/>
                    <w:ind w:firstLine="0" w:firstLineChars="0"/>
                    <w:contextualSpacing/>
                    <w:jc w:val="center"/>
                    <w:rPr>
                      <w:rFonts w:hint="eastAsia" w:eastAsia="宋体"/>
                      <w:color w:val="000000"/>
                      <w:sz w:val="21"/>
                      <w:lang w:eastAsia="zh-CN"/>
                    </w:rPr>
                  </w:pPr>
                  <w:r>
                    <w:rPr>
                      <w:rFonts w:hint="eastAsia"/>
                      <w:color w:val="000000"/>
                      <w:sz w:val="21"/>
                      <w:lang w:val="en-US" w:eastAsia="zh-CN"/>
                    </w:rPr>
                    <w:t>厂址</w:t>
                  </w:r>
                </w:p>
              </w:tc>
              <w:tc>
                <w:tcPr>
                  <w:tcW w:w="618" w:type="pct"/>
                  <w:vAlign w:val="center"/>
                </w:tcPr>
                <w:p>
                  <w:pPr>
                    <w:spacing w:line="240" w:lineRule="auto"/>
                    <w:ind w:firstLine="0" w:firstLineChars="0"/>
                    <w:contextualSpacing/>
                    <w:jc w:val="center"/>
                    <w:rPr>
                      <w:color w:val="000000"/>
                      <w:sz w:val="21"/>
                    </w:rPr>
                  </w:pPr>
                  <w:r>
                    <w:rPr>
                      <w:color w:val="000000"/>
                      <w:sz w:val="21"/>
                    </w:rPr>
                    <w:t>TSP</w:t>
                  </w:r>
                </w:p>
              </w:tc>
              <w:tc>
                <w:tcPr>
                  <w:tcW w:w="1049" w:type="pct"/>
                  <w:vAlign w:val="center"/>
                </w:tcPr>
                <w:p>
                  <w:pPr>
                    <w:spacing w:line="240" w:lineRule="auto"/>
                    <w:ind w:firstLine="0" w:firstLineChars="0"/>
                    <w:contextualSpacing/>
                    <w:jc w:val="center"/>
                    <w:rPr>
                      <w:color w:val="000000"/>
                      <w:sz w:val="21"/>
                    </w:rPr>
                  </w:pPr>
                  <w:r>
                    <w:rPr>
                      <w:color w:val="000000"/>
                      <w:sz w:val="21"/>
                    </w:rPr>
                    <w:t>00:00-24:00</w:t>
                  </w:r>
                </w:p>
              </w:tc>
              <w:tc>
                <w:tcPr>
                  <w:tcW w:w="754" w:type="pct"/>
                  <w:vAlign w:val="center"/>
                </w:tcPr>
                <w:p>
                  <w:pPr>
                    <w:spacing w:line="240" w:lineRule="auto"/>
                    <w:ind w:firstLine="0" w:firstLineChars="0"/>
                    <w:contextualSpacing/>
                    <w:jc w:val="center"/>
                    <w:rPr>
                      <w:color w:val="000000"/>
                      <w:sz w:val="21"/>
                    </w:rPr>
                  </w:pPr>
                  <w:r>
                    <w:rPr>
                      <w:rFonts w:hint="eastAsia"/>
                      <w:color w:val="000000"/>
                      <w:sz w:val="21"/>
                    </w:rPr>
                    <w:t>东</w:t>
                  </w:r>
                  <w:r>
                    <w:rPr>
                      <w:rFonts w:hint="eastAsia"/>
                      <w:color w:val="000000"/>
                      <w:sz w:val="21"/>
                      <w:lang w:val="en-US" w:eastAsia="zh-CN"/>
                    </w:rPr>
                    <w:t>北</w:t>
                  </w:r>
                  <w:r>
                    <w:rPr>
                      <w:rFonts w:hint="eastAsia"/>
                      <w:color w:val="000000"/>
                      <w:sz w:val="21"/>
                    </w:rPr>
                    <w:t>侧</w:t>
                  </w:r>
                </w:p>
              </w:tc>
              <w:tc>
                <w:tcPr>
                  <w:tcW w:w="892" w:type="pct"/>
                  <w:vAlign w:val="center"/>
                </w:tcPr>
                <w:p>
                  <w:pPr>
                    <w:spacing w:line="240" w:lineRule="auto"/>
                    <w:ind w:firstLine="0" w:firstLineChars="0"/>
                    <w:contextualSpacing/>
                    <w:jc w:val="center"/>
                    <w:rPr>
                      <w:rFonts w:hint="default" w:eastAsia="宋体"/>
                      <w:color w:val="000000"/>
                      <w:sz w:val="21"/>
                      <w:lang w:val="en-US" w:eastAsia="zh-CN"/>
                    </w:rPr>
                  </w:pPr>
                  <w:r>
                    <w:rPr>
                      <w:rFonts w:hint="eastAsia"/>
                      <w:color w:val="000000"/>
                      <w:sz w:val="21"/>
                      <w:lang w:val="en-US" w:eastAsia="zh-CN"/>
                    </w:rPr>
                    <w:t>1990m</w:t>
                  </w:r>
                </w:p>
              </w:tc>
              <w:tc>
                <w:tcPr>
                  <w:tcW w:w="817" w:type="pct"/>
                  <w:vAlign w:val="center"/>
                </w:tcPr>
                <w:p>
                  <w:pPr>
                    <w:spacing w:line="240" w:lineRule="auto"/>
                    <w:ind w:firstLine="0" w:firstLineChars="0"/>
                    <w:contextualSpacing/>
                    <w:jc w:val="center"/>
                    <w:rPr>
                      <w:rFonts w:hint="eastAsia" w:eastAsia="宋体"/>
                      <w:color w:val="000000"/>
                      <w:sz w:val="21"/>
                      <w:lang w:eastAsia="zh-CN"/>
                    </w:rPr>
                  </w:pPr>
                  <w:r>
                    <w:rPr>
                      <w:rFonts w:hint="eastAsia"/>
                      <w:color w:val="000000"/>
                      <w:sz w:val="21"/>
                      <w:lang w:val="en-US" w:eastAsia="zh-CN"/>
                    </w:rPr>
                    <w:t>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67" w:hRule="atLeast"/>
              </w:trPr>
              <w:tc>
                <w:tcPr>
                  <w:tcW w:w="868" w:type="pct"/>
                  <w:vAlign w:val="center"/>
                </w:tcPr>
                <w:p>
                  <w:pPr>
                    <w:spacing w:line="240" w:lineRule="auto"/>
                    <w:ind w:firstLine="0" w:firstLineChars="0"/>
                    <w:contextualSpacing/>
                    <w:jc w:val="center"/>
                    <w:rPr>
                      <w:rFonts w:hint="default"/>
                      <w:color w:val="000000"/>
                      <w:sz w:val="21"/>
                      <w:lang w:val="en-US"/>
                    </w:rPr>
                  </w:pPr>
                  <w:r>
                    <w:rPr>
                      <w:rFonts w:hint="eastAsia"/>
                      <w:color w:val="000000"/>
                      <w:sz w:val="21"/>
                      <w:lang w:val="en-US" w:eastAsia="zh-CN"/>
                    </w:rPr>
                    <w:t>厂址下风向</w:t>
                  </w:r>
                </w:p>
              </w:tc>
              <w:tc>
                <w:tcPr>
                  <w:tcW w:w="618" w:type="pct"/>
                  <w:vAlign w:val="center"/>
                </w:tcPr>
                <w:p>
                  <w:pPr>
                    <w:spacing w:line="240" w:lineRule="auto"/>
                    <w:ind w:firstLine="0" w:firstLineChars="0"/>
                    <w:contextualSpacing/>
                    <w:jc w:val="center"/>
                    <w:rPr>
                      <w:color w:val="000000"/>
                      <w:sz w:val="21"/>
                    </w:rPr>
                  </w:pPr>
                  <w:r>
                    <w:rPr>
                      <w:color w:val="000000"/>
                      <w:sz w:val="21"/>
                    </w:rPr>
                    <w:t>TSP</w:t>
                  </w:r>
                </w:p>
              </w:tc>
              <w:tc>
                <w:tcPr>
                  <w:tcW w:w="1049" w:type="pct"/>
                  <w:vAlign w:val="center"/>
                </w:tcPr>
                <w:p>
                  <w:pPr>
                    <w:spacing w:line="240" w:lineRule="auto"/>
                    <w:ind w:firstLine="0" w:firstLineChars="0"/>
                    <w:contextualSpacing/>
                    <w:jc w:val="center"/>
                    <w:rPr>
                      <w:color w:val="000000"/>
                      <w:sz w:val="21"/>
                    </w:rPr>
                  </w:pPr>
                  <w:r>
                    <w:rPr>
                      <w:color w:val="000000"/>
                      <w:sz w:val="21"/>
                    </w:rPr>
                    <w:t>00:00-24:00</w:t>
                  </w:r>
                </w:p>
              </w:tc>
              <w:tc>
                <w:tcPr>
                  <w:tcW w:w="754" w:type="pct"/>
                  <w:vAlign w:val="center"/>
                </w:tcPr>
                <w:p>
                  <w:pPr>
                    <w:spacing w:line="240" w:lineRule="auto"/>
                    <w:ind w:firstLine="0" w:firstLineChars="0"/>
                    <w:contextualSpacing/>
                    <w:jc w:val="center"/>
                    <w:rPr>
                      <w:rFonts w:hint="eastAsia"/>
                      <w:color w:val="000000"/>
                      <w:sz w:val="21"/>
                    </w:rPr>
                  </w:pPr>
                  <w:r>
                    <w:rPr>
                      <w:rFonts w:hint="eastAsia"/>
                      <w:color w:val="000000"/>
                      <w:sz w:val="21"/>
                    </w:rPr>
                    <w:t>东</w:t>
                  </w:r>
                  <w:r>
                    <w:rPr>
                      <w:rFonts w:hint="eastAsia"/>
                      <w:color w:val="000000"/>
                      <w:sz w:val="21"/>
                      <w:lang w:val="en-US" w:eastAsia="zh-CN"/>
                    </w:rPr>
                    <w:t>北</w:t>
                  </w:r>
                  <w:r>
                    <w:rPr>
                      <w:rFonts w:hint="eastAsia"/>
                      <w:color w:val="000000"/>
                      <w:sz w:val="21"/>
                    </w:rPr>
                    <w:t>侧</w:t>
                  </w:r>
                </w:p>
              </w:tc>
              <w:tc>
                <w:tcPr>
                  <w:tcW w:w="892" w:type="pct"/>
                  <w:vAlign w:val="center"/>
                </w:tcPr>
                <w:p>
                  <w:pPr>
                    <w:spacing w:line="240" w:lineRule="auto"/>
                    <w:ind w:firstLine="0" w:firstLineChars="0"/>
                    <w:contextualSpacing/>
                    <w:jc w:val="center"/>
                    <w:rPr>
                      <w:rFonts w:hint="eastAsia"/>
                      <w:color w:val="000000"/>
                      <w:sz w:val="21"/>
                      <w:lang w:val="en-US" w:eastAsia="zh-CN"/>
                    </w:rPr>
                  </w:pPr>
                  <w:r>
                    <w:rPr>
                      <w:rFonts w:hint="eastAsia"/>
                      <w:color w:val="000000"/>
                      <w:sz w:val="21"/>
                      <w:lang w:val="en-US" w:eastAsia="zh-CN"/>
                    </w:rPr>
                    <w:t>1680m</w:t>
                  </w:r>
                </w:p>
              </w:tc>
              <w:tc>
                <w:tcPr>
                  <w:tcW w:w="817" w:type="pct"/>
                  <w:vAlign w:val="center"/>
                </w:tcPr>
                <w:p>
                  <w:pPr>
                    <w:spacing w:line="240" w:lineRule="auto"/>
                    <w:ind w:firstLine="0" w:firstLineChars="0"/>
                    <w:contextualSpacing/>
                    <w:jc w:val="center"/>
                    <w:rPr>
                      <w:rFonts w:hint="eastAsia"/>
                      <w:color w:val="000000"/>
                      <w:sz w:val="21"/>
                      <w:lang w:val="en-US" w:eastAsia="zh-CN"/>
                    </w:rPr>
                  </w:pPr>
                  <w:r>
                    <w:rPr>
                      <w:rFonts w:hint="eastAsia"/>
                      <w:color w:val="000000"/>
                      <w:sz w:val="21"/>
                      <w:lang w:val="en-US" w:eastAsia="zh-CN"/>
                    </w:rPr>
                    <w:t>引用</w:t>
                  </w:r>
                </w:p>
              </w:tc>
            </w:tr>
          </w:tbl>
          <w:p>
            <w:pPr>
              <w:ind w:firstLine="480"/>
              <w:textAlignment w:val="auto"/>
              <w:rPr>
                <w:rFonts w:cs="Times New Roman"/>
              </w:rPr>
            </w:pPr>
            <w:r>
              <w:rPr>
                <w:rFonts w:hint="eastAsia" w:cs="Times New Roman"/>
              </w:rPr>
              <w:t>（</w:t>
            </w:r>
            <w:r>
              <w:rPr>
                <w:rFonts w:cs="Times New Roman"/>
              </w:rPr>
              <w:t>2</w:t>
            </w:r>
            <w:r>
              <w:rPr>
                <w:rFonts w:hint="eastAsia" w:cs="Times New Roman"/>
              </w:rPr>
              <w:t>）监测时间及频率</w:t>
            </w:r>
          </w:p>
          <w:p>
            <w:pPr>
              <w:ind w:firstLine="480"/>
              <w:rPr>
                <w:rFonts w:hint="eastAsia"/>
                <w:color w:val="000000"/>
              </w:rPr>
            </w:pPr>
            <w:r>
              <w:rPr>
                <w:rFonts w:hint="eastAsia"/>
                <w:color w:val="000000"/>
              </w:rPr>
              <w:t>监测时间：</w:t>
            </w:r>
            <w:r>
              <w:rPr>
                <w:color w:val="000000"/>
              </w:rPr>
              <w:t>202</w:t>
            </w:r>
            <w:r>
              <w:rPr>
                <w:rFonts w:hint="eastAsia"/>
                <w:color w:val="000000"/>
                <w:lang w:val="en-US" w:eastAsia="zh-CN"/>
              </w:rPr>
              <w:t>5</w:t>
            </w:r>
            <w:r>
              <w:rPr>
                <w:rFonts w:hint="eastAsia"/>
                <w:color w:val="000000"/>
              </w:rPr>
              <w:t>年</w:t>
            </w:r>
            <w:r>
              <w:rPr>
                <w:rFonts w:hint="eastAsia"/>
                <w:color w:val="000000"/>
                <w:lang w:val="en-US" w:eastAsia="zh-CN"/>
              </w:rPr>
              <w:t>6</w:t>
            </w:r>
            <w:r>
              <w:rPr>
                <w:rFonts w:hint="eastAsia"/>
                <w:color w:val="000000"/>
              </w:rPr>
              <w:t>月</w:t>
            </w:r>
            <w:r>
              <w:rPr>
                <w:rFonts w:hint="eastAsia"/>
                <w:color w:val="000000"/>
                <w:lang w:val="en-US" w:eastAsia="zh-CN"/>
              </w:rPr>
              <w:t>17</w:t>
            </w:r>
            <w:r>
              <w:rPr>
                <w:rFonts w:hint="eastAsia"/>
                <w:color w:val="000000"/>
              </w:rPr>
              <w:t>日</w:t>
            </w:r>
            <w:r>
              <w:rPr>
                <w:color w:val="000000"/>
              </w:rPr>
              <w:t>~</w:t>
            </w:r>
            <w:r>
              <w:rPr>
                <w:rFonts w:hint="eastAsia"/>
                <w:color w:val="000000"/>
                <w:lang w:val="en-US" w:eastAsia="zh-CN"/>
              </w:rPr>
              <w:t>2025年6月20</w:t>
            </w:r>
            <w:r>
              <w:rPr>
                <w:rFonts w:hint="eastAsia"/>
                <w:color w:val="000000"/>
              </w:rPr>
              <w:t>日，连续采样监测</w:t>
            </w:r>
            <w:r>
              <w:rPr>
                <w:color w:val="000000"/>
              </w:rPr>
              <w:t>3</w:t>
            </w:r>
            <w:r>
              <w:rPr>
                <w:rFonts w:hint="eastAsia"/>
                <w:color w:val="000000"/>
              </w:rPr>
              <w:t>天，由</w:t>
            </w:r>
            <w:r>
              <w:rPr>
                <w:rFonts w:hint="eastAsia"/>
                <w:color w:val="000000"/>
                <w:lang w:val="en-US" w:eastAsia="zh-CN"/>
              </w:rPr>
              <w:t>新疆中测测试有限公司</w:t>
            </w:r>
            <w:r>
              <w:rPr>
                <w:rFonts w:hint="eastAsia"/>
                <w:color w:val="000000"/>
              </w:rPr>
              <w:t>完成</w:t>
            </w:r>
            <w:r>
              <w:rPr>
                <w:rFonts w:hint="eastAsia"/>
                <w:color w:val="000000"/>
                <w:lang w:eastAsia="zh-CN"/>
              </w:rPr>
              <w:t>，</w:t>
            </w:r>
            <w:r>
              <w:rPr>
                <w:rFonts w:hint="eastAsia"/>
                <w:color w:val="auto"/>
              </w:rPr>
              <w:t>采样</w:t>
            </w:r>
            <w:r>
              <w:rPr>
                <w:color w:val="auto"/>
              </w:rPr>
              <w:t>要求按照《环境空气质量标准》(GB3095-2012)及《</w:t>
            </w:r>
            <w:r>
              <w:rPr>
                <w:rFonts w:hint="eastAsia"/>
                <w:color w:val="auto"/>
              </w:rPr>
              <w:t>大气</w:t>
            </w:r>
            <w:r>
              <w:rPr>
                <w:color w:val="auto"/>
              </w:rPr>
              <w:t>环境监测技术规范》及相关要求执行</w:t>
            </w:r>
            <w:r>
              <w:rPr>
                <w:rFonts w:hint="eastAsia"/>
                <w:color w:val="000000"/>
              </w:rPr>
              <w:t>。</w:t>
            </w:r>
          </w:p>
          <w:p>
            <w:pPr>
              <w:bidi w:val="0"/>
              <w:rPr>
                <w:rFonts w:hint="eastAsia"/>
              </w:rPr>
            </w:pPr>
            <w:r>
              <w:t>TSP</w:t>
            </w:r>
            <w:r>
              <w:rPr>
                <w:rFonts w:hint="eastAsia"/>
              </w:rPr>
              <w:t>每日监测</w:t>
            </w:r>
            <w:r>
              <w:t>1</w:t>
            </w:r>
            <w:r>
              <w:rPr>
                <w:rFonts w:hint="eastAsia"/>
              </w:rPr>
              <w:t>次日均值。</w:t>
            </w:r>
          </w:p>
          <w:p>
            <w:pPr>
              <w:bidi w:val="0"/>
              <w:rPr>
                <w:color w:val="auto"/>
              </w:rPr>
            </w:pPr>
            <w:r>
              <w:rPr>
                <w:color w:val="auto"/>
              </w:rPr>
              <w:t>（</w:t>
            </w:r>
            <w:r>
              <w:rPr>
                <w:rFonts w:hint="eastAsia"/>
                <w:color w:val="auto"/>
                <w:lang w:val="en-US" w:eastAsia="zh-CN"/>
              </w:rPr>
              <w:t>3</w:t>
            </w:r>
            <w:r>
              <w:rPr>
                <w:color w:val="auto"/>
              </w:rPr>
              <w:t>）评价方法</w:t>
            </w:r>
          </w:p>
          <w:p>
            <w:pPr>
              <w:bidi w:val="0"/>
              <w:rPr>
                <w:color w:val="auto"/>
              </w:rPr>
            </w:pPr>
            <w:r>
              <w:rPr>
                <w:color w:val="auto"/>
              </w:rPr>
              <w:t>采用最大占标百分比，计算公式如下：</w:t>
            </w:r>
          </w:p>
          <w:p>
            <w:pPr>
              <w:bidi w:val="0"/>
              <w:ind w:firstLine="1200" w:firstLineChars="500"/>
              <w:rPr>
                <w:rFonts w:hint="default" w:eastAsia="宋体"/>
                <w:color w:val="auto"/>
                <w:lang w:val="en-US" w:eastAsia="zh-CN"/>
              </w:rPr>
            </w:pPr>
            <w:r>
              <w:rPr>
                <w:color w:val="auto"/>
              </w:rPr>
              <w:t>Pi=Ci/Coi</w:t>
            </w:r>
            <w:r>
              <w:rPr>
                <w:rFonts w:hint="eastAsia"/>
                <w:color w:val="auto"/>
                <w:lang w:val="en-US" w:eastAsia="zh-CN"/>
              </w:rPr>
              <w:t>×100%</w:t>
            </w:r>
          </w:p>
          <w:p>
            <w:pPr>
              <w:bidi w:val="0"/>
              <w:rPr>
                <w:color w:val="auto"/>
              </w:rPr>
            </w:pPr>
            <w:r>
              <w:rPr>
                <w:color w:val="auto"/>
              </w:rPr>
              <w:t>式中：Pi——i评价因子最大浓度占标率；</w:t>
            </w:r>
          </w:p>
          <w:p>
            <w:pPr>
              <w:bidi w:val="0"/>
              <w:ind w:firstLine="1200" w:firstLineChars="500"/>
              <w:rPr>
                <w:color w:val="auto"/>
              </w:rPr>
            </w:pPr>
            <w:r>
              <w:rPr>
                <w:color w:val="auto"/>
              </w:rPr>
              <w:t>Ci——i评价因子的最大监测浓度（mg/m</w:t>
            </w:r>
            <w:r>
              <w:rPr>
                <w:color w:val="auto"/>
                <w:vertAlign w:val="superscript"/>
              </w:rPr>
              <w:t>3</w:t>
            </w:r>
            <w:r>
              <w:rPr>
                <w:color w:val="auto"/>
              </w:rPr>
              <w:t>）；</w:t>
            </w:r>
          </w:p>
          <w:p>
            <w:pPr>
              <w:ind w:firstLine="1200" w:firstLineChars="500"/>
              <w:rPr>
                <w:rFonts w:hint="eastAsia" w:eastAsia="宋体"/>
                <w:color w:val="000000"/>
                <w:lang w:eastAsia="zh-CN"/>
              </w:rPr>
            </w:pPr>
            <w:r>
              <w:rPr>
                <w:color w:val="auto"/>
              </w:rPr>
              <w:t>Coi——i评价因子的评价标准（mg/m</w:t>
            </w:r>
            <w:r>
              <w:rPr>
                <w:color w:val="auto"/>
                <w:vertAlign w:val="superscript"/>
              </w:rPr>
              <w:t>3</w:t>
            </w:r>
            <w:r>
              <w:rPr>
                <w:color w:val="auto"/>
              </w:rPr>
              <w:t>）</w:t>
            </w:r>
            <w:r>
              <w:rPr>
                <w:rFonts w:hint="eastAsia"/>
                <w:color w:val="auto"/>
                <w:lang w:eastAsia="zh-CN"/>
              </w:rPr>
              <w:t>。</w:t>
            </w:r>
          </w:p>
          <w:p>
            <w:pPr>
              <w:ind w:firstLine="480"/>
              <w:rPr>
                <w:color w:val="000000"/>
              </w:rPr>
            </w:pPr>
            <w:r>
              <w:rPr>
                <w:rFonts w:hint="eastAsia"/>
                <w:color w:val="000000"/>
              </w:rPr>
              <w:t>（</w:t>
            </w:r>
            <w:r>
              <w:rPr>
                <w:rFonts w:hint="eastAsia"/>
                <w:color w:val="000000"/>
                <w:lang w:val="en-US" w:eastAsia="zh-CN"/>
              </w:rPr>
              <w:t>4</w:t>
            </w:r>
            <w:r>
              <w:rPr>
                <w:rFonts w:hint="eastAsia"/>
                <w:color w:val="000000"/>
              </w:rPr>
              <w:t>）监测结果及评价</w:t>
            </w:r>
          </w:p>
          <w:p>
            <w:pPr>
              <w:ind w:firstLine="480"/>
              <w:textAlignment w:val="auto"/>
              <w:rPr>
                <w:rFonts w:cs="Times New Roman"/>
              </w:rPr>
            </w:pPr>
            <w:r>
              <w:rPr>
                <w:rFonts w:hint="eastAsia"/>
                <w:color w:val="000000"/>
              </w:rPr>
              <w:t>特征污染物环境质量现状监测结果见表</w:t>
            </w:r>
            <w:r>
              <w:rPr>
                <w:color w:val="000000"/>
              </w:rPr>
              <w:t>3-</w:t>
            </w:r>
            <w:r>
              <w:rPr>
                <w:rFonts w:hint="eastAsia"/>
                <w:color w:val="000000"/>
                <w:lang w:val="en-US" w:eastAsia="zh-CN"/>
              </w:rPr>
              <w:t>2</w:t>
            </w:r>
            <w:r>
              <w:rPr>
                <w:rFonts w:hint="eastAsia" w:cs="Times New Roman"/>
              </w:rPr>
              <w:t>。</w:t>
            </w:r>
          </w:p>
          <w:p>
            <w:pPr>
              <w:spacing w:before="163" w:beforeLines="50" w:line="240" w:lineRule="auto"/>
              <w:ind w:firstLine="0" w:firstLineChars="0"/>
              <w:jc w:val="center"/>
              <w:rPr>
                <w:rFonts w:hint="eastAsia" w:ascii="Times New Roman" w:hAnsi="Times New Roman" w:eastAsia="宋体" w:cstheme="minorBidi"/>
                <w:b/>
                <w:bCs/>
                <w:kern w:val="28"/>
                <w:sz w:val="24"/>
                <w:szCs w:val="32"/>
                <w:lang w:val="en-US" w:eastAsia="zh-CN" w:bidi="ar-SA"/>
              </w:rPr>
            </w:pPr>
            <w:r>
              <w:rPr>
                <w:rFonts w:hint="eastAsia" w:ascii="Times New Roman" w:hAnsi="Times New Roman" w:eastAsia="宋体" w:cstheme="minorBidi"/>
                <w:b/>
                <w:bCs/>
                <w:kern w:val="28"/>
                <w:sz w:val="24"/>
                <w:szCs w:val="32"/>
                <w:lang w:val="en-US" w:eastAsia="zh-CN" w:bidi="ar-SA"/>
              </w:rPr>
              <w:t>表3-2  特征污染物环境质量现状监测结果</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2"/>
              <w:gridCol w:w="916"/>
              <w:gridCol w:w="917"/>
              <w:gridCol w:w="1450"/>
              <w:gridCol w:w="1308"/>
              <w:gridCol w:w="1187"/>
              <w:gridCol w:w="1024"/>
              <w:gridCol w:w="7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38" w:type="pct"/>
                  <w:vAlign w:val="center"/>
                </w:tcPr>
                <w:p>
                  <w:pPr>
                    <w:spacing w:line="240" w:lineRule="auto"/>
                    <w:ind w:firstLine="0" w:firstLineChars="0"/>
                    <w:contextualSpacing/>
                    <w:jc w:val="center"/>
                    <w:rPr>
                      <w:color w:val="000000"/>
                      <w:sz w:val="21"/>
                    </w:rPr>
                  </w:pPr>
                  <w:r>
                    <w:rPr>
                      <w:rFonts w:hint="eastAsia"/>
                      <w:color w:val="000000"/>
                      <w:sz w:val="21"/>
                    </w:rPr>
                    <w:t>监测</w:t>
                  </w:r>
                </w:p>
                <w:p>
                  <w:pPr>
                    <w:spacing w:line="240" w:lineRule="auto"/>
                    <w:ind w:firstLine="0" w:firstLineChars="0"/>
                    <w:contextualSpacing/>
                    <w:jc w:val="center"/>
                    <w:rPr>
                      <w:color w:val="000000"/>
                      <w:sz w:val="21"/>
                    </w:rPr>
                  </w:pPr>
                  <w:r>
                    <w:rPr>
                      <w:rFonts w:hint="eastAsia"/>
                      <w:color w:val="000000"/>
                      <w:sz w:val="21"/>
                    </w:rPr>
                    <w:t>点位</w:t>
                  </w:r>
                </w:p>
              </w:tc>
              <w:tc>
                <w:tcPr>
                  <w:tcW w:w="540" w:type="pct"/>
                  <w:vAlign w:val="center"/>
                </w:tcPr>
                <w:p>
                  <w:pPr>
                    <w:spacing w:line="240" w:lineRule="auto"/>
                    <w:ind w:firstLine="0" w:firstLineChars="0"/>
                    <w:contextualSpacing/>
                    <w:jc w:val="center"/>
                    <w:rPr>
                      <w:color w:val="000000"/>
                      <w:sz w:val="21"/>
                    </w:rPr>
                  </w:pPr>
                  <w:r>
                    <w:rPr>
                      <w:rFonts w:hint="eastAsia"/>
                      <w:color w:val="000000"/>
                      <w:sz w:val="21"/>
                    </w:rPr>
                    <w:t>污染物</w:t>
                  </w:r>
                </w:p>
              </w:tc>
              <w:tc>
                <w:tcPr>
                  <w:tcW w:w="541" w:type="pct"/>
                  <w:vAlign w:val="center"/>
                </w:tcPr>
                <w:p>
                  <w:pPr>
                    <w:spacing w:line="240" w:lineRule="auto"/>
                    <w:ind w:firstLine="0" w:firstLineChars="0"/>
                    <w:contextualSpacing/>
                    <w:jc w:val="center"/>
                    <w:rPr>
                      <w:rFonts w:hint="eastAsia" w:eastAsia="宋体"/>
                      <w:color w:val="000000"/>
                      <w:sz w:val="21"/>
                      <w:lang w:eastAsia="zh-CN"/>
                    </w:rPr>
                  </w:pPr>
                  <w:r>
                    <w:rPr>
                      <w:rFonts w:hint="eastAsia"/>
                      <w:color w:val="000000"/>
                      <w:sz w:val="21"/>
                      <w:lang w:val="en-US" w:eastAsia="zh-CN"/>
                    </w:rPr>
                    <w:t>平均时间</w:t>
                  </w:r>
                </w:p>
              </w:tc>
              <w:tc>
                <w:tcPr>
                  <w:tcW w:w="856" w:type="pct"/>
                  <w:vAlign w:val="center"/>
                </w:tcPr>
                <w:p>
                  <w:pPr>
                    <w:spacing w:line="240" w:lineRule="auto"/>
                    <w:ind w:firstLine="0" w:firstLineChars="0"/>
                    <w:contextualSpacing/>
                    <w:jc w:val="center"/>
                    <w:rPr>
                      <w:color w:val="000000"/>
                      <w:sz w:val="21"/>
                    </w:rPr>
                  </w:pPr>
                  <w:r>
                    <w:rPr>
                      <w:rFonts w:hint="eastAsia"/>
                      <w:color w:val="000000"/>
                      <w:sz w:val="21"/>
                    </w:rPr>
                    <w:t>评价标准（</w:t>
                  </w:r>
                  <w:r>
                    <w:rPr>
                      <w:rFonts w:hint="eastAsia"/>
                      <w:color w:val="000000"/>
                      <w:sz w:val="21"/>
                      <w:lang w:val="en-US" w:eastAsia="zh-CN"/>
                    </w:rPr>
                    <w:t>m</w:t>
                  </w:r>
                  <w:r>
                    <w:rPr>
                      <w:color w:val="000000"/>
                      <w:sz w:val="21"/>
                    </w:rPr>
                    <w:t>g/m</w:t>
                  </w:r>
                  <w:r>
                    <w:rPr>
                      <w:color w:val="000000"/>
                      <w:sz w:val="21"/>
                      <w:vertAlign w:val="superscript"/>
                    </w:rPr>
                    <w:t>3</w:t>
                  </w:r>
                  <w:r>
                    <w:rPr>
                      <w:rFonts w:hint="eastAsia"/>
                      <w:color w:val="000000"/>
                      <w:sz w:val="21"/>
                    </w:rPr>
                    <w:t>）</w:t>
                  </w:r>
                </w:p>
              </w:tc>
              <w:tc>
                <w:tcPr>
                  <w:tcW w:w="772" w:type="pct"/>
                  <w:vAlign w:val="center"/>
                </w:tcPr>
                <w:p>
                  <w:pPr>
                    <w:spacing w:line="240" w:lineRule="auto"/>
                    <w:ind w:firstLine="0" w:firstLineChars="0"/>
                    <w:contextualSpacing/>
                    <w:jc w:val="center"/>
                    <w:rPr>
                      <w:color w:val="000000"/>
                      <w:sz w:val="21"/>
                    </w:rPr>
                  </w:pPr>
                  <w:r>
                    <w:rPr>
                      <w:rFonts w:hint="eastAsia"/>
                      <w:color w:val="000000"/>
                      <w:sz w:val="21"/>
                    </w:rPr>
                    <w:t>监测浓度（</w:t>
                  </w:r>
                  <w:r>
                    <w:rPr>
                      <w:rFonts w:hint="eastAsia"/>
                      <w:color w:val="000000"/>
                      <w:sz w:val="21"/>
                      <w:lang w:val="en-US" w:eastAsia="zh-CN"/>
                    </w:rPr>
                    <w:t>m</w:t>
                  </w:r>
                  <w:r>
                    <w:rPr>
                      <w:color w:val="000000"/>
                      <w:sz w:val="21"/>
                    </w:rPr>
                    <w:t>g/m</w:t>
                  </w:r>
                  <w:r>
                    <w:rPr>
                      <w:color w:val="000000"/>
                      <w:sz w:val="21"/>
                      <w:vertAlign w:val="superscript"/>
                    </w:rPr>
                    <w:t>3</w:t>
                  </w:r>
                  <w:r>
                    <w:rPr>
                      <w:rFonts w:hint="eastAsia"/>
                      <w:color w:val="000000"/>
                      <w:sz w:val="21"/>
                    </w:rPr>
                    <w:t>）</w:t>
                  </w:r>
                </w:p>
              </w:tc>
              <w:tc>
                <w:tcPr>
                  <w:tcW w:w="700" w:type="pct"/>
                  <w:vAlign w:val="center"/>
                </w:tcPr>
                <w:p>
                  <w:pPr>
                    <w:spacing w:line="240" w:lineRule="auto"/>
                    <w:ind w:firstLine="0" w:firstLineChars="0"/>
                    <w:contextualSpacing/>
                    <w:jc w:val="center"/>
                    <w:rPr>
                      <w:color w:val="000000"/>
                      <w:sz w:val="21"/>
                    </w:rPr>
                  </w:pPr>
                  <w:r>
                    <w:rPr>
                      <w:rFonts w:hint="eastAsia"/>
                      <w:color w:val="000000"/>
                      <w:sz w:val="21"/>
                    </w:rPr>
                    <w:t>最大浓度占标率</w:t>
                  </w:r>
                  <w:r>
                    <w:rPr>
                      <w:color w:val="000000"/>
                      <w:sz w:val="21"/>
                    </w:rPr>
                    <w:t>%</w:t>
                  </w:r>
                </w:p>
              </w:tc>
              <w:tc>
                <w:tcPr>
                  <w:tcW w:w="604" w:type="pct"/>
                  <w:vAlign w:val="center"/>
                </w:tcPr>
                <w:p>
                  <w:pPr>
                    <w:spacing w:line="240" w:lineRule="auto"/>
                    <w:ind w:firstLine="0" w:firstLineChars="0"/>
                    <w:contextualSpacing/>
                    <w:jc w:val="center"/>
                    <w:rPr>
                      <w:color w:val="000000"/>
                      <w:sz w:val="21"/>
                    </w:rPr>
                  </w:pPr>
                  <w:r>
                    <w:rPr>
                      <w:rFonts w:hint="eastAsia"/>
                      <w:color w:val="000000"/>
                      <w:sz w:val="21"/>
                    </w:rPr>
                    <w:t>超标率</w:t>
                  </w:r>
                  <w:r>
                    <w:rPr>
                      <w:color w:val="000000"/>
                      <w:sz w:val="21"/>
                    </w:rPr>
                    <w:t>%</w:t>
                  </w:r>
                </w:p>
              </w:tc>
              <w:tc>
                <w:tcPr>
                  <w:tcW w:w="445" w:type="pct"/>
                  <w:vAlign w:val="center"/>
                </w:tcPr>
                <w:p>
                  <w:pPr>
                    <w:spacing w:line="240" w:lineRule="auto"/>
                    <w:ind w:firstLine="0" w:firstLineChars="0"/>
                    <w:contextualSpacing/>
                    <w:jc w:val="center"/>
                    <w:rPr>
                      <w:color w:val="000000"/>
                      <w:sz w:val="21"/>
                    </w:rPr>
                  </w:pPr>
                  <w:r>
                    <w:rPr>
                      <w:rFonts w:hint="eastAsia"/>
                      <w:color w:val="000000"/>
                      <w:sz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38" w:type="pct"/>
                  <w:vAlign w:val="center"/>
                </w:tcPr>
                <w:p>
                  <w:pPr>
                    <w:spacing w:line="240" w:lineRule="auto"/>
                    <w:ind w:firstLine="0" w:firstLineChars="0"/>
                    <w:contextualSpacing/>
                    <w:jc w:val="center"/>
                    <w:rPr>
                      <w:rFonts w:hint="eastAsia" w:eastAsia="宋体"/>
                      <w:color w:val="000000"/>
                      <w:sz w:val="21"/>
                      <w:lang w:eastAsia="zh-CN"/>
                    </w:rPr>
                  </w:pPr>
                  <w:r>
                    <w:rPr>
                      <w:rFonts w:hint="eastAsia"/>
                      <w:color w:val="000000"/>
                      <w:sz w:val="21"/>
                      <w:lang w:val="en-US" w:eastAsia="zh-CN"/>
                    </w:rPr>
                    <w:t>厂址</w:t>
                  </w:r>
                </w:p>
              </w:tc>
              <w:tc>
                <w:tcPr>
                  <w:tcW w:w="540" w:type="pct"/>
                  <w:vAlign w:val="center"/>
                </w:tcPr>
                <w:p>
                  <w:pPr>
                    <w:spacing w:line="240" w:lineRule="auto"/>
                    <w:ind w:firstLine="0" w:firstLineChars="0"/>
                    <w:contextualSpacing/>
                    <w:jc w:val="center"/>
                    <w:rPr>
                      <w:color w:val="000000"/>
                      <w:sz w:val="21"/>
                    </w:rPr>
                  </w:pPr>
                  <w:r>
                    <w:rPr>
                      <w:color w:val="000000"/>
                      <w:sz w:val="21"/>
                    </w:rPr>
                    <w:t>TSP</w:t>
                  </w:r>
                </w:p>
              </w:tc>
              <w:tc>
                <w:tcPr>
                  <w:tcW w:w="541" w:type="pct"/>
                  <w:vAlign w:val="center"/>
                </w:tcPr>
                <w:p>
                  <w:pPr>
                    <w:spacing w:line="240" w:lineRule="auto"/>
                    <w:ind w:firstLine="0" w:firstLineChars="0"/>
                    <w:contextualSpacing/>
                    <w:jc w:val="center"/>
                    <w:rPr>
                      <w:rFonts w:hint="default" w:eastAsia="宋体"/>
                      <w:color w:val="000000"/>
                      <w:sz w:val="21"/>
                      <w:lang w:val="en-US" w:eastAsia="zh-CN"/>
                    </w:rPr>
                  </w:pPr>
                  <w:r>
                    <w:rPr>
                      <w:color w:val="000000"/>
                      <w:sz w:val="21"/>
                    </w:rPr>
                    <w:t>24</w:t>
                  </w:r>
                  <w:r>
                    <w:rPr>
                      <w:rFonts w:hint="eastAsia"/>
                      <w:color w:val="000000"/>
                      <w:sz w:val="21"/>
                    </w:rPr>
                    <w:t>小时</w:t>
                  </w:r>
                </w:p>
              </w:tc>
              <w:tc>
                <w:tcPr>
                  <w:tcW w:w="856" w:type="pct"/>
                  <w:vAlign w:val="center"/>
                </w:tcPr>
                <w:p>
                  <w:pPr>
                    <w:spacing w:line="240" w:lineRule="auto"/>
                    <w:ind w:firstLine="0" w:firstLineChars="0"/>
                    <w:contextualSpacing/>
                    <w:jc w:val="center"/>
                    <w:rPr>
                      <w:rFonts w:hint="default" w:eastAsia="宋体"/>
                      <w:color w:val="000000"/>
                      <w:sz w:val="21"/>
                      <w:lang w:val="en-US" w:eastAsia="zh-CN"/>
                    </w:rPr>
                  </w:pPr>
                  <w:r>
                    <w:rPr>
                      <w:rFonts w:hint="eastAsia"/>
                      <w:color w:val="000000"/>
                      <w:sz w:val="21"/>
                      <w:lang w:val="en-US" w:eastAsia="zh-CN"/>
                    </w:rPr>
                    <w:t>0.3</w:t>
                  </w:r>
                </w:p>
              </w:tc>
              <w:tc>
                <w:tcPr>
                  <w:tcW w:w="772" w:type="pct"/>
                  <w:vAlign w:val="center"/>
                </w:tcPr>
                <w:p>
                  <w:pPr>
                    <w:spacing w:line="240" w:lineRule="auto"/>
                    <w:ind w:firstLine="0" w:firstLineChars="0"/>
                    <w:contextualSpacing/>
                    <w:jc w:val="center"/>
                    <w:rPr>
                      <w:rFonts w:hint="default" w:eastAsia="宋体"/>
                      <w:color w:val="000000"/>
                      <w:sz w:val="21"/>
                      <w:lang w:val="en-US" w:eastAsia="zh-CN"/>
                    </w:rPr>
                  </w:pPr>
                  <w:r>
                    <w:rPr>
                      <w:rFonts w:hint="eastAsia"/>
                      <w:color w:val="000000"/>
                      <w:sz w:val="21"/>
                      <w:lang w:val="en-US" w:eastAsia="zh-CN"/>
                    </w:rPr>
                    <w:t>0.205~0.225</w:t>
                  </w:r>
                </w:p>
              </w:tc>
              <w:tc>
                <w:tcPr>
                  <w:tcW w:w="700" w:type="pct"/>
                  <w:vAlign w:val="center"/>
                </w:tcPr>
                <w:p>
                  <w:pPr>
                    <w:spacing w:line="240" w:lineRule="auto"/>
                    <w:ind w:firstLine="0" w:firstLineChars="0"/>
                    <w:contextualSpacing/>
                    <w:jc w:val="center"/>
                    <w:rPr>
                      <w:rFonts w:hint="default" w:eastAsia="宋体"/>
                      <w:color w:val="000000"/>
                      <w:sz w:val="21"/>
                      <w:lang w:val="en-US" w:eastAsia="zh-CN"/>
                    </w:rPr>
                  </w:pPr>
                  <w:r>
                    <w:rPr>
                      <w:rFonts w:hint="eastAsia"/>
                      <w:color w:val="000000"/>
                      <w:sz w:val="21"/>
                      <w:lang w:val="en-US" w:eastAsia="zh-CN"/>
                    </w:rPr>
                    <w:t>75</w:t>
                  </w:r>
                </w:p>
              </w:tc>
              <w:tc>
                <w:tcPr>
                  <w:tcW w:w="604" w:type="pct"/>
                  <w:vAlign w:val="center"/>
                </w:tcPr>
                <w:p>
                  <w:pPr>
                    <w:spacing w:line="240" w:lineRule="auto"/>
                    <w:ind w:firstLine="0" w:firstLineChars="0"/>
                    <w:contextualSpacing/>
                    <w:jc w:val="center"/>
                    <w:rPr>
                      <w:color w:val="000000"/>
                      <w:sz w:val="21"/>
                    </w:rPr>
                  </w:pPr>
                  <w:r>
                    <w:rPr>
                      <w:color w:val="000000"/>
                      <w:sz w:val="21"/>
                    </w:rPr>
                    <w:t>0</w:t>
                  </w:r>
                </w:p>
              </w:tc>
              <w:tc>
                <w:tcPr>
                  <w:tcW w:w="445" w:type="pct"/>
                  <w:vAlign w:val="center"/>
                </w:tcPr>
                <w:p>
                  <w:pPr>
                    <w:spacing w:line="240" w:lineRule="auto"/>
                    <w:ind w:firstLine="0" w:firstLineChars="0"/>
                    <w:contextualSpacing/>
                    <w:jc w:val="center"/>
                    <w:rPr>
                      <w:color w:val="000000"/>
                      <w:sz w:val="21"/>
                    </w:rPr>
                  </w:pPr>
                  <w:r>
                    <w:rPr>
                      <w:rFonts w:hint="eastAsia"/>
                      <w:color w:val="000000"/>
                      <w:sz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538" w:type="pct"/>
                  <w:vAlign w:val="center"/>
                </w:tcPr>
                <w:p>
                  <w:pPr>
                    <w:spacing w:line="240" w:lineRule="auto"/>
                    <w:ind w:firstLine="0" w:firstLineChars="0"/>
                    <w:contextualSpacing/>
                    <w:jc w:val="center"/>
                    <w:rPr>
                      <w:rFonts w:hint="eastAsia" w:eastAsia="宋体"/>
                      <w:color w:val="000000"/>
                      <w:sz w:val="21"/>
                      <w:lang w:val="en-US" w:eastAsia="zh-CN"/>
                    </w:rPr>
                  </w:pPr>
                  <w:r>
                    <w:rPr>
                      <w:rFonts w:hint="eastAsia"/>
                      <w:color w:val="000000"/>
                      <w:sz w:val="21"/>
                      <w:lang w:val="en-US" w:eastAsia="zh-CN"/>
                    </w:rPr>
                    <w:t>厂址下风向</w:t>
                  </w:r>
                </w:p>
              </w:tc>
              <w:tc>
                <w:tcPr>
                  <w:tcW w:w="540" w:type="pct"/>
                  <w:vAlign w:val="center"/>
                </w:tcPr>
                <w:p>
                  <w:pPr>
                    <w:spacing w:line="240" w:lineRule="auto"/>
                    <w:ind w:firstLine="0" w:firstLineChars="0"/>
                    <w:contextualSpacing/>
                    <w:jc w:val="center"/>
                    <w:rPr>
                      <w:color w:val="000000"/>
                      <w:sz w:val="21"/>
                    </w:rPr>
                  </w:pPr>
                  <w:r>
                    <w:rPr>
                      <w:color w:val="000000"/>
                      <w:sz w:val="21"/>
                    </w:rPr>
                    <w:t>TSP</w:t>
                  </w:r>
                </w:p>
              </w:tc>
              <w:tc>
                <w:tcPr>
                  <w:tcW w:w="541" w:type="pct"/>
                  <w:vAlign w:val="center"/>
                </w:tcPr>
                <w:p>
                  <w:pPr>
                    <w:spacing w:line="240" w:lineRule="auto"/>
                    <w:ind w:firstLine="0" w:firstLineChars="0"/>
                    <w:contextualSpacing/>
                    <w:jc w:val="center"/>
                    <w:rPr>
                      <w:color w:val="000000"/>
                      <w:sz w:val="21"/>
                    </w:rPr>
                  </w:pPr>
                  <w:r>
                    <w:rPr>
                      <w:color w:val="000000"/>
                      <w:sz w:val="21"/>
                    </w:rPr>
                    <w:t>24</w:t>
                  </w:r>
                  <w:r>
                    <w:rPr>
                      <w:rFonts w:hint="eastAsia"/>
                      <w:color w:val="000000"/>
                      <w:sz w:val="21"/>
                    </w:rPr>
                    <w:t>小时</w:t>
                  </w:r>
                </w:p>
              </w:tc>
              <w:tc>
                <w:tcPr>
                  <w:tcW w:w="856" w:type="pct"/>
                  <w:vAlign w:val="center"/>
                </w:tcPr>
                <w:p>
                  <w:pPr>
                    <w:spacing w:line="240" w:lineRule="auto"/>
                    <w:ind w:firstLine="0" w:firstLineChars="0"/>
                    <w:contextualSpacing/>
                    <w:jc w:val="center"/>
                    <w:rPr>
                      <w:color w:val="000000"/>
                      <w:sz w:val="21"/>
                    </w:rPr>
                  </w:pPr>
                  <w:r>
                    <w:rPr>
                      <w:rFonts w:hint="eastAsia"/>
                      <w:color w:val="000000"/>
                      <w:sz w:val="21"/>
                      <w:lang w:val="en-US" w:eastAsia="zh-CN"/>
                    </w:rPr>
                    <w:t>0.3</w:t>
                  </w:r>
                </w:p>
              </w:tc>
              <w:tc>
                <w:tcPr>
                  <w:tcW w:w="772" w:type="pct"/>
                  <w:vAlign w:val="center"/>
                </w:tcPr>
                <w:p>
                  <w:pPr>
                    <w:spacing w:line="240" w:lineRule="auto"/>
                    <w:ind w:firstLine="0" w:firstLineChars="0"/>
                    <w:contextualSpacing/>
                    <w:jc w:val="center"/>
                    <w:rPr>
                      <w:rFonts w:hint="default" w:eastAsia="宋体"/>
                      <w:color w:val="000000"/>
                      <w:sz w:val="21"/>
                      <w:lang w:val="en-US" w:eastAsia="zh-CN"/>
                    </w:rPr>
                  </w:pPr>
                  <w:r>
                    <w:rPr>
                      <w:rFonts w:hint="eastAsia"/>
                      <w:color w:val="000000"/>
                      <w:sz w:val="21"/>
                      <w:lang w:val="en-US" w:eastAsia="zh-CN"/>
                    </w:rPr>
                    <w:t>0.224~0.238</w:t>
                  </w:r>
                </w:p>
              </w:tc>
              <w:tc>
                <w:tcPr>
                  <w:tcW w:w="700" w:type="pct"/>
                  <w:vAlign w:val="center"/>
                </w:tcPr>
                <w:p>
                  <w:pPr>
                    <w:spacing w:line="240" w:lineRule="auto"/>
                    <w:ind w:firstLine="0" w:firstLineChars="0"/>
                    <w:contextualSpacing/>
                    <w:jc w:val="center"/>
                    <w:rPr>
                      <w:rFonts w:hint="default" w:eastAsia="宋体"/>
                      <w:color w:val="000000"/>
                      <w:sz w:val="21"/>
                      <w:lang w:val="en-US" w:eastAsia="zh-CN"/>
                    </w:rPr>
                  </w:pPr>
                  <w:r>
                    <w:rPr>
                      <w:rFonts w:hint="eastAsia"/>
                      <w:color w:val="000000"/>
                      <w:sz w:val="21"/>
                      <w:lang w:val="en-US" w:eastAsia="zh-CN"/>
                    </w:rPr>
                    <w:t>79</w:t>
                  </w:r>
                </w:p>
              </w:tc>
              <w:tc>
                <w:tcPr>
                  <w:tcW w:w="604" w:type="pct"/>
                  <w:vAlign w:val="center"/>
                </w:tcPr>
                <w:p>
                  <w:pPr>
                    <w:spacing w:line="240" w:lineRule="auto"/>
                    <w:ind w:firstLine="0" w:firstLineChars="0"/>
                    <w:contextualSpacing/>
                    <w:jc w:val="center"/>
                    <w:rPr>
                      <w:rFonts w:hint="eastAsia" w:eastAsia="宋体"/>
                      <w:color w:val="000000"/>
                      <w:sz w:val="21"/>
                      <w:lang w:val="en-US" w:eastAsia="zh-CN"/>
                    </w:rPr>
                  </w:pPr>
                  <w:r>
                    <w:rPr>
                      <w:rFonts w:hint="eastAsia"/>
                      <w:color w:val="000000"/>
                      <w:sz w:val="21"/>
                      <w:lang w:val="en-US" w:eastAsia="zh-CN"/>
                    </w:rPr>
                    <w:t>0</w:t>
                  </w:r>
                </w:p>
              </w:tc>
              <w:tc>
                <w:tcPr>
                  <w:tcW w:w="445" w:type="pct"/>
                  <w:vAlign w:val="center"/>
                </w:tcPr>
                <w:p>
                  <w:pPr>
                    <w:spacing w:line="240" w:lineRule="auto"/>
                    <w:ind w:firstLine="0" w:firstLineChars="0"/>
                    <w:contextualSpacing/>
                    <w:jc w:val="center"/>
                    <w:rPr>
                      <w:rFonts w:hint="eastAsia"/>
                      <w:color w:val="000000"/>
                      <w:sz w:val="21"/>
                    </w:rPr>
                  </w:pPr>
                  <w:r>
                    <w:rPr>
                      <w:rFonts w:hint="eastAsia"/>
                      <w:color w:val="000000"/>
                      <w:sz w:val="21"/>
                    </w:rPr>
                    <w:t>达标</w:t>
                  </w:r>
                </w:p>
              </w:tc>
            </w:tr>
          </w:tbl>
          <w:p>
            <w:pPr>
              <w:ind w:firstLine="480"/>
              <w:rPr>
                <w:rFonts w:hint="default" w:eastAsia="宋体"/>
                <w:lang w:val="en-US" w:eastAsia="zh-CN"/>
              </w:rPr>
            </w:pPr>
            <w:r>
              <w:rPr>
                <w:rFonts w:hint="eastAsia" w:cs="Times New Roman"/>
                <w:kern w:val="0"/>
              </w:rPr>
              <w:t>从监测结果可知，</w:t>
            </w:r>
            <w:r>
              <w:rPr>
                <w:rFonts w:hint="eastAsia" w:cs="Times New Roman"/>
                <w:kern w:val="0"/>
                <w:lang w:val="en-US" w:eastAsia="zh-CN"/>
              </w:rPr>
              <w:t>本项目所在区域</w:t>
            </w:r>
            <w:r>
              <w:rPr>
                <w:rFonts w:hint="eastAsia" w:cs="Times New Roman"/>
                <w:kern w:val="0"/>
              </w:rPr>
              <w:t>TSP</w:t>
            </w:r>
            <w:r>
              <w:rPr>
                <w:rFonts w:hint="eastAsia" w:cs="Times New Roman"/>
                <w:kern w:val="0"/>
                <w:lang w:val="en-US" w:eastAsia="zh-CN"/>
              </w:rPr>
              <w:t xml:space="preserve"> </w:t>
            </w:r>
            <w:r>
              <w:rPr>
                <w:rFonts w:hint="eastAsia" w:cs="Times New Roman"/>
                <w:kern w:val="0"/>
              </w:rPr>
              <w:t>24小时平均值符合《环境空气质量标准》（GB3095-2012）</w:t>
            </w:r>
            <w:r>
              <w:rPr>
                <w:rFonts w:hint="eastAsia" w:ascii="Times New Roman" w:cs="Times New Roman"/>
                <w:color w:val="auto"/>
              </w:rPr>
              <w:t>及其修改单二级标准限值要求</w:t>
            </w:r>
            <w:r>
              <w:rPr>
                <w:rFonts w:hint="eastAsia" w:cs="Times New Roman"/>
                <w:kern w:val="0"/>
              </w:rPr>
              <w:t>。</w:t>
            </w:r>
          </w:p>
          <w:p>
            <w:pPr>
              <w:ind w:firstLine="0" w:firstLineChars="0"/>
              <w:rPr>
                <w:color w:val="000000" w:themeColor="text1"/>
                <w14:textFill>
                  <w14:solidFill>
                    <w14:schemeClr w14:val="tx1"/>
                  </w14:solidFill>
                </w14:textFill>
              </w:rPr>
            </w:pPr>
            <w:r>
              <w:rPr>
                <w:rFonts w:hint="eastAsia"/>
                <w:b/>
                <w:color w:val="000000" w:themeColor="text1"/>
                <w14:textFill>
                  <w14:solidFill>
                    <w14:schemeClr w14:val="tx1"/>
                  </w14:solidFill>
                </w14:textFill>
              </w:rPr>
              <w:t>3.2地表水环境质量现状</w:t>
            </w:r>
          </w:p>
          <w:p>
            <w:pPr>
              <w:widowControl/>
              <w:ind w:firstLine="480"/>
              <w:jc w:val="left"/>
              <w:rPr>
                <w:rFonts w:hint="eastAsia" w:ascii="Times New Roman" w:hAnsi="Times New Roman"/>
                <w:color w:val="auto"/>
                <w:sz w:val="24"/>
              </w:rPr>
            </w:pPr>
            <w:bookmarkStart w:id="11" w:name="_Hlk97245670"/>
            <w:r>
              <w:t>根据《202</w:t>
            </w:r>
            <w:r>
              <w:rPr>
                <w:rFonts w:hint="eastAsia"/>
                <w:lang w:val="en-US" w:eastAsia="zh-CN"/>
              </w:rPr>
              <w:t>4</w:t>
            </w:r>
            <w:r>
              <w:t>巴音郭楞蒙古自治州生态环境状况公报》，</w:t>
            </w:r>
            <w:r>
              <w:rPr>
                <w:rFonts w:hint="eastAsia"/>
              </w:rPr>
              <w:t>全州地表水监测的31个考核断面(点位)中，I~Ⅲ类优良水质断面(点位)占比90.3%，无IV类水质。6条主要河流19个监测断面中I~Ⅲ类优良水质断面占100%，3个重要湖泊(水库)12个监测点位中I~Ⅲ类优良水质断面占75%，无V类水体，湖泊水质影响因子为化学需氧量。</w:t>
            </w:r>
          </w:p>
          <w:p>
            <w:pPr>
              <w:widowControl/>
              <w:ind w:firstLine="480"/>
              <w:jc w:val="left"/>
            </w:pPr>
            <w:r>
              <w:rPr>
                <w:rFonts w:hint="eastAsia" w:ascii="Times New Roman" w:hAnsi="Times New Roman"/>
                <w:color w:val="auto"/>
                <w:sz w:val="24"/>
              </w:rPr>
              <w:t>与本项目最近的地表水体为</w:t>
            </w:r>
            <w:r>
              <w:rPr>
                <w:rFonts w:hint="eastAsia"/>
                <w:color w:val="auto"/>
                <w:sz w:val="24"/>
                <w:lang w:val="en-US" w:eastAsia="zh-CN"/>
              </w:rPr>
              <w:t>项目区北侧1.3km的深沟河（属迪那</w:t>
            </w:r>
            <w:r>
              <w:rPr>
                <w:rFonts w:ascii="Times New Roman" w:hAnsi="Times New Roman"/>
                <w:color w:val="auto"/>
                <w:sz w:val="24"/>
              </w:rPr>
              <w:t>河</w:t>
            </w:r>
            <w:r>
              <w:rPr>
                <w:rFonts w:hint="eastAsia"/>
                <w:color w:val="auto"/>
                <w:sz w:val="24"/>
                <w:lang w:val="en-US" w:eastAsia="zh-CN"/>
              </w:rPr>
              <w:t>支流）</w:t>
            </w:r>
            <w:r>
              <w:rPr>
                <w:rFonts w:hint="eastAsia" w:ascii="Times New Roman" w:hAnsi="Times New Roman"/>
                <w:color w:val="auto"/>
                <w:sz w:val="24"/>
              </w:rPr>
              <w:t>。根据《</w:t>
            </w:r>
            <w:r>
              <w:t>202</w:t>
            </w:r>
            <w:r>
              <w:rPr>
                <w:rFonts w:hint="eastAsia"/>
                <w:lang w:val="en-US" w:eastAsia="zh-CN"/>
              </w:rPr>
              <w:t>4</w:t>
            </w:r>
            <w:r>
              <w:t>巴音郭楞蒙古自治州生态环境状况公报</w:t>
            </w:r>
            <w:r>
              <w:rPr>
                <w:rFonts w:hint="eastAsia" w:ascii="Times New Roman" w:hAnsi="Times New Roman"/>
                <w:color w:val="auto"/>
                <w:sz w:val="24"/>
              </w:rPr>
              <w:t>》，</w:t>
            </w:r>
            <w:r>
              <w:rPr>
                <w:rFonts w:hint="eastAsia"/>
                <w:color w:val="auto"/>
                <w:sz w:val="24"/>
                <w:lang w:val="en-US" w:eastAsia="zh-CN"/>
              </w:rPr>
              <w:t>迪那河</w:t>
            </w:r>
            <w:r>
              <w:rPr>
                <w:rFonts w:hint="eastAsia" w:ascii="Times New Roman" w:hAnsi="Times New Roman"/>
                <w:color w:val="auto"/>
                <w:sz w:val="24"/>
              </w:rPr>
              <w:t>水环境质量满足《地表水环境质量标准》（GB3838-2002</w:t>
            </w:r>
            <w:r>
              <w:rPr>
                <w:rFonts w:hint="default" w:ascii="Times New Roman" w:hAnsi="Times New Roman" w:cs="Times New Roman"/>
                <w:color w:val="auto"/>
                <w:sz w:val="24"/>
              </w:rPr>
              <w:t>）</w:t>
            </w:r>
            <w:r>
              <w:rPr>
                <w:rFonts w:hint="default" w:ascii="Times New Roman" w:hAnsi="Times New Roman" w:eastAsia="宋体" w:cs="Times New Roman"/>
                <w:color w:val="auto"/>
                <w:sz w:val="24"/>
              </w:rPr>
              <w:t>Ⅱ</w:t>
            </w:r>
            <w:r>
              <w:rPr>
                <w:rFonts w:hint="default" w:ascii="Times New Roman" w:hAnsi="Times New Roman" w:cs="Times New Roman"/>
                <w:color w:val="auto"/>
                <w:sz w:val="24"/>
              </w:rPr>
              <w:t>类</w:t>
            </w:r>
            <w:r>
              <w:rPr>
                <w:rFonts w:hint="eastAsia" w:ascii="Times New Roman" w:hAnsi="Times New Roman"/>
                <w:color w:val="auto"/>
                <w:sz w:val="24"/>
              </w:rPr>
              <w:t>水质标准。</w:t>
            </w:r>
          </w:p>
          <w:bookmarkEnd w:id="11"/>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3.3声环境质量现状</w:t>
            </w:r>
          </w:p>
          <w:p>
            <w:pPr>
              <w:ind w:firstLine="480"/>
              <w:textAlignment w:val="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本项目位于</w:t>
            </w:r>
            <w:r>
              <w:rPr>
                <w:rFonts w:hint="eastAsia"/>
              </w:rPr>
              <w:t>轮台县红桥石油服务区</w:t>
            </w:r>
            <w:r>
              <w:rPr>
                <w:rFonts w:hint="eastAsia" w:cs="Times New Roman"/>
                <w:color w:val="000000" w:themeColor="text1"/>
                <w14:textFill>
                  <w14:solidFill>
                    <w14:schemeClr w14:val="tx1"/>
                  </w14:solidFill>
                </w14:textFill>
              </w:rPr>
              <w:t>，</w:t>
            </w:r>
            <w:r>
              <w:rPr>
                <w:color w:val="auto"/>
                <w:sz w:val="24"/>
              </w:rPr>
              <w:t>根据《声环境功能区划分技术规范》（GB/T15190-2014），属于声环境功能区</w:t>
            </w:r>
            <w:r>
              <w:rPr>
                <w:rFonts w:hint="eastAsia"/>
                <w:color w:val="auto"/>
                <w:sz w:val="24"/>
                <w:lang w:val="en-US" w:eastAsia="zh-CN"/>
              </w:rPr>
              <w:t>3</w:t>
            </w:r>
            <w:r>
              <w:rPr>
                <w:color w:val="auto"/>
                <w:sz w:val="24"/>
              </w:rPr>
              <w:t>类区域，声环境执行《声环境质量标准》（GB 3096-2008）的</w:t>
            </w:r>
            <w:r>
              <w:rPr>
                <w:rFonts w:hint="eastAsia"/>
                <w:color w:val="auto"/>
                <w:sz w:val="24"/>
                <w:lang w:val="en-US" w:eastAsia="zh-CN"/>
              </w:rPr>
              <w:t>3</w:t>
            </w:r>
            <w:r>
              <w:rPr>
                <w:color w:val="auto"/>
                <w:sz w:val="24"/>
              </w:rPr>
              <w:t>类声环境功能限值</w:t>
            </w:r>
            <w:r>
              <w:rPr>
                <w:rFonts w:hint="eastAsia" w:cs="Times New Roman"/>
                <w:color w:val="000000" w:themeColor="text1"/>
                <w14:textFill>
                  <w14:solidFill>
                    <w14:schemeClr w14:val="tx1"/>
                  </w14:solidFill>
                </w14:textFill>
              </w:rPr>
              <w:t>，即昼间65dB（A），夜间55dB（A）。</w:t>
            </w:r>
          </w:p>
          <w:p>
            <w:pPr>
              <w:ind w:firstLine="480"/>
              <w:textAlignment w:val="auto"/>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根据《建设项目环境影响报告表编制技术指南（污染影响类）》，项目厂界外周边50米范围内无声环境保护目标，可不开展声环境质量现状监测。</w:t>
            </w:r>
          </w:p>
          <w:p>
            <w:pPr>
              <w:pStyle w:val="6"/>
            </w:pPr>
            <w:r>
              <w:rPr>
                <w:rFonts w:hint="eastAsia"/>
              </w:rPr>
              <w:t>3.4</w:t>
            </w:r>
            <w:r>
              <w:rPr>
                <w:rFonts w:hint="eastAsia"/>
                <w:lang w:eastAsia="zh-CN"/>
              </w:rPr>
              <w:t>地下水</w:t>
            </w:r>
            <w:r>
              <w:rPr>
                <w:rFonts w:hint="eastAsia"/>
              </w:rPr>
              <w:t>、土壤环境质量状况</w:t>
            </w:r>
          </w:p>
          <w:p>
            <w:pPr>
              <w:ind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根据《建设项目环境影响报告表编制技术指南（污染影响类）（试行）》中规定</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原则上不开展环境质量现状调查。建设项目存在土壤、</w:t>
            </w:r>
            <w:r>
              <w:rPr>
                <w:rFonts w:hint="eastAsia"/>
                <w:color w:val="000000" w:themeColor="text1"/>
                <w:lang w:eastAsia="zh-CN"/>
                <w14:textFill>
                  <w14:solidFill>
                    <w14:schemeClr w14:val="tx1"/>
                  </w14:solidFill>
                </w14:textFill>
              </w:rPr>
              <w:t>地下水</w:t>
            </w:r>
            <w:r>
              <w:rPr>
                <w:rFonts w:hint="eastAsia"/>
                <w:color w:val="000000" w:themeColor="text1"/>
                <w14:textFill>
                  <w14:solidFill>
                    <w14:schemeClr w14:val="tx1"/>
                  </w14:solidFill>
                </w14:textFill>
              </w:rPr>
              <w:t>环境污染途径的，应结合污染源、保护目标分布情况开展现状调查以留作背景值。</w:t>
            </w:r>
            <w:r>
              <w:rPr>
                <w:rFonts w:hint="eastAsia"/>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根据现场勘查，</w:t>
            </w:r>
            <w:r>
              <w:rPr>
                <w:rFonts w:hint="eastAsia"/>
                <w:color w:val="000000" w:themeColor="text1"/>
                <w14:textFill>
                  <w14:solidFill>
                    <w14:schemeClr w14:val="tx1"/>
                  </w14:solidFill>
                </w14:textFill>
              </w:rPr>
              <w:t>本项目位于</w:t>
            </w:r>
            <w:r>
              <w:rPr>
                <w:rFonts w:hint="eastAsia"/>
              </w:rPr>
              <w:t>轮台县红桥石油服务区</w:t>
            </w:r>
            <w:r>
              <w:rPr>
                <w:rFonts w:hint="eastAsia" w:cs="Times New Roman"/>
                <w:color w:val="000000" w:themeColor="text1"/>
                <w:szCs w:val="24"/>
                <w14:textFill>
                  <w14:solidFill>
                    <w14:schemeClr w14:val="tx1"/>
                  </w14:solidFill>
                </w14:textFill>
              </w:rPr>
              <w:t>，</w:t>
            </w:r>
            <w:r>
              <w:rPr>
                <w:rFonts w:hint="eastAsia" w:ascii="Times New Roman" w:hAnsi="Times New Roman" w:eastAsia="宋体"/>
                <w:color w:val="000000"/>
                <w:kern w:val="0"/>
                <w:szCs w:val="22"/>
              </w:rPr>
              <w:t>厂界外500m范围内无</w:t>
            </w:r>
            <w:r>
              <w:rPr>
                <w:rFonts w:hint="eastAsia"/>
                <w:color w:val="000000"/>
                <w:kern w:val="0"/>
                <w:szCs w:val="22"/>
                <w:lang w:eastAsia="zh-CN"/>
              </w:rPr>
              <w:t>地下水</w:t>
            </w:r>
            <w:r>
              <w:rPr>
                <w:rFonts w:hint="eastAsia" w:ascii="Times New Roman" w:hAnsi="Times New Roman" w:eastAsia="宋体"/>
                <w:color w:val="000000"/>
                <w:kern w:val="0"/>
                <w:szCs w:val="22"/>
              </w:rPr>
              <w:t>集中式饮用水水源和热水、矿泉水、温泉等特殊</w:t>
            </w:r>
            <w:r>
              <w:rPr>
                <w:rFonts w:hint="eastAsia"/>
                <w:color w:val="000000"/>
                <w:kern w:val="0"/>
                <w:szCs w:val="22"/>
                <w:lang w:eastAsia="zh-CN"/>
              </w:rPr>
              <w:t>地下水</w:t>
            </w:r>
            <w:r>
              <w:rPr>
                <w:rFonts w:hint="eastAsia" w:ascii="Times New Roman" w:hAnsi="Times New Roman" w:eastAsia="宋体"/>
                <w:color w:val="000000"/>
                <w:kern w:val="0"/>
                <w:szCs w:val="22"/>
              </w:rPr>
              <w:t>资源</w:t>
            </w:r>
            <w:r>
              <w:rPr>
                <w:rFonts w:hint="eastAsia" w:ascii="Times New Roman" w:hAnsi="Times New Roman" w:eastAsia="宋体"/>
                <w:color w:val="000000"/>
                <w:kern w:val="0"/>
                <w:szCs w:val="22"/>
                <w:lang w:eastAsia="zh-CN"/>
              </w:rPr>
              <w:t>，</w:t>
            </w:r>
            <w:r>
              <w:rPr>
                <w:rFonts w:hint="eastAsia" w:ascii="Times New Roman" w:hAnsi="Times New Roman" w:eastAsia="宋体"/>
                <w:color w:val="000000"/>
                <w:kern w:val="0"/>
                <w:szCs w:val="22"/>
                <w:lang w:val="en-US" w:eastAsia="zh-CN"/>
              </w:rPr>
              <w:t>不涉及</w:t>
            </w:r>
            <w:r>
              <w:rPr>
                <w:rFonts w:hint="eastAsia" w:cs="Times New Roman"/>
                <w:color w:val="000000" w:themeColor="text1"/>
                <w14:textFill>
                  <w14:solidFill>
                    <w14:schemeClr w14:val="tx1"/>
                  </w14:solidFill>
                </w14:textFill>
              </w:rPr>
              <w:t>有毒有害物质，</w:t>
            </w:r>
            <w:r>
              <w:rPr>
                <w:rFonts w:hint="eastAsia" w:cs="Times New Roman"/>
                <w:color w:val="000000" w:themeColor="text1"/>
                <w:lang w:val="en-US" w:eastAsia="zh-CN"/>
                <w14:textFill>
                  <w14:solidFill>
                    <w14:schemeClr w14:val="tx1"/>
                  </w14:solidFill>
                </w14:textFill>
              </w:rPr>
              <w:t>锅炉房地面已进行水泥硬化，</w:t>
            </w:r>
            <w:r>
              <w:rPr>
                <w:rFonts w:hint="eastAsia" w:cs="Times New Roman"/>
                <w:color w:val="000000" w:themeColor="text1"/>
                <w14:textFill>
                  <w14:solidFill>
                    <w14:schemeClr w14:val="tx1"/>
                  </w14:solidFill>
                </w14:textFill>
              </w:rPr>
              <w:t>基本不存在土壤、</w:t>
            </w:r>
            <w:r>
              <w:rPr>
                <w:rFonts w:hint="eastAsia" w:cs="Times New Roman"/>
                <w:color w:val="000000" w:themeColor="text1"/>
                <w:lang w:eastAsia="zh-CN"/>
                <w14:textFill>
                  <w14:solidFill>
                    <w14:schemeClr w14:val="tx1"/>
                  </w14:solidFill>
                </w14:textFill>
              </w:rPr>
              <w:t>地下水</w:t>
            </w:r>
            <w:r>
              <w:rPr>
                <w:rFonts w:hint="eastAsia" w:cs="Times New Roman"/>
                <w:color w:val="000000" w:themeColor="text1"/>
                <w14:textFill>
                  <w14:solidFill>
                    <w14:schemeClr w14:val="tx1"/>
                  </w14:solidFill>
                </w14:textFill>
              </w:rPr>
              <w:t>环境污染途径。因此，本评价不开展土壤、</w:t>
            </w:r>
            <w:r>
              <w:rPr>
                <w:rFonts w:hint="eastAsia" w:cs="Times New Roman"/>
                <w:color w:val="000000" w:themeColor="text1"/>
                <w:lang w:eastAsia="zh-CN"/>
                <w14:textFill>
                  <w14:solidFill>
                    <w14:schemeClr w14:val="tx1"/>
                  </w14:solidFill>
                </w14:textFill>
              </w:rPr>
              <w:t>地下水</w:t>
            </w:r>
            <w:r>
              <w:rPr>
                <w:rFonts w:hint="eastAsia" w:cs="Times New Roman"/>
                <w:color w:val="000000" w:themeColor="text1"/>
                <w14:textFill>
                  <w14:solidFill>
                    <w14:schemeClr w14:val="tx1"/>
                  </w14:solidFill>
                </w14:textFill>
              </w:rPr>
              <w:t>环境质量现状调查。</w:t>
            </w:r>
          </w:p>
          <w:p>
            <w:pPr>
              <w:pStyle w:val="6"/>
            </w:pPr>
            <w:r>
              <w:rPr>
                <w:rFonts w:hint="eastAsia"/>
              </w:rPr>
              <w:t>3.5生态环境现状</w:t>
            </w:r>
          </w:p>
          <w:p>
            <w:pPr>
              <w:ind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根据《建设项目环境影响报告表编制技术指南（污染影响类）（试行）》中规定</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产业园区外建设项目新增用地且用地范围内含有生态环境保护目标时，应进行生态现状调查。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本项目位于</w:t>
            </w:r>
            <w:r>
              <w:rPr>
                <w:rFonts w:hint="eastAsia"/>
              </w:rPr>
              <w:t>轮台县红桥石油服务区</w:t>
            </w:r>
            <w:r>
              <w:rPr>
                <w:rFonts w:hint="eastAsia"/>
                <w:color w:val="000000" w:themeColor="text1"/>
                <w14:textFill>
                  <w14:solidFill>
                    <w14:schemeClr w14:val="tx1"/>
                  </w14:solidFill>
                </w14:textFill>
              </w:rPr>
              <w:t>，占地范围内不涉及生态保护红线、饮用水水源保护区、风景名胜区、文物古迹等生态敏感区，区域内无珍稀濒危野生动植物存在，无生态环境保护目标存在，因此，本</w:t>
            </w:r>
            <w:r>
              <w:rPr>
                <w:rFonts w:hint="eastAsia"/>
                <w:color w:val="000000" w:themeColor="text1"/>
                <w:lang w:val="en-US" w:eastAsia="zh-CN"/>
                <w14:textFill>
                  <w14:solidFill>
                    <w14:schemeClr w14:val="tx1"/>
                  </w14:solidFill>
                </w14:textFill>
              </w:rPr>
              <w:t>次</w:t>
            </w:r>
            <w:r>
              <w:rPr>
                <w:rFonts w:hint="eastAsia"/>
                <w:color w:val="000000" w:themeColor="text1"/>
                <w14:textFill>
                  <w14:solidFill>
                    <w14:schemeClr w14:val="tx1"/>
                  </w14:solidFill>
                </w14:textFill>
              </w:rPr>
              <w:t>环评不对生态环境现状进行评价。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67" w:hRule="atLeast"/>
          <w:jc w:val="center"/>
        </w:trPr>
        <w:tc>
          <w:tcPr>
            <w:tcW w:w="308" w:type="pct"/>
            <w:vAlign w:val="center"/>
          </w:tcPr>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环境保护目标</w:t>
            </w:r>
          </w:p>
        </w:tc>
        <w:tc>
          <w:tcPr>
            <w:tcW w:w="4691" w:type="pct"/>
          </w:tcPr>
          <w:p>
            <w:pPr>
              <w:ind w:firstLine="0" w:firstLineChars="0"/>
              <w:rPr>
                <w:rFonts w:hint="default" w:eastAsia="宋体"/>
                <w:b/>
                <w:bCs/>
                <w:lang w:val="en-US" w:eastAsia="zh-CN"/>
              </w:rPr>
            </w:pPr>
            <w:r>
              <w:rPr>
                <w:rFonts w:hint="eastAsia"/>
                <w:b/>
                <w:bCs/>
                <w:lang w:val="en-US" w:eastAsia="zh-CN"/>
              </w:rPr>
              <w:t>3.6环境保护目标</w:t>
            </w:r>
          </w:p>
          <w:p>
            <w:pPr>
              <w:ind w:firstLine="0" w:firstLineChars="0"/>
              <w:rPr>
                <w:b/>
                <w:bCs/>
              </w:rPr>
            </w:pPr>
            <w:r>
              <w:rPr>
                <w:rFonts w:hint="eastAsia"/>
                <w:b/>
                <w:bCs/>
                <w:lang w:val="en-US" w:eastAsia="zh-CN"/>
              </w:rPr>
              <w:t>3.6.1</w:t>
            </w:r>
            <w:r>
              <w:rPr>
                <w:rFonts w:hint="eastAsia"/>
                <w:b/>
                <w:bCs/>
              </w:rPr>
              <w:t>大气环境</w:t>
            </w:r>
          </w:p>
          <w:p>
            <w:pPr>
              <w:ind w:firstLine="480"/>
            </w:pPr>
            <w:r>
              <w:rPr>
                <w:rFonts w:hint="eastAsia"/>
              </w:rPr>
              <w:t>本项目位于</w:t>
            </w:r>
            <w:r>
              <w:rPr>
                <w:rFonts w:hint="eastAsia"/>
                <w:lang w:eastAsia="zh-CN"/>
              </w:rPr>
              <w:t>红桥石油服务区</w:t>
            </w:r>
            <w:r>
              <w:rPr>
                <w:rFonts w:hint="eastAsia"/>
              </w:rPr>
              <w:t>，场界外</w:t>
            </w:r>
            <w:r>
              <w:t>500m</w:t>
            </w:r>
            <w:r>
              <w:rPr>
                <w:rFonts w:hint="eastAsia"/>
              </w:rPr>
              <w:t>范围内无自然保护区、风景名胜区</w:t>
            </w:r>
            <w:r>
              <w:rPr>
                <w:rFonts w:hint="eastAsia"/>
                <w:lang w:eastAsia="zh-CN"/>
              </w:rPr>
              <w:t>，</w:t>
            </w:r>
            <w:r>
              <w:rPr>
                <w:rFonts w:hint="eastAsia"/>
                <w:lang w:val="en-US" w:eastAsia="zh-CN"/>
              </w:rPr>
              <w:t>主要</w:t>
            </w:r>
            <w:r>
              <w:rPr>
                <w:rFonts w:hint="eastAsia"/>
              </w:rPr>
              <w:t>大气环境保护目标</w:t>
            </w:r>
            <w:r>
              <w:rPr>
                <w:rFonts w:hint="eastAsia"/>
                <w:lang w:val="en-US" w:eastAsia="zh-CN"/>
              </w:rPr>
              <w:t>为巴州石油装备有限公司宿舍楼和办公楼</w:t>
            </w:r>
            <w:r>
              <w:rPr>
                <w:rFonts w:hint="eastAsia"/>
              </w:rPr>
              <w:t>。</w:t>
            </w:r>
          </w:p>
          <w:p>
            <w:pPr>
              <w:ind w:firstLine="0" w:firstLineChars="0"/>
              <w:rPr>
                <w:b/>
                <w:bCs/>
              </w:rPr>
            </w:pPr>
            <w:r>
              <w:rPr>
                <w:rFonts w:hint="eastAsia"/>
                <w:b/>
                <w:bCs/>
                <w:lang w:val="en-US" w:eastAsia="zh-CN"/>
              </w:rPr>
              <w:t>3.6.2</w:t>
            </w:r>
            <w:r>
              <w:rPr>
                <w:rFonts w:hint="eastAsia"/>
                <w:b/>
                <w:bCs/>
              </w:rPr>
              <w:t>声环境</w:t>
            </w:r>
          </w:p>
          <w:p>
            <w:pPr>
              <w:ind w:firstLine="480"/>
            </w:pPr>
            <w:r>
              <w:rPr>
                <w:rFonts w:hint="eastAsia"/>
              </w:rPr>
              <w:t>根据《环境影响评价技术导则 声环境》（HJ2.4-2021），声环境敏感目标指医院、学校、机关、科研单位、住宅、自然保护区等对噪声敏感的建筑物或区域。本项目场界外50m范围内</w:t>
            </w:r>
            <w:r>
              <w:rPr>
                <w:rFonts w:hint="eastAsia"/>
                <w:lang w:val="en-US" w:eastAsia="zh-CN"/>
              </w:rPr>
              <w:t>的</w:t>
            </w:r>
            <w:r>
              <w:rPr>
                <w:rFonts w:hint="eastAsia"/>
              </w:rPr>
              <w:t>声环境保护目标</w:t>
            </w:r>
            <w:r>
              <w:rPr>
                <w:rFonts w:hint="eastAsia"/>
                <w:lang w:val="en-US" w:eastAsia="zh-CN"/>
              </w:rPr>
              <w:t>主要为宿舍楼</w:t>
            </w:r>
            <w:r>
              <w:rPr>
                <w:rFonts w:hint="eastAsia"/>
              </w:rPr>
              <w:t>。</w:t>
            </w:r>
          </w:p>
          <w:p>
            <w:pPr>
              <w:ind w:firstLine="0" w:firstLineChars="0"/>
              <w:rPr>
                <w:b/>
                <w:bCs/>
              </w:rPr>
            </w:pPr>
            <w:r>
              <w:rPr>
                <w:rFonts w:hint="eastAsia"/>
                <w:b/>
                <w:bCs/>
                <w:lang w:val="en-US" w:eastAsia="zh-CN"/>
              </w:rPr>
              <w:t>3.6.3</w:t>
            </w:r>
            <w:r>
              <w:rPr>
                <w:rFonts w:hint="eastAsia"/>
                <w:b/>
                <w:bCs/>
                <w:lang w:eastAsia="zh-CN"/>
              </w:rPr>
              <w:t>地下水</w:t>
            </w:r>
            <w:r>
              <w:rPr>
                <w:rFonts w:hint="eastAsia"/>
                <w:b/>
                <w:bCs/>
              </w:rPr>
              <w:t>环境</w:t>
            </w:r>
          </w:p>
          <w:p>
            <w:pPr>
              <w:ind w:firstLine="480"/>
            </w:pPr>
            <w:r>
              <w:rPr>
                <w:rFonts w:hint="eastAsia"/>
              </w:rPr>
              <w:t>本项目厂界外500m范围内无</w:t>
            </w:r>
            <w:r>
              <w:rPr>
                <w:rFonts w:hint="eastAsia"/>
                <w:lang w:eastAsia="zh-CN"/>
              </w:rPr>
              <w:t>地下水</w:t>
            </w:r>
            <w:r>
              <w:rPr>
                <w:rFonts w:hint="eastAsia"/>
              </w:rPr>
              <w:t>集中式饮用水水源和热水、矿泉水、温泉等特殊</w:t>
            </w:r>
            <w:r>
              <w:rPr>
                <w:rFonts w:hint="eastAsia"/>
                <w:lang w:eastAsia="zh-CN"/>
              </w:rPr>
              <w:t>地下水</w:t>
            </w:r>
            <w:r>
              <w:rPr>
                <w:rFonts w:hint="eastAsia"/>
              </w:rPr>
              <w:t>资源</w:t>
            </w:r>
            <w:r>
              <w:rPr>
                <w:rFonts w:hint="eastAsia"/>
                <w:lang w:eastAsia="zh-CN"/>
              </w:rPr>
              <w:t>，</w:t>
            </w:r>
            <w:r>
              <w:rPr>
                <w:rFonts w:hint="eastAsia"/>
                <w:color w:val="auto"/>
                <w:sz w:val="24"/>
                <w:lang w:val="en-US" w:eastAsia="zh-CN"/>
              </w:rPr>
              <w:t>因此无地下水环境保护目标</w:t>
            </w:r>
            <w:r>
              <w:rPr>
                <w:rFonts w:hint="eastAsia"/>
              </w:rPr>
              <w:t>。</w:t>
            </w:r>
          </w:p>
          <w:p>
            <w:pPr>
              <w:ind w:firstLine="0" w:firstLineChars="0"/>
              <w:rPr>
                <w:b/>
                <w:bCs/>
              </w:rPr>
            </w:pPr>
            <w:r>
              <w:rPr>
                <w:rFonts w:hint="eastAsia"/>
                <w:b/>
                <w:bCs/>
                <w:lang w:val="en-US" w:eastAsia="zh-CN"/>
              </w:rPr>
              <w:t>3.6.4</w:t>
            </w:r>
            <w:r>
              <w:rPr>
                <w:rFonts w:hint="eastAsia"/>
                <w:b/>
                <w:bCs/>
              </w:rPr>
              <w:t>生态环境</w:t>
            </w:r>
          </w:p>
          <w:p>
            <w:pPr>
              <w:ind w:firstLine="480"/>
              <w:rPr>
                <w:rFonts w:hint="default"/>
                <w:lang w:val="en-US" w:eastAsia="zh-CN"/>
              </w:rPr>
            </w:pPr>
            <w:r>
              <w:rPr>
                <w:rFonts w:hint="eastAsia"/>
              </w:rPr>
              <w:t>本项目位于</w:t>
            </w:r>
            <w:r>
              <w:rPr>
                <w:rFonts w:hint="eastAsia"/>
                <w:lang w:eastAsia="zh-CN"/>
              </w:rPr>
              <w:t>红桥石油服务区</w:t>
            </w:r>
            <w:r>
              <w:rPr>
                <w:rFonts w:hint="eastAsia"/>
              </w:rPr>
              <w:t>，用地范围内及周边不涉及生态环境保护目标。</w:t>
            </w:r>
          </w:p>
          <w:p>
            <w:pPr>
              <w:spacing w:line="240" w:lineRule="auto"/>
              <w:ind w:firstLine="0" w:firstLineChars="0"/>
              <w:jc w:val="center"/>
              <w:rPr>
                <w:b/>
                <w:sz w:val="21"/>
                <w:szCs w:val="21"/>
                <w:highlight w:val="none"/>
              </w:rPr>
            </w:pPr>
            <w:r>
              <w:rPr>
                <w:rFonts w:hint="eastAsia" w:ascii="Times New Roman" w:hAnsi="Times New Roman" w:eastAsia="宋体" w:cstheme="minorBidi"/>
                <w:b/>
                <w:bCs/>
                <w:kern w:val="28"/>
                <w:sz w:val="24"/>
                <w:szCs w:val="32"/>
                <w:lang w:val="en-US" w:eastAsia="zh-CN" w:bidi="ar-SA"/>
              </w:rPr>
              <w:t>表3-3  环境保护目标调查表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000"/>
              <w:gridCol w:w="783"/>
              <w:gridCol w:w="817"/>
              <w:gridCol w:w="1177"/>
              <w:gridCol w:w="700"/>
              <w:gridCol w:w="716"/>
              <w:gridCol w:w="1018"/>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vMerge w:val="restart"/>
                  <w:vAlign w:val="center"/>
                </w:tcPr>
                <w:p>
                  <w:pPr>
                    <w:spacing w:line="240" w:lineRule="auto"/>
                    <w:ind w:firstLine="0" w:firstLineChars="0"/>
                    <w:jc w:val="center"/>
                    <w:rPr>
                      <w:sz w:val="21"/>
                      <w:szCs w:val="21"/>
                    </w:rPr>
                  </w:pPr>
                  <w:r>
                    <w:rPr>
                      <w:sz w:val="21"/>
                      <w:szCs w:val="21"/>
                    </w:rPr>
                    <w:t>环境要素</w:t>
                  </w:r>
                </w:p>
              </w:tc>
              <w:tc>
                <w:tcPr>
                  <w:tcW w:w="589" w:type="pct"/>
                  <w:vMerge w:val="restart"/>
                  <w:vAlign w:val="center"/>
                </w:tcPr>
                <w:p>
                  <w:pPr>
                    <w:spacing w:line="240" w:lineRule="auto"/>
                    <w:ind w:firstLine="0" w:firstLineChars="0"/>
                    <w:jc w:val="center"/>
                    <w:rPr>
                      <w:sz w:val="21"/>
                      <w:szCs w:val="21"/>
                    </w:rPr>
                  </w:pPr>
                  <w:r>
                    <w:rPr>
                      <w:sz w:val="21"/>
                      <w:szCs w:val="21"/>
                    </w:rPr>
                    <w:t>保护目标名称</w:t>
                  </w:r>
                </w:p>
              </w:tc>
              <w:tc>
                <w:tcPr>
                  <w:tcW w:w="942" w:type="pct"/>
                  <w:gridSpan w:val="2"/>
                  <w:vMerge w:val="restart"/>
                  <w:vAlign w:val="center"/>
                </w:tcPr>
                <w:p>
                  <w:pPr>
                    <w:spacing w:line="240" w:lineRule="auto"/>
                    <w:ind w:firstLine="0" w:firstLineChars="0"/>
                    <w:jc w:val="center"/>
                    <w:rPr>
                      <w:sz w:val="21"/>
                      <w:szCs w:val="21"/>
                    </w:rPr>
                  </w:pPr>
                  <w:r>
                    <w:rPr>
                      <w:sz w:val="21"/>
                      <w:szCs w:val="21"/>
                    </w:rPr>
                    <w:t>坐标/m</w:t>
                  </w:r>
                </w:p>
              </w:tc>
              <w:tc>
                <w:tcPr>
                  <w:tcW w:w="693" w:type="pct"/>
                  <w:vMerge w:val="restart"/>
                  <w:vAlign w:val="center"/>
                </w:tcPr>
                <w:p>
                  <w:pPr>
                    <w:spacing w:line="240" w:lineRule="auto"/>
                    <w:ind w:firstLine="0" w:firstLineChars="0"/>
                    <w:jc w:val="center"/>
                    <w:rPr>
                      <w:rFonts w:hint="default" w:eastAsia="宋体"/>
                      <w:sz w:val="21"/>
                      <w:szCs w:val="21"/>
                      <w:lang w:val="en-US" w:eastAsia="zh-CN"/>
                    </w:rPr>
                  </w:pPr>
                  <w:r>
                    <w:rPr>
                      <w:sz w:val="21"/>
                      <w:szCs w:val="21"/>
                    </w:rPr>
                    <w:t>保护对象</w:t>
                  </w:r>
                </w:p>
              </w:tc>
              <w:tc>
                <w:tcPr>
                  <w:tcW w:w="412" w:type="pct"/>
                  <w:vMerge w:val="restart"/>
                  <w:vAlign w:val="center"/>
                </w:tcPr>
                <w:p>
                  <w:pPr>
                    <w:spacing w:line="240" w:lineRule="auto"/>
                    <w:ind w:firstLine="0" w:firstLineChars="0"/>
                    <w:jc w:val="center"/>
                    <w:rPr>
                      <w:sz w:val="21"/>
                      <w:szCs w:val="21"/>
                    </w:rPr>
                  </w:pPr>
                  <w:r>
                    <w:rPr>
                      <w:sz w:val="21"/>
                      <w:szCs w:val="21"/>
                    </w:rPr>
                    <w:t>保护</w:t>
                  </w:r>
                </w:p>
                <w:p>
                  <w:pPr>
                    <w:spacing w:line="240" w:lineRule="auto"/>
                    <w:ind w:firstLine="0" w:firstLineChars="0"/>
                    <w:jc w:val="center"/>
                    <w:rPr>
                      <w:sz w:val="21"/>
                      <w:szCs w:val="21"/>
                    </w:rPr>
                  </w:pPr>
                  <w:r>
                    <w:rPr>
                      <w:sz w:val="21"/>
                      <w:szCs w:val="21"/>
                    </w:rPr>
                    <w:t>内容</w:t>
                  </w:r>
                </w:p>
              </w:tc>
              <w:tc>
                <w:tcPr>
                  <w:tcW w:w="1021" w:type="pct"/>
                  <w:gridSpan w:val="2"/>
                  <w:vAlign w:val="center"/>
                </w:tcPr>
                <w:p>
                  <w:pPr>
                    <w:spacing w:line="240" w:lineRule="auto"/>
                    <w:ind w:firstLine="0" w:firstLineChars="0"/>
                    <w:jc w:val="center"/>
                    <w:rPr>
                      <w:sz w:val="21"/>
                      <w:szCs w:val="21"/>
                    </w:rPr>
                  </w:pPr>
                  <w:r>
                    <w:rPr>
                      <w:sz w:val="21"/>
                      <w:szCs w:val="21"/>
                    </w:rPr>
                    <w:t>相对场址</w:t>
                  </w:r>
                </w:p>
              </w:tc>
              <w:tc>
                <w:tcPr>
                  <w:tcW w:w="827" w:type="pct"/>
                  <w:vAlign w:val="center"/>
                </w:tcPr>
                <w:p>
                  <w:pPr>
                    <w:spacing w:line="240" w:lineRule="auto"/>
                    <w:ind w:firstLine="0" w:firstLineChars="0"/>
                    <w:jc w:val="center"/>
                    <w:rPr>
                      <w:sz w:val="21"/>
                      <w:szCs w:val="21"/>
                    </w:rPr>
                  </w:pPr>
                  <w:r>
                    <w:rPr>
                      <w:sz w:val="21"/>
                      <w:szCs w:val="21"/>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14" w:type="pct"/>
                  <w:vMerge w:val="continue"/>
                  <w:vAlign w:val="center"/>
                </w:tcPr>
                <w:p>
                  <w:pPr>
                    <w:spacing w:line="240" w:lineRule="auto"/>
                    <w:ind w:firstLine="0" w:firstLineChars="0"/>
                    <w:jc w:val="center"/>
                    <w:rPr>
                      <w:sz w:val="21"/>
                      <w:szCs w:val="21"/>
                    </w:rPr>
                  </w:pPr>
                </w:p>
              </w:tc>
              <w:tc>
                <w:tcPr>
                  <w:tcW w:w="589" w:type="pct"/>
                  <w:vMerge w:val="continue"/>
                  <w:vAlign w:val="center"/>
                </w:tcPr>
                <w:p>
                  <w:pPr>
                    <w:spacing w:line="240" w:lineRule="auto"/>
                    <w:ind w:firstLine="0" w:firstLineChars="0"/>
                    <w:jc w:val="center"/>
                    <w:rPr>
                      <w:sz w:val="21"/>
                      <w:szCs w:val="21"/>
                    </w:rPr>
                  </w:pPr>
                </w:p>
              </w:tc>
              <w:tc>
                <w:tcPr>
                  <w:tcW w:w="942" w:type="pct"/>
                  <w:gridSpan w:val="2"/>
                  <w:vMerge w:val="continue"/>
                  <w:vAlign w:val="center"/>
                </w:tcPr>
                <w:p>
                  <w:pPr>
                    <w:spacing w:line="240" w:lineRule="auto"/>
                    <w:ind w:firstLine="0" w:firstLineChars="0"/>
                    <w:jc w:val="center"/>
                    <w:rPr>
                      <w:sz w:val="21"/>
                      <w:szCs w:val="21"/>
                    </w:rPr>
                  </w:pPr>
                </w:p>
              </w:tc>
              <w:tc>
                <w:tcPr>
                  <w:tcW w:w="693" w:type="pct"/>
                  <w:vMerge w:val="continue"/>
                  <w:vAlign w:val="center"/>
                </w:tcPr>
                <w:p>
                  <w:pPr>
                    <w:spacing w:line="240" w:lineRule="auto"/>
                    <w:ind w:firstLine="0" w:firstLineChars="0"/>
                    <w:jc w:val="center"/>
                    <w:rPr>
                      <w:sz w:val="21"/>
                      <w:szCs w:val="21"/>
                    </w:rPr>
                  </w:pPr>
                </w:p>
              </w:tc>
              <w:tc>
                <w:tcPr>
                  <w:tcW w:w="412" w:type="pct"/>
                  <w:vMerge w:val="continue"/>
                  <w:vAlign w:val="center"/>
                </w:tcPr>
                <w:p>
                  <w:pPr>
                    <w:spacing w:line="240" w:lineRule="auto"/>
                    <w:ind w:firstLine="0" w:firstLineChars="0"/>
                    <w:jc w:val="center"/>
                    <w:rPr>
                      <w:sz w:val="21"/>
                      <w:szCs w:val="21"/>
                    </w:rPr>
                  </w:pPr>
                </w:p>
              </w:tc>
              <w:tc>
                <w:tcPr>
                  <w:tcW w:w="421" w:type="pct"/>
                  <w:vMerge w:val="restart"/>
                  <w:vAlign w:val="center"/>
                </w:tcPr>
                <w:p>
                  <w:pPr>
                    <w:spacing w:line="240" w:lineRule="auto"/>
                    <w:ind w:firstLine="0" w:firstLineChars="0"/>
                    <w:jc w:val="center"/>
                    <w:rPr>
                      <w:sz w:val="21"/>
                      <w:szCs w:val="21"/>
                    </w:rPr>
                  </w:pPr>
                  <w:r>
                    <w:rPr>
                      <w:sz w:val="21"/>
                      <w:szCs w:val="21"/>
                    </w:rPr>
                    <w:t>方位</w:t>
                  </w:r>
                </w:p>
              </w:tc>
              <w:tc>
                <w:tcPr>
                  <w:tcW w:w="599" w:type="pct"/>
                  <w:vMerge w:val="restart"/>
                  <w:vAlign w:val="center"/>
                </w:tcPr>
                <w:p>
                  <w:pPr>
                    <w:spacing w:line="240" w:lineRule="auto"/>
                    <w:ind w:firstLine="0" w:firstLineChars="0"/>
                    <w:jc w:val="center"/>
                    <w:rPr>
                      <w:sz w:val="21"/>
                      <w:szCs w:val="21"/>
                    </w:rPr>
                  </w:pPr>
                  <w:r>
                    <w:rPr>
                      <w:sz w:val="21"/>
                      <w:szCs w:val="21"/>
                    </w:rPr>
                    <w:t>距厂界距离(m)</w:t>
                  </w:r>
                </w:p>
              </w:tc>
              <w:tc>
                <w:tcPr>
                  <w:tcW w:w="827" w:type="pct"/>
                  <w:vMerge w:val="restart"/>
                  <w:vAlign w:val="center"/>
                </w:tcPr>
                <w:p>
                  <w:pPr>
                    <w:spacing w:line="240" w:lineRule="auto"/>
                    <w:ind w:firstLine="0" w:firstLineChars="0"/>
                    <w:jc w:val="center"/>
                    <w:rPr>
                      <w:sz w:val="21"/>
                      <w:szCs w:val="21"/>
                    </w:rPr>
                  </w:pPr>
                  <w:r>
                    <w:rPr>
                      <w:sz w:val="21"/>
                      <w:szCs w:val="21"/>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4" w:type="pct"/>
                  <w:vMerge w:val="restart"/>
                  <w:vAlign w:val="center"/>
                </w:tcPr>
                <w:p>
                  <w:pPr>
                    <w:spacing w:line="240" w:lineRule="auto"/>
                    <w:ind w:firstLine="0" w:firstLineChars="0"/>
                    <w:jc w:val="center"/>
                    <w:rPr>
                      <w:sz w:val="21"/>
                      <w:szCs w:val="21"/>
                    </w:rPr>
                  </w:pPr>
                  <w:r>
                    <w:rPr>
                      <w:sz w:val="21"/>
                      <w:szCs w:val="21"/>
                    </w:rPr>
                    <w:t>大气环境</w:t>
                  </w:r>
                </w:p>
              </w:tc>
              <w:tc>
                <w:tcPr>
                  <w:tcW w:w="589" w:type="pct"/>
                  <w:vMerge w:val="continue"/>
                  <w:vAlign w:val="center"/>
                </w:tcPr>
                <w:p>
                  <w:pPr>
                    <w:spacing w:line="240" w:lineRule="auto"/>
                    <w:ind w:firstLine="0" w:firstLineChars="0"/>
                    <w:jc w:val="center"/>
                    <w:rPr>
                      <w:sz w:val="21"/>
                      <w:szCs w:val="21"/>
                    </w:rPr>
                  </w:pPr>
                </w:p>
              </w:tc>
              <w:tc>
                <w:tcPr>
                  <w:tcW w:w="461" w:type="pct"/>
                  <w:vAlign w:val="center"/>
                </w:tcPr>
                <w:p>
                  <w:pPr>
                    <w:spacing w:line="240" w:lineRule="auto"/>
                    <w:ind w:firstLine="0" w:firstLineChars="0"/>
                    <w:jc w:val="center"/>
                    <w:rPr>
                      <w:sz w:val="21"/>
                      <w:szCs w:val="21"/>
                    </w:rPr>
                  </w:pPr>
                  <w:r>
                    <w:rPr>
                      <w:sz w:val="21"/>
                      <w:szCs w:val="21"/>
                    </w:rPr>
                    <w:t>X</w:t>
                  </w:r>
                </w:p>
              </w:tc>
              <w:tc>
                <w:tcPr>
                  <w:tcW w:w="481" w:type="pct"/>
                  <w:vAlign w:val="center"/>
                </w:tcPr>
                <w:p>
                  <w:pPr>
                    <w:spacing w:line="240" w:lineRule="auto"/>
                    <w:ind w:firstLine="0" w:firstLineChars="0"/>
                    <w:jc w:val="center"/>
                    <w:rPr>
                      <w:sz w:val="21"/>
                      <w:szCs w:val="21"/>
                    </w:rPr>
                  </w:pPr>
                  <w:r>
                    <w:rPr>
                      <w:sz w:val="21"/>
                      <w:szCs w:val="21"/>
                    </w:rPr>
                    <w:t>Y</w:t>
                  </w:r>
                </w:p>
              </w:tc>
              <w:tc>
                <w:tcPr>
                  <w:tcW w:w="693" w:type="pct"/>
                  <w:vMerge w:val="continue"/>
                  <w:vAlign w:val="center"/>
                </w:tcPr>
                <w:p>
                  <w:pPr>
                    <w:spacing w:line="240" w:lineRule="auto"/>
                    <w:ind w:firstLine="0" w:firstLineChars="0"/>
                    <w:jc w:val="center"/>
                    <w:rPr>
                      <w:rFonts w:hint="default" w:eastAsia="宋体"/>
                      <w:sz w:val="21"/>
                      <w:szCs w:val="21"/>
                      <w:lang w:val="en-US" w:eastAsia="zh-CN"/>
                    </w:rPr>
                  </w:pPr>
                </w:p>
              </w:tc>
              <w:tc>
                <w:tcPr>
                  <w:tcW w:w="412" w:type="pct"/>
                  <w:vMerge w:val="continue"/>
                  <w:vAlign w:val="center"/>
                </w:tcPr>
                <w:p>
                  <w:pPr>
                    <w:spacing w:line="240" w:lineRule="auto"/>
                    <w:ind w:firstLine="0" w:firstLineChars="0"/>
                    <w:jc w:val="center"/>
                    <w:rPr>
                      <w:rFonts w:hint="default" w:eastAsia="宋体"/>
                      <w:sz w:val="21"/>
                      <w:szCs w:val="21"/>
                      <w:lang w:val="en-US" w:eastAsia="zh-CN"/>
                    </w:rPr>
                  </w:pPr>
                </w:p>
              </w:tc>
              <w:tc>
                <w:tcPr>
                  <w:tcW w:w="421" w:type="pct"/>
                  <w:vMerge w:val="continue"/>
                  <w:vAlign w:val="center"/>
                </w:tcPr>
                <w:p>
                  <w:pPr>
                    <w:spacing w:line="240" w:lineRule="auto"/>
                    <w:ind w:firstLine="0" w:firstLineChars="0"/>
                    <w:jc w:val="center"/>
                    <w:rPr>
                      <w:sz w:val="21"/>
                      <w:szCs w:val="21"/>
                    </w:rPr>
                  </w:pPr>
                </w:p>
              </w:tc>
              <w:tc>
                <w:tcPr>
                  <w:tcW w:w="599" w:type="pct"/>
                  <w:vMerge w:val="continue"/>
                  <w:vAlign w:val="center"/>
                </w:tcPr>
                <w:p>
                  <w:pPr>
                    <w:spacing w:line="240" w:lineRule="auto"/>
                    <w:ind w:firstLine="0" w:firstLineChars="0"/>
                    <w:jc w:val="center"/>
                    <w:rPr>
                      <w:sz w:val="21"/>
                      <w:szCs w:val="21"/>
                    </w:rPr>
                  </w:pPr>
                </w:p>
              </w:tc>
              <w:tc>
                <w:tcPr>
                  <w:tcW w:w="827" w:type="pct"/>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vMerge w:val="continue"/>
                  <w:vAlign w:val="center"/>
                </w:tcPr>
                <w:p>
                  <w:pPr>
                    <w:spacing w:line="240" w:lineRule="auto"/>
                    <w:ind w:firstLine="0" w:firstLineChars="0"/>
                    <w:jc w:val="center"/>
                    <w:rPr>
                      <w:sz w:val="21"/>
                      <w:szCs w:val="21"/>
                    </w:rPr>
                  </w:pPr>
                </w:p>
              </w:tc>
              <w:tc>
                <w:tcPr>
                  <w:tcW w:w="589" w:type="pct"/>
                  <w:vAlign w:val="center"/>
                </w:tcPr>
                <w:p>
                  <w:pPr>
                    <w:spacing w:line="240" w:lineRule="auto"/>
                    <w:ind w:firstLine="0" w:firstLineChars="0"/>
                    <w:jc w:val="center"/>
                    <w:rPr>
                      <w:sz w:val="21"/>
                      <w:szCs w:val="21"/>
                    </w:rPr>
                  </w:pPr>
                  <w:r>
                    <w:rPr>
                      <w:rFonts w:hint="eastAsia"/>
                      <w:sz w:val="21"/>
                      <w:szCs w:val="21"/>
                      <w:lang w:val="en-US" w:eastAsia="zh-CN"/>
                    </w:rPr>
                    <w:t>宿舍楼</w:t>
                  </w:r>
                </w:p>
              </w:tc>
              <w:tc>
                <w:tcPr>
                  <w:tcW w:w="461" w:type="pct"/>
                  <w:vAlign w:val="center"/>
                </w:tcPr>
                <w:p>
                  <w:pPr>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-14</w:t>
                  </w:r>
                </w:p>
              </w:tc>
              <w:tc>
                <w:tcPr>
                  <w:tcW w:w="481" w:type="pct"/>
                  <w:vAlign w:val="center"/>
                </w:tcPr>
                <w:p>
                  <w:pPr>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693"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企业员工</w:t>
                  </w:r>
                </w:p>
              </w:tc>
              <w:tc>
                <w:tcPr>
                  <w:tcW w:w="412" w:type="pct"/>
                  <w:vAlign w:val="center"/>
                </w:tcPr>
                <w:p>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70</w:t>
                  </w:r>
                </w:p>
              </w:tc>
              <w:tc>
                <w:tcPr>
                  <w:tcW w:w="421"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W</w:t>
                  </w:r>
                </w:p>
              </w:tc>
              <w:tc>
                <w:tcPr>
                  <w:tcW w:w="599"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14</w:t>
                  </w:r>
                </w:p>
              </w:tc>
              <w:tc>
                <w:tcPr>
                  <w:tcW w:w="827" w:type="pct"/>
                  <w:vAlign w:val="center"/>
                </w:tcPr>
                <w:p>
                  <w:pPr>
                    <w:spacing w:line="240" w:lineRule="auto"/>
                    <w:ind w:firstLine="0" w:firstLineChars="0"/>
                    <w:jc w:val="center"/>
                    <w:rPr>
                      <w:sz w:val="21"/>
                      <w:szCs w:val="21"/>
                    </w:rPr>
                  </w:pPr>
                  <w:r>
                    <w:rPr>
                      <w:sz w:val="21"/>
                      <w:szCs w:val="21"/>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vMerge w:val="continue"/>
                  <w:vAlign w:val="center"/>
                </w:tcPr>
                <w:p>
                  <w:pPr>
                    <w:spacing w:line="240" w:lineRule="auto"/>
                    <w:ind w:firstLine="0" w:firstLineChars="0"/>
                    <w:jc w:val="center"/>
                    <w:rPr>
                      <w:sz w:val="21"/>
                      <w:szCs w:val="21"/>
                    </w:rPr>
                  </w:pPr>
                </w:p>
              </w:tc>
              <w:tc>
                <w:tcPr>
                  <w:tcW w:w="589" w:type="pct"/>
                  <w:vAlign w:val="center"/>
                </w:tcPr>
                <w:p>
                  <w:pPr>
                    <w:spacing w:line="240" w:lineRule="auto"/>
                    <w:ind w:firstLine="0" w:firstLineChars="0"/>
                    <w:jc w:val="center"/>
                    <w:rPr>
                      <w:sz w:val="21"/>
                      <w:szCs w:val="21"/>
                    </w:rPr>
                  </w:pPr>
                  <w:r>
                    <w:rPr>
                      <w:rFonts w:hint="eastAsia"/>
                      <w:sz w:val="21"/>
                      <w:szCs w:val="21"/>
                      <w:lang w:val="en-US" w:eastAsia="zh-CN"/>
                    </w:rPr>
                    <w:t>办公楼</w:t>
                  </w:r>
                </w:p>
              </w:tc>
              <w:tc>
                <w:tcPr>
                  <w:tcW w:w="461" w:type="pct"/>
                  <w:vAlign w:val="center"/>
                </w:tcPr>
                <w:p>
                  <w:pPr>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-62</w:t>
                  </w:r>
                </w:p>
              </w:tc>
              <w:tc>
                <w:tcPr>
                  <w:tcW w:w="481" w:type="pct"/>
                  <w:vAlign w:val="center"/>
                </w:tcPr>
                <w:p>
                  <w:pPr>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w:t>
                  </w:r>
                </w:p>
              </w:tc>
              <w:tc>
                <w:tcPr>
                  <w:tcW w:w="693" w:type="pct"/>
                  <w:vAlign w:val="center"/>
                </w:tcPr>
                <w:p>
                  <w:pPr>
                    <w:spacing w:line="240" w:lineRule="auto"/>
                    <w:ind w:firstLine="0" w:firstLineChars="0"/>
                    <w:jc w:val="center"/>
                    <w:rPr>
                      <w:sz w:val="21"/>
                      <w:szCs w:val="21"/>
                    </w:rPr>
                  </w:pPr>
                  <w:r>
                    <w:rPr>
                      <w:rFonts w:hint="eastAsia"/>
                      <w:sz w:val="21"/>
                      <w:szCs w:val="21"/>
                      <w:lang w:val="en-US" w:eastAsia="zh-CN"/>
                    </w:rPr>
                    <w:t>企业员工</w:t>
                  </w:r>
                </w:p>
              </w:tc>
              <w:tc>
                <w:tcPr>
                  <w:tcW w:w="412"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30</w:t>
                  </w:r>
                </w:p>
              </w:tc>
              <w:tc>
                <w:tcPr>
                  <w:tcW w:w="421"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W</w:t>
                  </w:r>
                </w:p>
              </w:tc>
              <w:tc>
                <w:tcPr>
                  <w:tcW w:w="599"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62</w:t>
                  </w:r>
                </w:p>
              </w:tc>
              <w:tc>
                <w:tcPr>
                  <w:tcW w:w="827" w:type="pct"/>
                  <w:vAlign w:val="center"/>
                </w:tcPr>
                <w:p>
                  <w:pPr>
                    <w:spacing w:line="240" w:lineRule="auto"/>
                    <w:ind w:firstLine="0" w:firstLineChars="0"/>
                    <w:jc w:val="center"/>
                    <w:rPr>
                      <w:sz w:val="21"/>
                      <w:szCs w:val="21"/>
                    </w:rPr>
                  </w:pPr>
                  <w:r>
                    <w:rPr>
                      <w:sz w:val="21"/>
                      <w:szCs w:val="21"/>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vAlign w:val="center"/>
                </w:tcPr>
                <w:p>
                  <w:pPr>
                    <w:spacing w:line="240" w:lineRule="auto"/>
                    <w:ind w:firstLine="0" w:firstLineChars="0"/>
                    <w:jc w:val="center"/>
                    <w:rPr>
                      <w:sz w:val="21"/>
                      <w:szCs w:val="21"/>
                    </w:rPr>
                  </w:pPr>
                  <w:r>
                    <w:rPr>
                      <w:sz w:val="21"/>
                      <w:szCs w:val="21"/>
                    </w:rPr>
                    <w:t>声环境</w:t>
                  </w:r>
                </w:p>
              </w:tc>
              <w:tc>
                <w:tcPr>
                  <w:tcW w:w="2637" w:type="pct"/>
                  <w:gridSpan w:val="5"/>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宿舍楼</w:t>
                  </w:r>
                </w:p>
              </w:tc>
              <w:tc>
                <w:tcPr>
                  <w:tcW w:w="421" w:type="pct"/>
                  <w:vAlign w:val="center"/>
                </w:tcPr>
                <w:p>
                  <w:pPr>
                    <w:spacing w:line="240" w:lineRule="auto"/>
                    <w:ind w:firstLine="0" w:firstLineChars="0"/>
                    <w:jc w:val="center"/>
                    <w:rPr>
                      <w:sz w:val="21"/>
                      <w:szCs w:val="21"/>
                    </w:rPr>
                  </w:pPr>
                  <w:r>
                    <w:rPr>
                      <w:rFonts w:hint="eastAsia"/>
                      <w:sz w:val="21"/>
                      <w:szCs w:val="21"/>
                      <w:lang w:val="en-US" w:eastAsia="zh-CN"/>
                    </w:rPr>
                    <w:t>SN</w:t>
                  </w:r>
                </w:p>
              </w:tc>
              <w:tc>
                <w:tcPr>
                  <w:tcW w:w="599" w:type="pct"/>
                  <w:vAlign w:val="center"/>
                </w:tcPr>
                <w:p>
                  <w:pPr>
                    <w:spacing w:line="240" w:lineRule="auto"/>
                    <w:ind w:firstLine="0" w:firstLineChars="0"/>
                    <w:jc w:val="center"/>
                    <w:rPr>
                      <w:rFonts w:hint="default"/>
                      <w:sz w:val="21"/>
                      <w:szCs w:val="21"/>
                      <w:lang w:val="en-US"/>
                    </w:rPr>
                  </w:pPr>
                  <w:r>
                    <w:rPr>
                      <w:rFonts w:hint="eastAsia"/>
                      <w:sz w:val="21"/>
                      <w:szCs w:val="21"/>
                      <w:lang w:val="en-US" w:eastAsia="zh-CN"/>
                    </w:rPr>
                    <w:t>14</w:t>
                  </w:r>
                </w:p>
              </w:tc>
              <w:tc>
                <w:tcPr>
                  <w:tcW w:w="827" w:type="pct"/>
                  <w:vAlign w:val="center"/>
                </w:tcPr>
                <w:p>
                  <w:pPr>
                    <w:spacing w:line="240" w:lineRule="auto"/>
                    <w:ind w:firstLine="0" w:firstLineChars="0"/>
                    <w:jc w:val="center"/>
                    <w:rPr>
                      <w:sz w:val="21"/>
                      <w:szCs w:val="21"/>
                    </w:rPr>
                  </w:pPr>
                  <w:r>
                    <w:rPr>
                      <w:rFonts w:hint="default" w:ascii="Times New Roman" w:hAnsi="Times New Roman" w:cs="Times New Roman"/>
                      <w:sz w:val="21"/>
                      <w:szCs w:val="21"/>
                    </w:rPr>
                    <w:t>Ⅲ</w:t>
                  </w:r>
                  <w:r>
                    <w:rPr>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vAlign w:val="center"/>
                </w:tcPr>
                <w:p>
                  <w:pPr>
                    <w:spacing w:line="240" w:lineRule="auto"/>
                    <w:ind w:firstLine="0" w:firstLineChars="0"/>
                    <w:jc w:val="center"/>
                    <w:rPr>
                      <w:sz w:val="21"/>
                      <w:szCs w:val="21"/>
                    </w:rPr>
                  </w:pPr>
                  <w:r>
                    <w:rPr>
                      <w:rFonts w:hint="eastAsia"/>
                      <w:sz w:val="21"/>
                      <w:szCs w:val="21"/>
                    </w:rPr>
                    <w:t>地下水环境</w:t>
                  </w:r>
                </w:p>
              </w:tc>
              <w:tc>
                <w:tcPr>
                  <w:tcW w:w="2637" w:type="pct"/>
                  <w:gridSpan w:val="5"/>
                  <w:vAlign w:val="center"/>
                </w:tcPr>
                <w:p>
                  <w:pPr>
                    <w:spacing w:line="240" w:lineRule="auto"/>
                    <w:ind w:firstLine="0" w:firstLineChars="0"/>
                    <w:jc w:val="center"/>
                    <w:rPr>
                      <w:sz w:val="21"/>
                      <w:szCs w:val="21"/>
                    </w:rPr>
                  </w:pPr>
                  <w:r>
                    <w:rPr>
                      <w:rFonts w:hint="eastAsia"/>
                      <w:sz w:val="21"/>
                      <w:szCs w:val="21"/>
                    </w:rPr>
                    <w:t>厂界外500米范围内无地下水集中式饮用水水源和热水、矿泉水、温泉等特殊地下水资源</w:t>
                  </w:r>
                </w:p>
              </w:tc>
              <w:tc>
                <w:tcPr>
                  <w:tcW w:w="421" w:type="pc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99" w:type="pc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827" w:type="pc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生态环境</w:t>
                  </w:r>
                </w:p>
              </w:tc>
              <w:tc>
                <w:tcPr>
                  <w:tcW w:w="2637" w:type="pct"/>
                  <w:gridSpan w:val="5"/>
                  <w:vAlign w:val="center"/>
                </w:tcPr>
                <w:p>
                  <w:pPr>
                    <w:spacing w:line="240" w:lineRule="auto"/>
                    <w:ind w:firstLine="0" w:firstLineChars="0"/>
                    <w:jc w:val="center"/>
                    <w:rPr>
                      <w:sz w:val="21"/>
                      <w:szCs w:val="21"/>
                    </w:rPr>
                  </w:pPr>
                  <w:r>
                    <w:rPr>
                      <w:rFonts w:hint="eastAsia"/>
                      <w:sz w:val="21"/>
                      <w:szCs w:val="21"/>
                      <w:lang w:val="en-US" w:eastAsia="zh-CN"/>
                    </w:rPr>
                    <w:t>项</w:t>
                  </w:r>
                  <w:r>
                    <w:rPr>
                      <w:rFonts w:hint="eastAsia" w:ascii="Times New Roman" w:hAnsi="Times New Roman" w:eastAsia="宋体"/>
                      <w:sz w:val="21"/>
                      <w:szCs w:val="21"/>
                      <w:lang w:val="en-US" w:eastAsia="zh-CN"/>
                    </w:rPr>
                    <w:t>目位于</w:t>
                  </w:r>
                  <w:r>
                    <w:rPr>
                      <w:rFonts w:hint="eastAsia" w:ascii="Times New Roman" w:hAnsi="Times New Roman" w:eastAsia="宋体"/>
                      <w:sz w:val="21"/>
                      <w:szCs w:val="21"/>
                    </w:rPr>
                    <w:t>红桥石油服务区</w:t>
                  </w:r>
                  <w:r>
                    <w:rPr>
                      <w:rFonts w:hint="eastAsia"/>
                      <w:sz w:val="21"/>
                      <w:szCs w:val="21"/>
                      <w:lang w:val="en-US" w:eastAsia="zh-CN"/>
                    </w:rPr>
                    <w:t>，周围均为其他企业，人为干扰因素较强，</w:t>
                  </w:r>
                  <w:r>
                    <w:rPr>
                      <w:rFonts w:hint="eastAsia"/>
                      <w:sz w:val="21"/>
                      <w:szCs w:val="21"/>
                    </w:rPr>
                    <w:t>周边无野生动植物分布</w:t>
                  </w:r>
                </w:p>
              </w:tc>
              <w:tc>
                <w:tcPr>
                  <w:tcW w:w="421" w:type="pc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99" w:type="pc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827" w:type="pct"/>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r>
          </w:tbl>
          <w:p>
            <w:pPr>
              <w:ind w:firstLine="480"/>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308" w:type="pct"/>
            <w:tcMar>
              <w:left w:w="28" w:type="dxa"/>
              <w:right w:w="28" w:type="dxa"/>
            </w:tcMar>
            <w:vAlign w:val="center"/>
          </w:tcPr>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污染</w:t>
            </w:r>
          </w:p>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物排</w:t>
            </w:r>
          </w:p>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放控</w:t>
            </w:r>
          </w:p>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制标</w:t>
            </w:r>
          </w:p>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准</w:t>
            </w:r>
          </w:p>
        </w:tc>
        <w:tc>
          <w:tcPr>
            <w:tcW w:w="4691" w:type="pct"/>
          </w:tcPr>
          <w:p>
            <w:pPr>
              <w:pStyle w:val="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3.7污染物排放控制标准</w:t>
            </w:r>
          </w:p>
          <w:p>
            <w:pPr>
              <w:pStyle w:val="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3.7.1</w:t>
            </w:r>
            <w:r>
              <w:rPr>
                <w:rFonts w:hint="eastAsia"/>
                <w:color w:val="000000" w:themeColor="text1"/>
                <w14:textFill>
                  <w14:solidFill>
                    <w14:schemeClr w14:val="tx1"/>
                  </w14:solidFill>
                </w14:textFill>
              </w:rPr>
              <w:t>大气污染物排放标准</w:t>
            </w:r>
          </w:p>
          <w:p>
            <w:pPr>
              <w:ind w:firstLine="480"/>
            </w:pPr>
            <w:r>
              <w:rPr>
                <w:rFonts w:hint="eastAsia"/>
                <w:lang w:val="en-US" w:eastAsia="zh-CN"/>
              </w:rPr>
              <w:t>本项目</w:t>
            </w:r>
            <w:r>
              <w:rPr>
                <w:rFonts w:hint="eastAsia"/>
              </w:rPr>
              <w:t>燃气锅炉污染物颗粒物、二氧化硫执行《锅炉大气污染物排放标准》（GB13271-2014）表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限值中燃气锅炉标准；氮氧化物</w:t>
            </w:r>
            <w:r>
              <w:rPr>
                <w:rFonts w:hint="eastAsia"/>
                <w:lang w:val="en-US" w:eastAsia="zh-CN"/>
              </w:rPr>
              <w:t>满足</w:t>
            </w: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号）氮氧化物</w:t>
            </w:r>
            <w:r>
              <w:rPr>
                <w:rFonts w:hint="eastAsia"/>
                <w:lang w:val="en-US" w:eastAsia="zh-CN"/>
              </w:rPr>
              <w:t>≤</w:t>
            </w:r>
            <w:r>
              <w:rPr>
                <w:rFonts w:hint="eastAsia"/>
              </w:rPr>
              <w:t>50mg/m</w:t>
            </w:r>
            <w:r>
              <w:rPr>
                <w:rFonts w:hint="eastAsia"/>
                <w:vertAlign w:val="superscript"/>
              </w:rPr>
              <w:t>3</w:t>
            </w:r>
            <w:r>
              <w:rPr>
                <w:rFonts w:hint="eastAsia"/>
              </w:rPr>
              <w:t>的要求。</w:t>
            </w:r>
          </w:p>
          <w:p>
            <w:pPr>
              <w:pStyle w:val="34"/>
              <w:bidi w:val="0"/>
            </w:pPr>
            <w:r>
              <w:rPr>
                <w:rFonts w:hint="eastAsia"/>
              </w:rPr>
              <w:t>表3</w:t>
            </w:r>
            <w:r>
              <w:rPr>
                <w:rFonts w:hint="eastAsia"/>
                <w:lang w:val="en-US" w:eastAsia="zh-CN"/>
              </w:rPr>
              <w:t>-3</w:t>
            </w:r>
            <w:r>
              <w:rPr>
                <w:rFonts w:hint="eastAsia"/>
              </w:rPr>
              <w:t xml:space="preserve">  锅炉大气污染物排放浓度限值</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1115"/>
              <w:gridCol w:w="4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2" w:type="dxa"/>
                  <w:vMerge w:val="restart"/>
                  <w:vAlign w:val="center"/>
                </w:tcPr>
                <w:p>
                  <w:pPr>
                    <w:pStyle w:val="33"/>
                  </w:pPr>
                  <w:r>
                    <w:rPr>
                      <w:rFonts w:hint="eastAsia"/>
                    </w:rPr>
                    <w:t>污染物项目</w:t>
                  </w:r>
                </w:p>
              </w:tc>
              <w:tc>
                <w:tcPr>
                  <w:tcW w:w="1115" w:type="dxa"/>
                  <w:vAlign w:val="center"/>
                </w:tcPr>
                <w:p>
                  <w:pPr>
                    <w:pStyle w:val="33"/>
                  </w:pPr>
                  <w:r>
                    <w:rPr>
                      <w:rFonts w:hint="eastAsia"/>
                    </w:rPr>
                    <w:t>限值</w:t>
                  </w:r>
                </w:p>
              </w:tc>
              <w:tc>
                <w:tcPr>
                  <w:tcW w:w="4549" w:type="dxa"/>
                  <w:vMerge w:val="restart"/>
                  <w:vAlign w:val="center"/>
                </w:tcPr>
                <w:p>
                  <w:pPr>
                    <w:pStyle w:val="33"/>
                    <w:rPr>
                      <w:rFonts w:hint="eastAsia" w:eastAsia="宋体"/>
                      <w:lang w:eastAsia="zh-CN"/>
                    </w:rPr>
                  </w:pPr>
                  <w:r>
                    <w:rPr>
                      <w:rFonts w:hint="eastAsia" w:ascii="Times New Roman" w:hAnsi="Times New Roman" w:eastAsia="宋体"/>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2" w:type="dxa"/>
                  <w:vMerge w:val="continue"/>
                  <w:vAlign w:val="center"/>
                </w:tcPr>
                <w:p>
                  <w:pPr>
                    <w:pStyle w:val="33"/>
                  </w:pPr>
                </w:p>
              </w:tc>
              <w:tc>
                <w:tcPr>
                  <w:tcW w:w="1115" w:type="dxa"/>
                  <w:vAlign w:val="center"/>
                </w:tcPr>
                <w:p>
                  <w:pPr>
                    <w:pStyle w:val="33"/>
                  </w:pPr>
                  <w:r>
                    <w:rPr>
                      <w:rFonts w:hint="eastAsia"/>
                    </w:rPr>
                    <w:t>燃气锅炉</w:t>
                  </w:r>
                </w:p>
              </w:tc>
              <w:tc>
                <w:tcPr>
                  <w:tcW w:w="4549"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2" w:type="dxa"/>
                  <w:vAlign w:val="center"/>
                </w:tcPr>
                <w:p>
                  <w:pPr>
                    <w:pStyle w:val="33"/>
                  </w:pPr>
                  <w:r>
                    <w:rPr>
                      <w:rFonts w:hint="eastAsia"/>
                    </w:rPr>
                    <w:t>颗粒物</w:t>
                  </w:r>
                </w:p>
              </w:tc>
              <w:tc>
                <w:tcPr>
                  <w:tcW w:w="1115" w:type="dxa"/>
                  <w:vAlign w:val="center"/>
                </w:tcPr>
                <w:p>
                  <w:pPr>
                    <w:pStyle w:val="33"/>
                  </w:pPr>
                  <w:r>
                    <w:rPr>
                      <w:rFonts w:hint="eastAsia"/>
                    </w:rPr>
                    <w:t>20</w:t>
                  </w:r>
                  <w:r>
                    <w:t>mg/m</w:t>
                  </w:r>
                  <w:r>
                    <w:rPr>
                      <w:vertAlign w:val="superscript"/>
                    </w:rPr>
                    <w:t>3</w:t>
                  </w:r>
                </w:p>
              </w:tc>
              <w:tc>
                <w:tcPr>
                  <w:tcW w:w="4549" w:type="dxa"/>
                  <w:vMerge w:val="restart"/>
                  <w:vAlign w:val="center"/>
                </w:tcPr>
                <w:p>
                  <w:pPr>
                    <w:pStyle w:val="33"/>
                  </w:pPr>
                  <w:r>
                    <w:rPr>
                      <w:rFonts w:hint="eastAsia"/>
                      <w:color w:val="auto"/>
                    </w:rPr>
                    <w:t>《锅炉大气污染物排放标准》（GB13271-2014）</w:t>
                  </w:r>
                  <w:r>
                    <w:rPr>
                      <w:rFonts w:hint="eastAsia"/>
                    </w:rPr>
                    <w:t>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2" w:type="dxa"/>
                  <w:vAlign w:val="center"/>
                </w:tcPr>
                <w:p>
                  <w:pPr>
                    <w:pStyle w:val="33"/>
                  </w:pPr>
                  <w:r>
                    <w:rPr>
                      <w:rFonts w:hint="eastAsia"/>
                    </w:rPr>
                    <w:t>二氧化硫</w:t>
                  </w:r>
                </w:p>
              </w:tc>
              <w:tc>
                <w:tcPr>
                  <w:tcW w:w="1115" w:type="dxa"/>
                  <w:vAlign w:val="center"/>
                </w:tcPr>
                <w:p>
                  <w:pPr>
                    <w:pStyle w:val="33"/>
                  </w:pPr>
                  <w:r>
                    <w:rPr>
                      <w:rFonts w:hint="eastAsia"/>
                    </w:rPr>
                    <w:t>50</w:t>
                  </w:r>
                  <w:r>
                    <w:t>mg/m</w:t>
                  </w:r>
                  <w:r>
                    <w:rPr>
                      <w:vertAlign w:val="superscript"/>
                    </w:rPr>
                    <w:t>3</w:t>
                  </w:r>
                </w:p>
              </w:tc>
              <w:tc>
                <w:tcPr>
                  <w:tcW w:w="4549"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2" w:type="dxa"/>
                  <w:vAlign w:val="center"/>
                </w:tcPr>
                <w:p>
                  <w:pPr>
                    <w:pStyle w:val="33"/>
                    <w:rPr>
                      <w:rFonts w:hint="eastAsia" w:eastAsia="宋体"/>
                      <w:lang w:eastAsia="zh-CN"/>
                    </w:rPr>
                  </w:pPr>
                  <w:r>
                    <w:rPr>
                      <w:rFonts w:hint="eastAsia"/>
                    </w:rPr>
                    <w:t>烟气黑</w:t>
                  </w:r>
                  <w:r>
                    <w:rPr>
                      <w:rFonts w:hint="eastAsia"/>
                      <w:lang w:val="en-US" w:eastAsia="zh-CN"/>
                    </w:rPr>
                    <w:t>度</w:t>
                  </w:r>
                  <w:r>
                    <w:rPr>
                      <w:rFonts w:hint="eastAsia"/>
                      <w:lang w:eastAsia="zh-CN"/>
                    </w:rPr>
                    <w:t>（</w:t>
                  </w:r>
                  <w:r>
                    <w:rPr>
                      <w:rFonts w:hint="eastAsia"/>
                    </w:rPr>
                    <w:t>林格曼黑度，级</w:t>
                  </w:r>
                  <w:r>
                    <w:rPr>
                      <w:rFonts w:hint="eastAsia"/>
                      <w:lang w:eastAsia="zh-CN"/>
                    </w:rPr>
                    <w:t>）</w:t>
                  </w:r>
                </w:p>
              </w:tc>
              <w:tc>
                <w:tcPr>
                  <w:tcW w:w="1115" w:type="dxa"/>
                  <w:vAlign w:val="center"/>
                </w:tcPr>
                <w:p>
                  <w:pPr>
                    <w:pStyle w:val="33"/>
                  </w:pPr>
                  <w:r>
                    <w:rPr>
                      <w:rFonts w:hint="eastAsia"/>
                    </w:rPr>
                    <w:t>≤1</w:t>
                  </w:r>
                </w:p>
              </w:tc>
              <w:tc>
                <w:tcPr>
                  <w:tcW w:w="4549"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2" w:type="dxa"/>
                  <w:vAlign w:val="center"/>
                </w:tcPr>
                <w:p>
                  <w:pPr>
                    <w:pStyle w:val="33"/>
                    <w:ind w:firstLine="0" w:firstLineChars="0"/>
                    <w:rPr>
                      <w:rFonts w:hint="eastAsia"/>
                    </w:rPr>
                  </w:pPr>
                  <w:r>
                    <w:rPr>
                      <w:rFonts w:hint="eastAsia"/>
                    </w:rPr>
                    <w:t>氮氧化物</w:t>
                  </w:r>
                </w:p>
              </w:tc>
              <w:tc>
                <w:tcPr>
                  <w:tcW w:w="1115" w:type="dxa"/>
                  <w:vAlign w:val="center"/>
                </w:tcPr>
                <w:p>
                  <w:pPr>
                    <w:pStyle w:val="33"/>
                    <w:ind w:firstLine="0" w:firstLineChars="0"/>
                    <w:rPr>
                      <w:rFonts w:hint="eastAsia"/>
                    </w:rPr>
                  </w:pPr>
                  <w:r>
                    <w:rPr>
                      <w:rFonts w:hint="eastAsia"/>
                      <w:lang w:val="en-US" w:eastAsia="zh-CN"/>
                    </w:rPr>
                    <w:t>50</w:t>
                  </w:r>
                  <w:r>
                    <w:t>mg/m</w:t>
                  </w:r>
                  <w:r>
                    <w:rPr>
                      <w:vertAlign w:val="superscript"/>
                    </w:rPr>
                    <w:t>3</w:t>
                  </w:r>
                </w:p>
              </w:tc>
              <w:tc>
                <w:tcPr>
                  <w:tcW w:w="4549" w:type="dxa"/>
                  <w:vAlign w:val="center"/>
                </w:tcPr>
                <w:p>
                  <w:pPr>
                    <w:pStyle w:val="33"/>
                    <w:rPr>
                      <w:rFonts w:hint="eastAsia"/>
                    </w:rPr>
                  </w:pP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w:t>
                  </w:r>
                </w:p>
              </w:tc>
            </w:tr>
          </w:tbl>
          <w:p>
            <w:pPr>
              <w:pStyle w:val="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3.7.2</w:t>
            </w:r>
            <w:r>
              <w:rPr>
                <w:rFonts w:hint="eastAsia"/>
                <w:color w:val="000000" w:themeColor="text1"/>
                <w14:textFill>
                  <w14:solidFill>
                    <w14:schemeClr w14:val="tx1"/>
                  </w14:solidFill>
                </w14:textFill>
              </w:rPr>
              <w:t>废水排放标准</w:t>
            </w:r>
          </w:p>
          <w:p>
            <w:pPr>
              <w:ind w:firstLine="480"/>
            </w:pPr>
            <w:r>
              <w:rPr>
                <w:rFonts w:hint="eastAsia"/>
              </w:rPr>
              <w:t>运营期生产废水（锅炉</w:t>
            </w:r>
            <w:r>
              <w:rPr>
                <w:rFonts w:hint="eastAsia"/>
                <w:lang w:val="en-US" w:eastAsia="zh-CN"/>
              </w:rPr>
              <w:t>废水</w:t>
            </w:r>
            <w:r>
              <w:rPr>
                <w:rFonts w:hint="eastAsia"/>
                <w:lang w:eastAsia="zh-CN"/>
              </w:rPr>
              <w:t>、</w:t>
            </w:r>
            <w:r>
              <w:rPr>
                <w:rFonts w:hint="eastAsia" w:ascii="Times New Roman" w:hAnsi="Times New Roman" w:cs="Times New Roman"/>
                <w:lang w:val="en-US" w:eastAsia="zh-CN"/>
              </w:rPr>
              <w:t>锅炉</w:t>
            </w:r>
            <w:r>
              <w:rPr>
                <w:rFonts w:hint="default" w:ascii="Times New Roman" w:hAnsi="Times New Roman" w:cs="Times New Roman"/>
                <w:lang w:val="en-US" w:eastAsia="zh-CN"/>
              </w:rPr>
              <w:t>软化水</w:t>
            </w:r>
            <w:r>
              <w:rPr>
                <w:rFonts w:hint="default" w:ascii="Times New Roman" w:hAnsi="Times New Roman" w:cs="Times New Roman"/>
              </w:rPr>
              <w:t>装置</w:t>
            </w:r>
            <w:r>
              <w:rPr>
                <w:rFonts w:hint="eastAsia"/>
                <w:lang w:val="en-US" w:eastAsia="zh-CN"/>
              </w:rPr>
              <w:t>产生的浓水</w:t>
            </w:r>
            <w:r>
              <w:rPr>
                <w:rFonts w:hint="eastAsia"/>
              </w:rPr>
              <w:t>）</w:t>
            </w:r>
            <w:r>
              <w:rPr>
                <w:rFonts w:hint="eastAsia"/>
                <w:kern w:val="0"/>
                <w:szCs w:val="21"/>
              </w:rPr>
              <w:t>排入园区污水管网，进入园区污水处理厂进一步处置</w:t>
            </w:r>
            <w:r>
              <w:rPr>
                <w:rFonts w:hint="eastAsia"/>
              </w:rPr>
              <w:t>。</w:t>
            </w:r>
          </w:p>
          <w:p>
            <w:pPr>
              <w:pStyle w:val="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3.7.3</w:t>
            </w:r>
            <w:r>
              <w:rPr>
                <w:rFonts w:hint="eastAsia"/>
                <w:color w:val="000000" w:themeColor="text1"/>
                <w14:textFill>
                  <w14:solidFill>
                    <w14:schemeClr w14:val="tx1"/>
                  </w14:solidFill>
                </w14:textFill>
              </w:rPr>
              <w:t>噪声排放标准</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运营期噪声执行《工业企业厂界环境噪声排放标准》（GB12348-2008）中3类标准，</w:t>
            </w:r>
            <w:r>
              <w:t>即昼间：6</w:t>
            </w:r>
            <w:r>
              <w:rPr>
                <w:rFonts w:hint="eastAsia"/>
                <w:lang w:val="en-US" w:eastAsia="zh-CN"/>
              </w:rPr>
              <w:t>5</w:t>
            </w:r>
            <w:r>
              <w:t>dB(A)，夜间：5</w:t>
            </w:r>
            <w:r>
              <w:rPr>
                <w:rFonts w:hint="eastAsia"/>
                <w:lang w:val="en-US" w:eastAsia="zh-CN"/>
              </w:rPr>
              <w:t>5</w:t>
            </w:r>
            <w:r>
              <w:t>dB(A)</w:t>
            </w:r>
            <w:r>
              <w:rPr>
                <w:color w:val="000000" w:themeColor="text1"/>
                <w14:textFill>
                  <w14:solidFill>
                    <w14:schemeClr w14:val="tx1"/>
                  </w14:solidFill>
                </w14:textFill>
              </w:rPr>
              <w:t>。</w:t>
            </w:r>
          </w:p>
          <w:p>
            <w:pPr>
              <w:ind w:left="0" w:leftChars="0" w:firstLine="0" w:firstLineChars="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3.7.4</w:t>
            </w:r>
            <w:r>
              <w:rPr>
                <w:rFonts w:hint="eastAsia"/>
                <w:b/>
                <w:bCs/>
                <w:color w:val="000000" w:themeColor="text1"/>
                <w14:textFill>
                  <w14:solidFill>
                    <w14:schemeClr w14:val="tx1"/>
                  </w14:solidFill>
                </w14:textFill>
              </w:rPr>
              <w:t>固体废物</w:t>
            </w:r>
          </w:p>
          <w:p>
            <w:pPr>
              <w:ind w:firstLine="480"/>
              <w:rPr>
                <w:color w:val="000000" w:themeColor="text1"/>
                <w14:textFill>
                  <w14:solidFill>
                    <w14:schemeClr w14:val="tx1"/>
                  </w14:solidFill>
                </w14:textFill>
              </w:rPr>
            </w:pPr>
            <w:r>
              <w:rPr>
                <w:rFonts w:hint="eastAsia" w:ascii="宋体" w:hAnsi="宋体"/>
                <w:szCs w:val="24"/>
              </w:rPr>
              <w:t>本项目</w:t>
            </w:r>
            <w:r>
              <w:rPr>
                <w:rFonts w:hint="eastAsia" w:ascii="Times New Roman" w:hAnsi="Times New Roman" w:cs="Times New Roman"/>
                <w:lang w:val="en-US" w:eastAsia="zh-CN"/>
              </w:rPr>
              <w:t>锅炉</w:t>
            </w:r>
            <w:r>
              <w:rPr>
                <w:rFonts w:hint="default" w:ascii="Times New Roman" w:hAnsi="Times New Roman" w:cs="Times New Roman"/>
                <w:lang w:val="en-US" w:eastAsia="zh-CN"/>
              </w:rPr>
              <w:t>软化水</w:t>
            </w:r>
            <w:r>
              <w:rPr>
                <w:rFonts w:hint="default" w:ascii="Times New Roman" w:hAnsi="Times New Roman" w:cs="Times New Roman"/>
              </w:rPr>
              <w:t>装置</w:t>
            </w:r>
            <w:r>
              <w:rPr>
                <w:rFonts w:hint="eastAsia" w:ascii="宋体" w:hAnsi="宋体"/>
                <w:szCs w:val="24"/>
              </w:rPr>
              <w:t>产生</w:t>
            </w:r>
            <w:r>
              <w:rPr>
                <w:rFonts w:hint="eastAsia" w:ascii="宋体" w:hAnsi="宋体"/>
                <w:szCs w:val="24"/>
                <w:lang w:val="en-US" w:eastAsia="zh-CN"/>
              </w:rPr>
              <w:t>的离子交换树脂由厂家进行定期更换回收，不在厂区内贮存</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0" w:hRule="atLeast"/>
          <w:jc w:val="center"/>
        </w:trPr>
        <w:tc>
          <w:tcPr>
            <w:tcW w:w="308" w:type="pct"/>
            <w:vAlign w:val="center"/>
          </w:tcPr>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总量</w:t>
            </w:r>
          </w:p>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控制</w:t>
            </w:r>
          </w:p>
          <w:p>
            <w:pPr>
              <w:adjustRightInd w:val="0"/>
              <w:snapToGrid w:val="0"/>
              <w:spacing w:line="240" w:lineRule="auto"/>
              <w:ind w:firstLine="0" w:firstLineChars="0"/>
              <w:jc w:val="center"/>
              <w:textAlignment w:val="auto"/>
              <w:rPr>
                <w:rFonts w:hint="eastAsia" w:ascii="宋体" w:hAnsi="宋体" w:cs="宋体"/>
                <w:b/>
                <w:bCs/>
                <w:color w:val="000000" w:themeColor="text1"/>
                <w:kern w:val="0"/>
                <w:szCs w:val="24"/>
                <w14:textFill>
                  <w14:solidFill>
                    <w14:schemeClr w14:val="tx1"/>
                  </w14:solidFill>
                </w14:textFill>
              </w:rPr>
            </w:pPr>
            <w:r>
              <w:rPr>
                <w:rFonts w:hint="eastAsia" w:ascii="宋体" w:hAnsi="宋体" w:cs="宋体"/>
                <w:b/>
                <w:bCs/>
                <w:color w:val="000000" w:themeColor="text1"/>
                <w:kern w:val="0"/>
                <w:szCs w:val="24"/>
                <w14:textFill>
                  <w14:solidFill>
                    <w14:schemeClr w14:val="tx1"/>
                  </w14:solidFill>
                </w14:textFill>
              </w:rPr>
              <w:t>指标</w:t>
            </w:r>
          </w:p>
        </w:tc>
        <w:tc>
          <w:tcPr>
            <w:tcW w:w="4691" w:type="pct"/>
          </w:tcPr>
          <w:p>
            <w:pPr>
              <w:ind w:left="0" w:leftChars="0" w:firstLine="0" w:firstLineChars="0"/>
              <w:rPr>
                <w:rFonts w:hint="eastAsia"/>
                <w:b/>
                <w:bCs/>
                <w:highlight w:val="none"/>
                <w:lang w:val="en-US" w:eastAsia="zh-CN"/>
              </w:rPr>
            </w:pPr>
            <w:r>
              <w:rPr>
                <w:rFonts w:hint="eastAsia"/>
                <w:b/>
                <w:bCs/>
                <w:highlight w:val="none"/>
                <w:lang w:val="en-US" w:eastAsia="zh-CN"/>
              </w:rPr>
              <w:t>3.8总量控制指标</w:t>
            </w:r>
          </w:p>
          <w:p>
            <w:pPr>
              <w:bidi w:val="0"/>
              <w:rPr>
                <w:rFonts w:hint="eastAsia"/>
                <w:lang w:val="en-US" w:eastAsia="zh-CN"/>
              </w:rPr>
            </w:pPr>
            <w:r>
              <w:rPr>
                <w:rFonts w:hint="eastAsia"/>
              </w:rPr>
              <w:t>根据生态环境部污染物总量控制因子，确定本项目大气总量控制因子为氮氧化物</w:t>
            </w:r>
            <w:r>
              <w:rPr>
                <w:rFonts w:hint="eastAsia"/>
                <w:lang w:eastAsia="zh-CN"/>
              </w:rPr>
              <w:t>；</w:t>
            </w:r>
            <w:r>
              <w:rPr>
                <w:rFonts w:hint="eastAsia"/>
                <w:lang w:val="en-US" w:eastAsia="zh-CN"/>
              </w:rPr>
              <w:t>本项目</w:t>
            </w:r>
            <w:r>
              <w:rPr>
                <w:rFonts w:hint="eastAsia"/>
              </w:rPr>
              <w:t>生产废水</w:t>
            </w:r>
            <w:r>
              <w:rPr>
                <w:rFonts w:hint="eastAsia"/>
                <w:kern w:val="0"/>
                <w:szCs w:val="21"/>
              </w:rPr>
              <w:t>排入园区污水管网，进入园区污水处理厂进一步处置</w:t>
            </w:r>
            <w:r>
              <w:t>，总量从接纳污水的污水处理厂中扣除，所以</w:t>
            </w:r>
            <w:r>
              <w:rPr>
                <w:rFonts w:hint="eastAsia"/>
              </w:rPr>
              <w:t>本项目无需</w:t>
            </w:r>
            <w:r>
              <w:t>申请</w:t>
            </w:r>
            <w:r>
              <w:rPr>
                <w:rFonts w:hint="eastAsia"/>
              </w:rPr>
              <w:t>水污染物</w:t>
            </w:r>
            <w:r>
              <w:t>总量控制。</w:t>
            </w:r>
          </w:p>
          <w:p>
            <w:pPr>
              <w:pStyle w:val="5"/>
              <w:rPr>
                <w:rFonts w:hint="eastAsia"/>
              </w:rPr>
            </w:pPr>
            <w:r>
              <w:rPr>
                <w:rFonts w:hint="eastAsia"/>
                <w:lang w:val="en-US" w:eastAsia="zh-CN"/>
              </w:rPr>
              <w:t>3.8.1燃气锅炉</w:t>
            </w:r>
            <w:r>
              <w:rPr>
                <w:rFonts w:hint="eastAsia"/>
              </w:rPr>
              <w:t>氮氧化物总量核算</w:t>
            </w:r>
          </w:p>
          <w:p>
            <w:pPr>
              <w:ind w:firstLine="480"/>
              <w:rPr>
                <w:rFonts w:hint="eastAsia"/>
                <w:lang w:eastAsia="zh-CN"/>
              </w:rPr>
            </w:pPr>
            <w:r>
              <w:rPr>
                <w:rFonts w:hint="eastAsia" w:cs="Times New Roman"/>
              </w:rPr>
              <w:t>本项目</w:t>
            </w:r>
            <w:r>
              <w:rPr>
                <w:rFonts w:hint="eastAsia"/>
              </w:rPr>
              <w:t>建设</w:t>
            </w:r>
            <w:r>
              <w:rPr>
                <w:rFonts w:hint="eastAsia"/>
                <w:highlight w:val="none"/>
                <w:lang w:val="en-US" w:eastAsia="zh-CN"/>
              </w:rPr>
              <w:t>1台4.2MW燃气常压热水锅炉</w:t>
            </w:r>
            <w:r>
              <w:rPr>
                <w:rFonts w:hint="eastAsia"/>
              </w:rPr>
              <w:t>及附属设备</w:t>
            </w:r>
            <w:r>
              <w:rPr>
                <w:rFonts w:hint="eastAsia"/>
                <w:lang w:eastAsia="zh-CN"/>
              </w:rPr>
              <w:t>，</w:t>
            </w:r>
            <w:r>
              <w:rPr>
                <w:rFonts w:hint="eastAsia"/>
                <w:lang w:val="en-US" w:eastAsia="zh-CN"/>
              </w:rPr>
              <w:t>根据业主提供资料</w:t>
            </w:r>
            <w:r>
              <w:rPr>
                <w:rFonts w:hint="eastAsia"/>
              </w:rPr>
              <w:t>，</w:t>
            </w:r>
            <w:r>
              <w:rPr>
                <w:rFonts w:hint="eastAsia"/>
                <w:highlight w:val="none"/>
                <w:lang w:val="en-US" w:eastAsia="zh-CN"/>
              </w:rPr>
              <w:t>120</w:t>
            </w:r>
            <w:r>
              <w:rPr>
                <w:highlight w:val="none"/>
              </w:rPr>
              <w:t>天</w:t>
            </w:r>
            <w:r>
              <w:rPr>
                <w:rFonts w:hint="eastAsia"/>
                <w:highlight w:val="none"/>
                <w:lang w:eastAsia="zh-CN"/>
              </w:rPr>
              <w:t>（</w:t>
            </w:r>
            <w:r>
              <w:rPr>
                <w:rFonts w:hint="eastAsia"/>
                <w:highlight w:val="none"/>
                <w:lang w:val="en-US" w:eastAsia="zh-CN"/>
              </w:rPr>
              <w:t>11月中旬至三月中旬</w:t>
            </w:r>
            <w:r>
              <w:rPr>
                <w:rFonts w:hint="eastAsia"/>
                <w:highlight w:val="none"/>
                <w:lang w:eastAsia="zh-CN"/>
              </w:rPr>
              <w:t>）</w:t>
            </w:r>
            <w:r>
              <w:rPr>
                <w:rFonts w:hint="eastAsia"/>
                <w:highlight w:val="none"/>
              </w:rPr>
              <w:t>，</w:t>
            </w:r>
            <w:r>
              <w:rPr>
                <w:highlight w:val="none"/>
              </w:rPr>
              <w:t>每天</w:t>
            </w:r>
            <w:r>
              <w:rPr>
                <w:rFonts w:hint="eastAsia"/>
                <w:highlight w:val="none"/>
              </w:rPr>
              <w:t>工作</w:t>
            </w:r>
            <w:r>
              <w:rPr>
                <w:rFonts w:hint="eastAsia"/>
                <w:highlight w:val="none"/>
                <w:lang w:val="en-US" w:eastAsia="zh-CN"/>
              </w:rPr>
              <w:t>24</w:t>
            </w:r>
            <w:r>
              <w:rPr>
                <w:highlight w:val="none"/>
              </w:rPr>
              <w:t>h</w:t>
            </w:r>
            <w:r>
              <w:rPr>
                <w:rFonts w:hint="eastAsia"/>
                <w:lang w:eastAsia="zh-CN"/>
              </w:rPr>
              <w:t>，本次环评计算</w:t>
            </w:r>
            <w:r>
              <w:rPr>
                <w:rFonts w:hint="eastAsia"/>
                <w:highlight w:val="none"/>
                <w:lang w:val="en-US" w:eastAsia="zh-CN"/>
              </w:rPr>
              <w:t>1台4.2MW</w:t>
            </w:r>
            <w:r>
              <w:rPr>
                <w:rFonts w:hint="eastAsia"/>
                <w:lang w:val="en-US" w:eastAsia="zh-CN"/>
              </w:rPr>
              <w:t>燃气</w:t>
            </w:r>
            <w:r>
              <w:rPr>
                <w:rFonts w:hint="eastAsia"/>
              </w:rPr>
              <w:t>锅炉</w:t>
            </w:r>
            <w:r>
              <w:rPr>
                <w:rFonts w:hint="eastAsia"/>
                <w:lang w:eastAsia="zh-CN"/>
              </w:rPr>
              <w:t>满负荷运行</w:t>
            </w:r>
            <w:r>
              <w:rPr>
                <w:rFonts w:hint="eastAsia"/>
                <w:lang w:val="en-US" w:eastAsia="zh-CN"/>
              </w:rPr>
              <w:t>污染物的产生量，</w:t>
            </w:r>
            <w:r>
              <w:rPr>
                <w:rFonts w:hint="eastAsia" w:ascii="宋体" w:hAnsi="宋体" w:eastAsia="宋体" w:cs="宋体"/>
                <w:color w:val="000000"/>
                <w:kern w:val="0"/>
                <w:sz w:val="24"/>
                <w:szCs w:val="24"/>
                <w:lang w:val="en-US" w:eastAsia="zh-CN" w:bidi="ar"/>
              </w:rPr>
              <w:t>天</w:t>
            </w:r>
            <w:r>
              <w:rPr>
                <w:rFonts w:hint="eastAsia" w:ascii="Times New Roman" w:hAnsi="Times New Roman" w:eastAsia="宋体" w:cs="Times New Roman"/>
                <w:color w:val="000000"/>
                <w:kern w:val="0"/>
                <w:sz w:val="24"/>
                <w:szCs w:val="24"/>
                <w:lang w:val="en-US" w:eastAsia="zh-CN" w:bidi="ar"/>
              </w:rPr>
              <w:t>然气消耗总量约为</w:t>
            </w:r>
            <w:r>
              <w:rPr>
                <w:rFonts w:hint="eastAsia" w:cs="Times New Roman"/>
                <w:color w:val="000000"/>
                <w:kern w:val="0"/>
                <w:sz w:val="24"/>
                <w:szCs w:val="24"/>
                <w:lang w:val="en-US" w:eastAsia="zh-CN" w:bidi="ar"/>
              </w:rPr>
              <w:t>136.3</w:t>
            </w:r>
            <w:r>
              <w:rPr>
                <w:rFonts w:hint="eastAsia" w:ascii="Times New Roman" w:hAnsi="Times New Roman" w:eastAsia="宋体" w:cs="Times New Roman"/>
                <w:color w:val="000000"/>
                <w:kern w:val="0"/>
                <w:sz w:val="24"/>
                <w:szCs w:val="24"/>
                <w:lang w:val="en-US" w:eastAsia="zh-CN" w:bidi="ar"/>
              </w:rPr>
              <w:t>万m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/a</w:t>
            </w:r>
            <w:r>
              <w:rPr>
                <w:rFonts w:hint="eastAsia"/>
              </w:rPr>
              <w:t>。</w:t>
            </w:r>
          </w:p>
          <w:p>
            <w:pPr>
              <w:keepNext w:val="0"/>
              <w:keepLines w:val="0"/>
              <w:widowControl/>
              <w:suppressLineNumbers w:val="0"/>
              <w:jc w:val="left"/>
            </w:pPr>
            <w:r>
              <w:rPr>
                <w:rFonts w:hint="eastAsia"/>
                <w:lang w:val="en-GB"/>
              </w:rPr>
              <w:t>根据《污染源源强核算技术指南 锅炉》（HJ991-2018）</w:t>
            </w:r>
            <w:r>
              <w:rPr>
                <w:rFonts w:hint="eastAsia"/>
                <w:lang w:val="en-US" w:eastAsia="zh-CN"/>
              </w:rPr>
              <w:t>和</w:t>
            </w:r>
            <w:r>
              <w:rPr>
                <w:rFonts w:hint="eastAsia" w:ascii="宋体" w:hAnsi="宋体" w:eastAsia="宋体" w:cs="宋体"/>
                <w:color w:val="000000"/>
                <w:kern w:val="0"/>
                <w:sz w:val="24"/>
                <w:szCs w:val="24"/>
                <w:lang w:val="en-US" w:eastAsia="zh-CN" w:bidi="ar"/>
              </w:rPr>
              <w:t>《排污许可证申请与核发技术规范 锅炉》（</w:t>
            </w:r>
            <w:r>
              <w:rPr>
                <w:rFonts w:hint="default" w:ascii="Times New Roman" w:hAnsi="Times New Roman" w:eastAsia="宋体" w:cs="Times New Roman"/>
                <w:color w:val="000000"/>
                <w:kern w:val="0"/>
                <w:sz w:val="24"/>
                <w:szCs w:val="24"/>
                <w:lang w:val="en-US" w:eastAsia="zh-CN" w:bidi="ar"/>
              </w:rPr>
              <w:t>HJ953-2018</w:t>
            </w:r>
            <w:r>
              <w:rPr>
                <w:rFonts w:hint="eastAsia" w:ascii="宋体" w:hAnsi="宋体" w:eastAsia="宋体" w:cs="宋体"/>
                <w:color w:val="000000"/>
                <w:kern w:val="0"/>
                <w:sz w:val="24"/>
                <w:szCs w:val="24"/>
                <w:lang w:val="en-US" w:eastAsia="zh-CN" w:bidi="ar"/>
              </w:rPr>
              <w:t>）中的核算方法计算</w:t>
            </w:r>
            <w:r>
              <w:rPr>
                <w:rFonts w:hint="eastAsia" w:ascii="宋体" w:hAnsi="宋体" w:cs="宋体"/>
                <w:color w:val="000000"/>
                <w:kern w:val="0"/>
                <w:sz w:val="24"/>
                <w:szCs w:val="24"/>
                <w:lang w:val="en-US" w:eastAsia="zh-CN" w:bidi="ar"/>
              </w:rPr>
              <w:t>烟气量及氮氧化物排放量</w:t>
            </w:r>
            <w:r>
              <w:rPr>
                <w:rFonts w:hint="eastAsia" w:ascii="宋体" w:hAnsi="宋体" w:eastAsia="宋体" w:cs="宋体"/>
                <w:color w:val="000000"/>
                <w:kern w:val="0"/>
                <w:sz w:val="24"/>
                <w:szCs w:val="24"/>
                <w:lang w:val="en-US" w:eastAsia="zh-CN" w:bidi="ar"/>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（1）基准烟气量计算</w:t>
            </w:r>
          </w:p>
          <w:p>
            <w:pPr>
              <w:keepNext w:val="0"/>
              <w:keepLines w:val="0"/>
              <w:widowControl/>
              <w:suppressLineNumbers w:val="0"/>
              <w:ind w:left="0" w:leftChars="0" w:firstLine="0" w:firstLineChars="0"/>
              <w:jc w:val="center"/>
            </w:pPr>
            <w:r>
              <w:rPr>
                <w:rFonts w:hint="default" w:ascii="Times New Roman" w:hAnsi="Times New Roman" w:eastAsia="宋体" w:cs="Times New Roman"/>
                <w:i/>
                <w:iCs/>
                <w:color w:val="000000"/>
                <w:kern w:val="0"/>
                <w:sz w:val="23"/>
                <w:szCs w:val="23"/>
                <w:lang w:val="en-US" w:eastAsia="zh-CN" w:bidi="ar"/>
              </w:rPr>
              <w:t>V</w:t>
            </w:r>
            <w:r>
              <w:rPr>
                <w:rFonts w:hint="default" w:ascii="Times New Roman" w:hAnsi="Times New Roman" w:eastAsia="宋体" w:cs="Times New Roman"/>
                <w:i/>
                <w:iCs/>
                <w:color w:val="000000"/>
                <w:kern w:val="0"/>
                <w:sz w:val="13"/>
                <w:szCs w:val="13"/>
                <w:lang w:val="en-US" w:eastAsia="zh-CN" w:bidi="ar"/>
              </w:rPr>
              <w:t xml:space="preserve">gy </w:t>
            </w:r>
            <w:r>
              <w:rPr>
                <w:rFonts w:ascii="Symbol" w:hAnsi="Symbol" w:eastAsia="宋体" w:cs="Symbol"/>
                <w:color w:val="000000"/>
                <w:kern w:val="0"/>
                <w:sz w:val="23"/>
                <w:szCs w:val="23"/>
                <w:lang w:val="en-US" w:eastAsia="zh-CN" w:bidi="ar"/>
              </w:rPr>
              <w:t xml:space="preserve"> </w:t>
            </w:r>
            <w:r>
              <w:rPr>
                <w:rFonts w:hint="default" w:ascii="Times New Roman" w:hAnsi="Times New Roman" w:eastAsia="宋体" w:cs="Times New Roman"/>
                <w:color w:val="000000"/>
                <w:kern w:val="0"/>
                <w:sz w:val="23"/>
                <w:szCs w:val="23"/>
                <w:lang w:val="en-US" w:eastAsia="zh-CN" w:bidi="ar"/>
              </w:rPr>
              <w:t>0.285</w:t>
            </w:r>
            <w:r>
              <w:rPr>
                <w:rFonts w:hint="default" w:ascii="Times New Roman" w:hAnsi="Times New Roman" w:eastAsia="宋体" w:cs="Times New Roman"/>
                <w:i/>
                <w:iCs/>
                <w:color w:val="000000"/>
                <w:kern w:val="0"/>
                <w:sz w:val="23"/>
                <w:szCs w:val="23"/>
                <w:lang w:val="en-US" w:eastAsia="zh-CN" w:bidi="ar"/>
              </w:rPr>
              <w:t>Q</w:t>
            </w:r>
            <w:r>
              <w:rPr>
                <w:rFonts w:hint="default" w:ascii="Times New Roman" w:hAnsi="Times New Roman" w:eastAsia="宋体" w:cs="Times New Roman"/>
                <w:i/>
                <w:iCs/>
                <w:color w:val="000000"/>
                <w:kern w:val="0"/>
                <w:sz w:val="13"/>
                <w:szCs w:val="13"/>
                <w:lang w:val="en-US" w:eastAsia="zh-CN" w:bidi="ar"/>
              </w:rPr>
              <w:t>net</w:t>
            </w:r>
            <w:r>
              <w:rPr>
                <w:rFonts w:hint="default" w:ascii="Times New Roman" w:hAnsi="Times New Roman" w:eastAsia="宋体" w:cs="Times New Roman"/>
                <w:color w:val="000000"/>
                <w:kern w:val="0"/>
                <w:sz w:val="13"/>
                <w:szCs w:val="13"/>
                <w:lang w:val="en-US" w:eastAsia="zh-CN" w:bidi="ar"/>
              </w:rPr>
              <w:t>,</w:t>
            </w:r>
            <w:r>
              <w:rPr>
                <w:rFonts w:hint="default" w:ascii="Times New Roman" w:hAnsi="Times New Roman" w:eastAsia="宋体" w:cs="Times New Roman"/>
                <w:i/>
                <w:iCs/>
                <w:color w:val="000000"/>
                <w:kern w:val="0"/>
                <w:sz w:val="13"/>
                <w:szCs w:val="13"/>
                <w:lang w:val="en-US" w:eastAsia="zh-CN" w:bidi="ar"/>
              </w:rPr>
              <w:t xml:space="preserve">ar </w:t>
            </w:r>
            <w:r>
              <w:rPr>
                <w:rFonts w:hint="default" w:ascii="Symbol" w:hAnsi="Symbol" w:eastAsia="宋体" w:cs="Symbol"/>
                <w:color w:val="000000"/>
                <w:kern w:val="0"/>
                <w:sz w:val="23"/>
                <w:szCs w:val="23"/>
                <w:lang w:val="en-US" w:eastAsia="zh-CN" w:bidi="ar"/>
              </w:rPr>
              <w:t xml:space="preserve"> </w:t>
            </w:r>
            <w:r>
              <w:rPr>
                <w:rFonts w:hint="default" w:ascii="Times New Roman" w:hAnsi="Times New Roman" w:eastAsia="宋体" w:cs="Times New Roman"/>
                <w:color w:val="000000"/>
                <w:kern w:val="0"/>
                <w:sz w:val="23"/>
                <w:szCs w:val="23"/>
                <w:lang w:val="en-US" w:eastAsia="zh-CN" w:bidi="ar"/>
              </w:rPr>
              <w:t>0.343</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V</w:t>
            </w:r>
            <w:r>
              <w:rPr>
                <w:rFonts w:hint="default" w:ascii="Times New Roman" w:hAnsi="Times New Roman" w:eastAsia="宋体" w:cs="Times New Roman"/>
                <w:color w:val="000000"/>
                <w:kern w:val="0"/>
                <w:sz w:val="15"/>
                <w:szCs w:val="15"/>
                <w:lang w:val="en-US" w:eastAsia="zh-CN" w:bidi="ar"/>
              </w:rPr>
              <w:t>gy</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基准烟气量，</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p>
          <w:p>
            <w:pPr>
              <w:keepNext w:val="0"/>
              <w:keepLines w:val="0"/>
              <w:widowControl/>
              <w:suppressLineNumbers w:val="0"/>
              <w:jc w:val="left"/>
              <w:rPr>
                <w:rFonts w:hint="eastAsia" w:ascii="Times New Roman" w:hAnsi="Times New Roman" w:eastAsia="宋体" w:cs="Times New Roman"/>
                <w:color w:val="000000"/>
                <w:kern w:val="0"/>
                <w:sz w:val="24"/>
                <w:szCs w:val="24"/>
                <w:vertAlign w:val="baseline"/>
                <w:lang w:val="en-US" w:eastAsia="zh-CN" w:bidi="ar"/>
              </w:rPr>
            </w:pP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net,ar</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燃料收到基低位发热量，</w:t>
            </w:r>
            <w:r>
              <w:rPr>
                <w:rFonts w:hint="default" w:ascii="Times New Roman" w:hAnsi="Times New Roman" w:eastAsia="宋体" w:cs="Times New Roman"/>
                <w:color w:val="000000"/>
                <w:kern w:val="0"/>
                <w:sz w:val="24"/>
                <w:szCs w:val="24"/>
                <w:lang w:val="en-US" w:eastAsia="zh-CN" w:bidi="ar"/>
              </w:rPr>
              <w:t>MJ/m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vertAlign w:val="baseline"/>
                <w:lang w:val="en-US" w:eastAsia="zh-CN" w:bidi="ar"/>
              </w:rPr>
              <w:t>（</w:t>
            </w:r>
            <w:r>
              <w:rPr>
                <w:rFonts w:hint="eastAsia" w:cs="Times New Roman"/>
                <w:color w:val="000000"/>
                <w:kern w:val="0"/>
                <w:sz w:val="24"/>
                <w:szCs w:val="24"/>
                <w:vertAlign w:val="baseline"/>
                <w:lang w:val="en-US" w:eastAsia="zh-CN" w:bidi="ar"/>
              </w:rPr>
              <w:t>31.21</w:t>
            </w:r>
            <w:r>
              <w:rPr>
                <w:rFonts w:hint="default" w:ascii="Times New Roman" w:hAnsi="Times New Roman" w:eastAsia="宋体" w:cs="Times New Roman"/>
                <w:color w:val="000000"/>
                <w:kern w:val="0"/>
                <w:sz w:val="24"/>
                <w:szCs w:val="24"/>
                <w:lang w:val="en-US" w:eastAsia="zh-CN" w:bidi="ar"/>
              </w:rPr>
              <w:t>MJ/</w:t>
            </w:r>
            <w:r>
              <w:rPr>
                <w:rFonts w:hint="eastAsia" w:cs="Times New Roman"/>
                <w:color w:val="000000"/>
                <w:kern w:val="0"/>
                <w:sz w:val="24"/>
                <w:szCs w:val="24"/>
                <w:lang w:val="en-US" w:eastAsia="zh-CN" w:bidi="ar"/>
              </w:rPr>
              <w:t>N</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vertAlign w:val="baseline"/>
                <w:lang w:val="en-US" w:eastAsia="zh-CN" w:bidi="ar"/>
              </w:rPr>
              <w:t>）</w:t>
            </w:r>
          </w:p>
          <w:p>
            <w:pPr>
              <w:bidi w:val="0"/>
              <w:rPr>
                <w:rFonts w:hint="default"/>
                <w:lang w:val="en-US" w:eastAsia="zh-CN"/>
              </w:rPr>
            </w:pPr>
            <w:r>
              <w:rPr>
                <w:rFonts w:hint="eastAsia" w:cs="Times New Roman"/>
                <w:kern w:val="2"/>
                <w:sz w:val="24"/>
                <w:szCs w:val="24"/>
                <w:lang w:val="en-US" w:eastAsia="zh-CN" w:bidi="ar-SA"/>
              </w:rPr>
              <w:t>由上式</w:t>
            </w:r>
            <w:r>
              <w:rPr>
                <w:rFonts w:hint="eastAsia" w:ascii="Times New Roman" w:hAnsi="Times New Roman" w:eastAsia="宋体" w:cs="Times New Roman"/>
                <w:kern w:val="2"/>
                <w:sz w:val="24"/>
                <w:szCs w:val="24"/>
                <w:lang w:val="en-US" w:eastAsia="zh-CN" w:bidi="ar-SA"/>
              </w:rPr>
              <w:t>计算得到</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基准烟气量</w:t>
            </w:r>
            <w:r>
              <w:rPr>
                <w:rFonts w:hint="default" w:ascii="Times New Roman" w:hAnsi="Times New Roman" w:eastAsia="宋体" w:cs="Times New Roman"/>
                <w:i/>
                <w:iCs/>
                <w:color w:val="000000"/>
                <w:kern w:val="0"/>
                <w:sz w:val="23"/>
                <w:szCs w:val="23"/>
                <w:lang w:val="en-US" w:eastAsia="zh-CN" w:bidi="ar"/>
              </w:rPr>
              <w:t>V</w:t>
            </w:r>
            <w:r>
              <w:rPr>
                <w:rFonts w:hint="default" w:ascii="Times New Roman" w:hAnsi="Times New Roman" w:eastAsia="宋体" w:cs="Times New Roman"/>
                <w:i/>
                <w:iCs/>
                <w:color w:val="000000"/>
                <w:kern w:val="0"/>
                <w:sz w:val="13"/>
                <w:szCs w:val="13"/>
                <w:lang w:val="en-US" w:eastAsia="zh-CN" w:bidi="ar"/>
              </w:rPr>
              <w:t xml:space="preserve">gy </w:t>
            </w:r>
            <w:r>
              <w:rPr>
                <w:rFonts w:hint="eastAsia" w:ascii="Times New Roman" w:hAnsi="Times New Roman" w:eastAsia="宋体" w:cs="Times New Roman"/>
                <w:color w:val="000000"/>
                <w:kern w:val="0"/>
                <w:sz w:val="24"/>
                <w:szCs w:val="24"/>
                <w:lang w:val="en-US" w:eastAsia="zh-CN" w:bidi="ar"/>
              </w:rPr>
              <w:t>为</w:t>
            </w:r>
            <w:r>
              <w:rPr>
                <w:rFonts w:hint="eastAsia" w:cs="Times New Roman"/>
                <w:color w:val="000000"/>
                <w:kern w:val="0"/>
                <w:sz w:val="24"/>
                <w:szCs w:val="24"/>
                <w:lang w:val="en-US" w:eastAsia="zh-CN" w:bidi="ar"/>
              </w:rPr>
              <w:t>9.238</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cs="Times New Roman"/>
                <w:color w:val="000000"/>
                <w:kern w:val="0"/>
                <w:sz w:val="24"/>
                <w:szCs w:val="24"/>
                <w:vertAlign w:val="baseline"/>
                <w:lang w:val="en-US" w:eastAsia="zh-CN" w:bidi="ar"/>
              </w:rPr>
              <w:t>，</w:t>
            </w:r>
            <w:r>
              <w:rPr>
                <w:rFonts w:hint="eastAsia" w:ascii="宋体" w:hAnsi="宋体" w:eastAsia="宋体" w:cs="宋体"/>
                <w:color w:val="000000"/>
                <w:kern w:val="0"/>
                <w:sz w:val="24"/>
                <w:szCs w:val="24"/>
                <w:lang w:val="en-US" w:eastAsia="zh-CN" w:bidi="ar"/>
              </w:rPr>
              <w:t>天</w:t>
            </w:r>
            <w:r>
              <w:rPr>
                <w:rFonts w:hint="eastAsia" w:ascii="Times New Roman" w:hAnsi="Times New Roman" w:eastAsia="宋体" w:cs="Times New Roman"/>
                <w:color w:val="000000"/>
                <w:kern w:val="0"/>
                <w:sz w:val="24"/>
                <w:szCs w:val="24"/>
                <w:lang w:val="en-US" w:eastAsia="zh-CN" w:bidi="ar"/>
              </w:rPr>
              <w:t>然气消耗总量为</w:t>
            </w:r>
            <w:r>
              <w:rPr>
                <w:rFonts w:hint="eastAsia" w:cs="Times New Roman"/>
                <w:color w:val="000000"/>
                <w:kern w:val="0"/>
                <w:sz w:val="24"/>
                <w:szCs w:val="24"/>
                <w:lang w:val="en-US" w:eastAsia="zh-CN" w:bidi="ar"/>
              </w:rPr>
              <w:t>136.3</w:t>
            </w:r>
            <w:r>
              <w:rPr>
                <w:rFonts w:hint="eastAsia" w:ascii="Times New Roman" w:hAnsi="Times New Roman" w:eastAsia="宋体" w:cs="Times New Roman"/>
                <w:color w:val="000000"/>
                <w:kern w:val="0"/>
                <w:sz w:val="24"/>
                <w:szCs w:val="24"/>
                <w:lang w:val="en-US" w:eastAsia="zh-CN" w:bidi="ar"/>
              </w:rPr>
              <w:t>万m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/a，则烟气量为</w:t>
            </w:r>
            <w:r>
              <w:rPr>
                <w:rFonts w:hint="eastAsia" w:cs="Times New Roman"/>
                <w:color w:val="000000"/>
                <w:kern w:val="0"/>
                <w:sz w:val="24"/>
                <w:szCs w:val="24"/>
                <w:lang w:val="en-US" w:eastAsia="zh-CN" w:bidi="ar"/>
              </w:rPr>
              <w:t>1259.1394万N</w:t>
            </w:r>
            <w:r>
              <w:rPr>
                <w:rFonts w:hint="eastAsia" w:ascii="Times New Roman" w:hAnsi="Times New Roman" w:eastAsia="宋体" w:cs="Times New Roman"/>
                <w:kern w:val="2"/>
                <w:sz w:val="24"/>
                <w:szCs w:val="24"/>
                <w:lang w:val="en-US" w:eastAsia="zh-CN" w:bidi="ar-SA"/>
              </w:rPr>
              <w:t>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/a</w:t>
            </w:r>
            <w:r>
              <w:rPr>
                <w:rFonts w:hint="eastAsia" w:ascii="Times New Roman" w:hAnsi="Times New Roman" w:eastAsia="宋体" w:cs="Times New Roman"/>
                <w:color w:val="000000"/>
                <w:kern w:val="0"/>
                <w:sz w:val="24"/>
                <w:szCs w:val="24"/>
                <w:lang w:val="en-US" w:eastAsia="zh-CN" w:bidi="ar"/>
              </w:rPr>
              <w:t>。</w:t>
            </w:r>
          </w:p>
          <w:p>
            <w:pPr>
              <w:pStyle w:val="1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氮氧化物</w:t>
            </w:r>
            <w:r>
              <w:rPr>
                <w:rFonts w:hint="eastAsia" w:cs="Times New Roman"/>
                <w:kern w:val="2"/>
                <w:sz w:val="24"/>
                <w:szCs w:val="24"/>
                <w:lang w:val="en-US" w:eastAsia="zh-CN" w:bidi="ar-SA"/>
              </w:rPr>
              <w:t>排放量计算</w:t>
            </w:r>
            <w:r>
              <w:rPr>
                <w:rFonts w:hint="eastAsia" w:ascii="Times New Roman" w:hAnsi="Times New Roman" w:eastAsia="宋体" w:cs="Times New Roman"/>
                <w:kern w:val="2"/>
                <w:sz w:val="24"/>
                <w:szCs w:val="24"/>
                <w:lang w:val="en-US" w:eastAsia="zh-CN" w:bidi="ar-SA"/>
              </w:rPr>
              <w:t>：</w:t>
            </w:r>
          </w:p>
          <w:p>
            <w:pPr>
              <w:pStyle w:val="13"/>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drawing>
                <wp:inline distT="0" distB="0" distL="114300" distR="114300">
                  <wp:extent cx="2105025" cy="466725"/>
                  <wp:effectExtent l="0" t="0" r="9525" b="952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2"/>
                          <a:stretch>
                            <a:fillRect/>
                          </a:stretch>
                        </pic:blipFill>
                        <pic:spPr>
                          <a:xfrm>
                            <a:off x="0" y="0"/>
                            <a:ext cx="2105025" cy="46672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E</w:t>
            </w:r>
            <w:r>
              <w:rPr>
                <w:rFonts w:hint="default" w:ascii="Times New Roman" w:hAnsi="Times New Roman" w:eastAsia="宋体" w:cs="Times New Roman"/>
                <w:color w:val="000000"/>
                <w:kern w:val="0"/>
                <w:sz w:val="15"/>
                <w:szCs w:val="15"/>
                <w:lang w:val="en-US" w:eastAsia="zh-CN" w:bidi="ar"/>
              </w:rPr>
              <w:t>NOx</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核算时段内氮氧化物产生量，</w:t>
            </w:r>
            <w:r>
              <w:rPr>
                <w:rFonts w:hint="default" w:ascii="Times New Roman" w:hAnsi="Times New Roman" w:eastAsia="宋体" w:cs="Times New Roman"/>
                <w:color w:val="000000"/>
                <w:kern w:val="0"/>
                <w:sz w:val="24"/>
                <w:szCs w:val="24"/>
                <w:lang w:val="en-US" w:eastAsia="zh-CN" w:bidi="ar"/>
              </w:rPr>
              <w:t>t</w:t>
            </w:r>
            <w:r>
              <w:rPr>
                <w:rFonts w:hint="eastAsia" w:cs="Times New Roman"/>
                <w:color w:val="000000"/>
                <w:kern w:val="0"/>
                <w:sz w:val="24"/>
                <w:szCs w:val="24"/>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drawing>
                <wp:inline distT="0" distB="0" distL="114300" distR="114300">
                  <wp:extent cx="349250" cy="269240"/>
                  <wp:effectExtent l="0" t="0" r="12700" b="165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2"/>
                          <a:srcRect l="19849" t="19184" r="63560" b="23129"/>
                          <a:stretch>
                            <a:fillRect/>
                          </a:stretch>
                        </pic:blipFill>
                        <pic:spPr>
                          <a:xfrm>
                            <a:off x="0" y="0"/>
                            <a:ext cx="349250" cy="269240"/>
                          </a:xfrm>
                          <a:prstGeom prst="rect">
                            <a:avLst/>
                          </a:prstGeom>
                          <a:noFill/>
                          <a:ln>
                            <a:noFill/>
                          </a:ln>
                        </pic:spPr>
                      </pic:pic>
                    </a:graphicData>
                  </a:graphic>
                </wp:inline>
              </w:drawing>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锅炉炉膛出口</w:t>
            </w:r>
            <w:r>
              <w:rPr>
                <w:rFonts w:hint="eastAsia" w:ascii="Times New Roman" w:hAnsi="Times New Roman" w:eastAsia="宋体" w:cs="Times New Roman"/>
                <w:color w:val="000000"/>
                <w:kern w:val="0"/>
                <w:sz w:val="24"/>
                <w:szCs w:val="24"/>
                <w:lang w:val="en-US" w:eastAsia="zh-CN" w:bidi="ar"/>
              </w:rPr>
              <w:t>氮氧化物质量浓度，</w:t>
            </w:r>
            <w:r>
              <w:rPr>
                <w:rFonts w:hint="default" w:ascii="Times New Roman" w:hAnsi="Times New Roman" w:eastAsia="宋体" w:cs="Times New Roman"/>
                <w:color w:val="000000"/>
                <w:kern w:val="0"/>
                <w:sz w:val="24"/>
                <w:szCs w:val="24"/>
                <w:lang w:val="en-US" w:eastAsia="zh-CN" w:bidi="ar"/>
              </w:rPr>
              <w:t>mg/m</w:t>
            </w:r>
            <w:r>
              <w:rPr>
                <w:rFonts w:hint="default"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，本项目取</w:t>
            </w:r>
            <w:r>
              <w:rPr>
                <w:rFonts w:hint="eastAsia" w:cs="Times New Roman"/>
                <w:color w:val="000000"/>
                <w:kern w:val="0"/>
                <w:sz w:val="24"/>
                <w:szCs w:val="24"/>
                <w:lang w:val="en-US" w:eastAsia="zh-CN" w:bidi="ar"/>
              </w:rPr>
              <w:t>50</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jc w:val="left"/>
              <w:rPr>
                <w:rFonts w:hint="eastAsia" w:ascii="Times New Roman" w:hAnsi="Times New Roman" w:eastAsia="宋体" w:cs="Times New Roman"/>
                <w:color w:val="000000"/>
                <w:kern w:val="0"/>
                <w:sz w:val="24"/>
                <w:szCs w:val="24"/>
                <w:vertAlign w:val="baseline"/>
                <w:lang w:val="en-US" w:eastAsia="zh-CN" w:bidi="ar"/>
              </w:rPr>
            </w:pPr>
            <w:r>
              <w:rPr>
                <w:rFonts w:hint="eastAsia"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核算时段内标态干烟气排放量，</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cs="Times New Roman"/>
                <w:color w:val="000000"/>
                <w:kern w:val="0"/>
                <w:sz w:val="24"/>
                <w:szCs w:val="24"/>
                <w:lang w:val="en-US" w:eastAsia="zh-CN" w:bidi="ar"/>
              </w:rPr>
              <w:t>，</w:t>
            </w:r>
            <w:r>
              <w:rPr>
                <w:rFonts w:hint="eastAsia" w:cs="Times New Roman"/>
                <w:kern w:val="2"/>
                <w:sz w:val="24"/>
                <w:szCs w:val="24"/>
                <w:lang w:val="en-US" w:eastAsia="zh-CN" w:bidi="ar-SA"/>
              </w:rPr>
              <w:t>本项目取</w:t>
            </w:r>
            <w:r>
              <w:rPr>
                <w:rFonts w:hint="eastAsia" w:cs="Times New Roman"/>
                <w:color w:val="000000"/>
                <w:kern w:val="0"/>
                <w:sz w:val="24"/>
                <w:szCs w:val="24"/>
                <w:lang w:val="en-US" w:eastAsia="zh-CN" w:bidi="ar"/>
              </w:rPr>
              <w:t>12591394N</w:t>
            </w:r>
            <w:r>
              <w:rPr>
                <w:rFonts w:hint="eastAsia" w:ascii="Times New Roman" w:hAnsi="Times New Roman" w:eastAsia="宋体" w:cs="Times New Roman"/>
                <w:kern w:val="2"/>
                <w:sz w:val="24"/>
                <w:szCs w:val="24"/>
                <w:lang w:val="en-US" w:eastAsia="zh-CN" w:bidi="ar-SA"/>
              </w:rPr>
              <w:t>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/a</w:t>
            </w:r>
            <w:r>
              <w:rPr>
                <w:rFonts w:hint="eastAsia" w:cs="Times New Roman"/>
                <w:color w:val="000000"/>
                <w:kern w:val="0"/>
                <w:sz w:val="24"/>
                <w:szCs w:val="24"/>
                <w:vertAlign w:val="baseline"/>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ƞ</w:t>
            </w:r>
            <w:r>
              <w:rPr>
                <w:rFonts w:hint="default" w:ascii="Times New Roman" w:hAnsi="Times New Roman" w:eastAsia="宋体" w:cs="Times New Roman"/>
                <w:color w:val="000000"/>
                <w:kern w:val="0"/>
                <w:sz w:val="15"/>
                <w:szCs w:val="15"/>
                <w:vertAlign w:val="subscript"/>
                <w:lang w:val="en-US" w:eastAsia="zh-CN" w:bidi="ar"/>
              </w:rPr>
              <w:t>NOx</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脱硝效率，</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，取</w:t>
            </w:r>
            <w:r>
              <w:rPr>
                <w:rFonts w:hint="eastAsia"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p>
          <w:p>
            <w:pPr>
              <w:bidi w:val="0"/>
              <w:rPr>
                <w:rFonts w:hint="default"/>
                <w:lang w:val="en-US" w:eastAsia="zh-CN"/>
              </w:rPr>
            </w:pPr>
            <w:r>
              <w:rPr>
                <w:rFonts w:hint="eastAsia" w:ascii="Times New Roman" w:hAnsi="Times New Roman" w:eastAsia="宋体" w:cs="Times New Roman"/>
                <w:color w:val="000000"/>
                <w:kern w:val="0"/>
                <w:sz w:val="24"/>
                <w:szCs w:val="24"/>
                <w:lang w:val="en-US" w:eastAsia="zh-CN" w:bidi="ar"/>
              </w:rPr>
              <w:t>由上式计算得到，氮氧化物排放量为0.</w:t>
            </w:r>
            <w:r>
              <w:rPr>
                <w:rFonts w:hint="eastAsia" w:cs="Times New Roman"/>
                <w:color w:val="000000"/>
                <w:kern w:val="0"/>
                <w:sz w:val="24"/>
                <w:szCs w:val="24"/>
                <w:lang w:val="en-US" w:eastAsia="zh-CN" w:bidi="ar"/>
              </w:rPr>
              <w:t>63</w:t>
            </w:r>
            <w:r>
              <w:rPr>
                <w:rFonts w:hint="default" w:ascii="Times New Roman" w:hAnsi="Times New Roman" w:eastAsia="宋体" w:cs="Times New Roman"/>
                <w:color w:val="000000"/>
                <w:kern w:val="0"/>
                <w:sz w:val="24"/>
                <w:szCs w:val="24"/>
                <w:lang w:val="en-US" w:eastAsia="zh-CN" w:bidi="ar"/>
              </w:rPr>
              <w:t>t</w:t>
            </w:r>
            <w:r>
              <w:rPr>
                <w:rFonts w:hint="eastAsia" w:ascii="Times New Roman" w:hAnsi="Times New Roman" w:eastAsia="宋体" w:cs="Times New Roman"/>
                <w:color w:val="000000"/>
                <w:kern w:val="0"/>
                <w:sz w:val="24"/>
                <w:szCs w:val="24"/>
                <w:lang w:val="en-US" w:eastAsia="zh-CN" w:bidi="ar"/>
              </w:rPr>
              <w:t>。</w:t>
            </w:r>
          </w:p>
          <w:p>
            <w:pPr>
              <w:pStyle w:val="34"/>
              <w:bidi w:val="0"/>
            </w:pPr>
            <w:r>
              <w:rPr>
                <w:rFonts w:hint="eastAsia"/>
              </w:rPr>
              <w:t>表3-</w:t>
            </w:r>
            <w:r>
              <w:rPr>
                <w:rFonts w:hint="eastAsia"/>
                <w:lang w:val="en-US" w:eastAsia="zh-CN"/>
              </w:rPr>
              <w:t>4</w:t>
            </w:r>
            <w:r>
              <w:t xml:space="preserve">  </w:t>
            </w:r>
            <w:r>
              <w:rPr>
                <w:rFonts w:hint="eastAsia"/>
              </w:rPr>
              <w:t>本</w:t>
            </w:r>
            <w:r>
              <w:rPr>
                <w:rFonts w:hint="eastAsia"/>
                <w:lang w:val="en-US" w:eastAsia="zh-CN"/>
              </w:rPr>
              <w:t>项目</w:t>
            </w:r>
            <w:r>
              <w:rPr>
                <w:rFonts w:hint="default"/>
              </w:rPr>
              <w:t>锅炉</w:t>
            </w:r>
            <w:r>
              <w:rPr>
                <w:rFonts w:hint="default"/>
                <w:lang w:val="en-US" w:eastAsia="zh-CN"/>
              </w:rPr>
              <w:t>氮氧化物</w:t>
            </w:r>
            <w:r>
              <w:rPr>
                <w:rFonts w:hint="default"/>
              </w:rPr>
              <w:t>排放</w:t>
            </w:r>
            <w:r>
              <w:rPr>
                <w:rFonts w:hint="eastAsia"/>
                <w:lang w:val="en-US" w:eastAsia="zh-CN"/>
              </w:rPr>
              <w:t>总量</w:t>
            </w:r>
            <w:r>
              <w:rPr>
                <w:rFonts w:hint="default"/>
              </w:rPr>
              <w:t>情况</w:t>
            </w:r>
            <w:r>
              <w:rPr>
                <w:rFonts w:hint="default"/>
                <w:lang w:val="en-US" w:eastAsia="zh-CN"/>
              </w:rPr>
              <w:t>表</w:t>
            </w:r>
          </w:p>
          <w:tbl>
            <w:tblPr>
              <w:tblStyle w:val="21"/>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723"/>
              <w:gridCol w:w="1700"/>
              <w:gridCol w:w="1721"/>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8" w:type="dxa"/>
                  <w:noWrap w:val="0"/>
                  <w:vAlign w:val="center"/>
                </w:tcPr>
                <w:p>
                  <w:pPr>
                    <w:pStyle w:val="33"/>
                    <w:bidi w:val="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排放源</w:t>
                  </w:r>
                </w:p>
              </w:tc>
              <w:tc>
                <w:tcPr>
                  <w:tcW w:w="1723" w:type="dxa"/>
                  <w:noWrap w:val="0"/>
                  <w:vAlign w:val="center"/>
                </w:tcPr>
                <w:p>
                  <w:pPr>
                    <w:pStyle w:val="33"/>
                    <w:bidi w:val="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污染物</w:t>
                  </w:r>
                </w:p>
              </w:tc>
              <w:tc>
                <w:tcPr>
                  <w:tcW w:w="1700" w:type="dxa"/>
                  <w:noWrap w:val="0"/>
                  <w:vAlign w:val="center"/>
                </w:tcPr>
                <w:p>
                  <w:pPr>
                    <w:pStyle w:val="33"/>
                    <w:bidi w:val="0"/>
                    <w:ind w:right="0" w:rightChars="0" w:firstLine="0" w:firstLineChars="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排放量</w:t>
                  </w:r>
                </w:p>
              </w:tc>
              <w:tc>
                <w:tcPr>
                  <w:tcW w:w="1721" w:type="dxa"/>
                  <w:noWrap w:val="0"/>
                  <w:vAlign w:val="center"/>
                </w:tcPr>
                <w:p>
                  <w:pPr>
                    <w:pStyle w:val="33"/>
                    <w:bidi w:val="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排放浓度</w:t>
                  </w:r>
                </w:p>
                <w:p>
                  <w:pPr>
                    <w:pStyle w:val="33"/>
                    <w:bidi w:val="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（mg/m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p>
              </w:tc>
              <w:tc>
                <w:tcPr>
                  <w:tcW w:w="1302" w:type="dxa"/>
                  <w:noWrap w:val="0"/>
                  <w:vAlign w:val="center"/>
                </w:tcPr>
                <w:p>
                  <w:pPr>
                    <w:pStyle w:val="33"/>
                    <w:bidi w:val="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排放标准</w:t>
                  </w:r>
                </w:p>
                <w:p>
                  <w:pPr>
                    <w:pStyle w:val="33"/>
                    <w:bidi w:val="0"/>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（mg/m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8" w:type="dxa"/>
                  <w:vMerge w:val="restart"/>
                  <w:noWrap w:val="0"/>
                  <w:vAlign w:val="center"/>
                </w:tcPr>
                <w:p>
                  <w:pPr>
                    <w:pStyle w:val="33"/>
                    <w:bidi w:val="0"/>
                    <w:rPr>
                      <w:rFonts w:hint="eastAsia" w:ascii="Times New Roman" w:hAnsi="Times New Roman" w:eastAsia="宋体"/>
                      <w:color w:val="auto"/>
                      <w:highlight w:val="none"/>
                      <w:lang w:val="en-US" w:eastAsia="zh-CN"/>
                    </w:rPr>
                  </w:pPr>
                  <w:r>
                    <w:rPr>
                      <w:rFonts w:hint="eastAsia"/>
                    </w:rPr>
                    <w:t>1台4.2MW燃气常压热水锅炉满负荷运行</w:t>
                  </w:r>
                </w:p>
              </w:tc>
              <w:tc>
                <w:tcPr>
                  <w:tcW w:w="1723" w:type="dxa"/>
                  <w:noWrap w:val="0"/>
                  <w:vAlign w:val="center"/>
                </w:tcPr>
                <w:p>
                  <w:pPr>
                    <w:pStyle w:val="33"/>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烟气量</w:t>
                  </w:r>
                </w:p>
              </w:tc>
              <w:tc>
                <w:tcPr>
                  <w:tcW w:w="1700" w:type="dxa"/>
                  <w:noWrap w:val="0"/>
                  <w:vAlign w:val="center"/>
                </w:tcPr>
                <w:p>
                  <w:pPr>
                    <w:pStyle w:val="33"/>
                    <w:bidi w:val="0"/>
                    <w:ind w:right="0" w:rightChars="0" w:firstLine="0" w:firstLineChars="0"/>
                    <w:rPr>
                      <w:rFonts w:hint="default"/>
                      <w:color w:val="auto"/>
                      <w:highlight w:val="none"/>
                      <w:lang w:val="en-US" w:eastAsia="zh-CN"/>
                    </w:rPr>
                  </w:pPr>
                  <w:r>
                    <w:rPr>
                      <w:rFonts w:hint="eastAsia"/>
                      <w:color w:val="auto"/>
                      <w:highlight w:val="none"/>
                      <w:lang w:val="en-US" w:eastAsia="zh-CN"/>
                    </w:rPr>
                    <w:t>1259.1394万Nm</w:t>
                  </w:r>
                  <w:r>
                    <w:rPr>
                      <w:rFonts w:hint="eastAsia"/>
                      <w:color w:val="auto"/>
                      <w:highlight w:val="none"/>
                      <w:vertAlign w:val="superscript"/>
                      <w:lang w:val="en-US" w:eastAsia="zh-CN"/>
                    </w:rPr>
                    <w:t>3</w:t>
                  </w:r>
                </w:p>
              </w:tc>
              <w:tc>
                <w:tcPr>
                  <w:tcW w:w="1721" w:type="dxa"/>
                  <w:noWrap w:val="0"/>
                  <w:vAlign w:val="center"/>
                </w:tcPr>
                <w:p>
                  <w:pPr>
                    <w:pStyle w:val="33"/>
                    <w:bidi w:val="0"/>
                    <w:rPr>
                      <w:rFonts w:hint="default" w:eastAsia="宋体"/>
                      <w:color w:val="auto"/>
                      <w:highlight w:val="none"/>
                      <w:lang w:val="en-US" w:eastAsia="zh-CN"/>
                    </w:rPr>
                  </w:pPr>
                  <w:r>
                    <w:rPr>
                      <w:rFonts w:hint="eastAsia"/>
                      <w:color w:val="auto"/>
                      <w:highlight w:val="none"/>
                      <w:lang w:val="en-US" w:eastAsia="zh-CN"/>
                    </w:rPr>
                    <w:t>/</w:t>
                  </w:r>
                </w:p>
              </w:tc>
              <w:tc>
                <w:tcPr>
                  <w:tcW w:w="1302" w:type="dxa"/>
                  <w:noWrap w:val="0"/>
                  <w:vAlign w:val="center"/>
                </w:tcPr>
                <w:p>
                  <w:pPr>
                    <w:pStyle w:val="33"/>
                    <w:bidi w:val="0"/>
                    <w:rPr>
                      <w:rFonts w:hint="eastAsia" w:ascii="Times New Roman" w:hAnsi="Times New Roman"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8" w:type="dxa"/>
                  <w:vMerge w:val="continue"/>
                  <w:noWrap w:val="0"/>
                  <w:vAlign w:val="center"/>
                </w:tcPr>
                <w:p>
                  <w:pPr>
                    <w:pStyle w:val="33"/>
                    <w:bidi w:val="0"/>
                    <w:rPr>
                      <w:rFonts w:hint="eastAsia" w:ascii="Times New Roman" w:hAnsi="Times New Roman" w:eastAsia="宋体"/>
                      <w:color w:val="auto"/>
                      <w:highlight w:val="none"/>
                      <w:lang w:val="en-US" w:eastAsia="zh-CN"/>
                    </w:rPr>
                  </w:pPr>
                </w:p>
              </w:tc>
              <w:tc>
                <w:tcPr>
                  <w:tcW w:w="1723" w:type="dxa"/>
                  <w:noWrap w:val="0"/>
                  <w:vAlign w:val="center"/>
                </w:tcPr>
                <w:p>
                  <w:pPr>
                    <w:pStyle w:val="33"/>
                    <w:bidi w:val="0"/>
                    <w:rPr>
                      <w:rFonts w:hint="default" w:ascii="Times New Roman" w:hAnsi="Times New Roman" w:eastAsia="宋体"/>
                      <w:color w:val="auto"/>
                      <w:highlight w:val="none"/>
                      <w:lang w:val="en-US" w:eastAsia="zh-CN"/>
                    </w:rPr>
                  </w:pPr>
                  <w:r>
                    <w:rPr>
                      <w:rFonts w:hint="eastAsia"/>
                      <w:color w:val="auto"/>
                      <w:highlight w:val="none"/>
                      <w:lang w:val="en-US" w:eastAsia="zh-CN"/>
                    </w:rPr>
                    <w:t>氮氧化物</w:t>
                  </w:r>
                </w:p>
              </w:tc>
              <w:tc>
                <w:tcPr>
                  <w:tcW w:w="1700" w:type="dxa"/>
                  <w:noWrap w:val="0"/>
                  <w:vAlign w:val="center"/>
                </w:tcPr>
                <w:p>
                  <w:pPr>
                    <w:pStyle w:val="33"/>
                    <w:bidi w:val="0"/>
                    <w:ind w:right="0" w:rightChars="0" w:firstLine="0" w:firstLineChars="0"/>
                    <w:rPr>
                      <w:rFonts w:hint="default"/>
                      <w:color w:val="auto"/>
                      <w:highlight w:val="none"/>
                      <w:lang w:val="en-US" w:eastAsia="zh-CN"/>
                    </w:rPr>
                  </w:pPr>
                  <w:r>
                    <w:rPr>
                      <w:rFonts w:hint="eastAsia"/>
                      <w:color w:val="auto"/>
                      <w:highlight w:val="none"/>
                      <w:lang w:val="en-US" w:eastAsia="zh-CN"/>
                    </w:rPr>
                    <w:t>0.63t/a</w:t>
                  </w:r>
                </w:p>
              </w:tc>
              <w:tc>
                <w:tcPr>
                  <w:tcW w:w="1721" w:type="dxa"/>
                  <w:noWrap w:val="0"/>
                  <w:vAlign w:val="center"/>
                </w:tcPr>
                <w:p>
                  <w:pPr>
                    <w:pStyle w:val="33"/>
                    <w:ind w:firstLine="0" w:firstLineChars="0"/>
                    <w:rPr>
                      <w:rFonts w:hint="default" w:ascii="Times New Roman" w:hAnsi="Times New Roman" w:eastAsia="宋体"/>
                      <w:color w:val="auto"/>
                      <w:highlight w:val="none"/>
                      <w:lang w:val="en-US" w:eastAsia="zh-CN"/>
                    </w:rPr>
                  </w:pPr>
                  <w:r>
                    <w:rPr>
                      <w:rFonts w:hint="eastAsia"/>
                      <w:highlight w:val="none"/>
                      <w:lang w:val="en-US" w:eastAsia="zh-CN"/>
                    </w:rPr>
                    <w:t>50</w:t>
                  </w:r>
                </w:p>
              </w:tc>
              <w:tc>
                <w:tcPr>
                  <w:tcW w:w="1302" w:type="dxa"/>
                  <w:noWrap w:val="0"/>
                  <w:vAlign w:val="center"/>
                </w:tcPr>
                <w:p>
                  <w:pPr>
                    <w:pStyle w:val="33"/>
                    <w:ind w:firstLine="0" w:firstLineChars="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50</w:t>
                  </w:r>
                </w:p>
              </w:tc>
            </w:tr>
          </w:tbl>
          <w:p>
            <w:pPr>
              <w:ind w:left="0" w:leftChars="0" w:firstLine="0" w:firstLineChars="0"/>
              <w:rPr>
                <w:rFonts w:hint="eastAsia"/>
                <w:b/>
                <w:bCs/>
              </w:rPr>
            </w:pPr>
            <w:r>
              <w:rPr>
                <w:rFonts w:hint="eastAsia"/>
                <w:b/>
                <w:bCs/>
                <w:lang w:val="en-US" w:eastAsia="zh-CN"/>
              </w:rPr>
              <w:t>3.8.2</w:t>
            </w:r>
            <w:r>
              <w:rPr>
                <w:rFonts w:hint="eastAsia"/>
                <w:b/>
                <w:bCs/>
              </w:rPr>
              <w:t>总量核算结果</w:t>
            </w:r>
          </w:p>
          <w:p>
            <w:pPr>
              <w:bidi w:val="0"/>
              <w:rPr>
                <w:rFonts w:hint="default"/>
                <w:lang w:val="en-US" w:eastAsia="zh-CN"/>
              </w:rPr>
            </w:pPr>
            <w:r>
              <w:rPr>
                <w:rFonts w:hint="eastAsia"/>
              </w:rPr>
              <w:t>本项目氮氧化物总量控制</w:t>
            </w:r>
            <w:r>
              <w:rPr>
                <w:rFonts w:hint="eastAsia"/>
                <w:lang w:val="en-US" w:eastAsia="zh-CN"/>
              </w:rPr>
              <w:t>建议</w:t>
            </w:r>
            <w:r>
              <w:rPr>
                <w:rFonts w:hint="eastAsia"/>
              </w:rPr>
              <w:t>指标：</w:t>
            </w:r>
            <w:r>
              <w:rPr>
                <w:rFonts w:hint="eastAsia"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63</w:t>
            </w:r>
            <w:r>
              <w:rPr>
                <w:rFonts w:hint="default" w:ascii="Times New Roman" w:hAnsi="Times New Roman" w:eastAsia="宋体" w:cs="Times New Roman"/>
                <w:color w:val="000000"/>
                <w:kern w:val="0"/>
                <w:sz w:val="24"/>
                <w:szCs w:val="24"/>
                <w:lang w:val="en-US" w:eastAsia="zh-CN" w:bidi="ar"/>
              </w:rPr>
              <w:t>t</w:t>
            </w:r>
            <w:r>
              <w:rPr>
                <w:rFonts w:hint="eastAsia"/>
              </w:rPr>
              <w:t>/a。</w:t>
            </w:r>
          </w:p>
        </w:tc>
      </w:tr>
    </w:tbl>
    <w:p>
      <w:pPr>
        <w:pStyle w:val="4"/>
        <w:numPr>
          <w:ilvl w:val="0"/>
          <w:numId w:val="2"/>
        </w:numPr>
        <w:rPr>
          <w:color w:val="000000" w:themeColor="text1"/>
          <w14:textFill>
            <w14:solidFill>
              <w14:schemeClr w14:val="tx1"/>
            </w14:solidFill>
          </w14:textFill>
        </w:rPr>
      </w:pPr>
      <w:r>
        <w:rPr>
          <w:rFonts w:hint="eastAsia"/>
          <w:color w:val="000000" w:themeColor="text1"/>
          <w14:textFill>
            <w14:solidFill>
              <w14:schemeClr w14:val="tx1"/>
            </w14:solidFill>
          </w14:textFill>
        </w:rPr>
        <w:t>主要环境影响和保护措施</w:t>
      </w:r>
    </w:p>
    <w:tbl>
      <w:tblPr>
        <w:tblStyle w:val="21"/>
        <w:tblW w:w="504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7"/>
        <w:gridCol w:w="87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8" w:hRule="atLeast"/>
          <w:jc w:val="center"/>
        </w:trPr>
        <w:tc>
          <w:tcPr>
            <w:tcW w:w="273" w:type="pct"/>
            <w:tcMar>
              <w:left w:w="28" w:type="dxa"/>
              <w:right w:w="28" w:type="dxa"/>
            </w:tcMar>
            <w:vAlign w:val="center"/>
          </w:tcPr>
          <w:p>
            <w:pPr>
              <w:widowControl/>
              <w:adjustRightInd w:val="0"/>
              <w:snapToGrid w:val="0"/>
              <w:spacing w:line="240" w:lineRule="auto"/>
              <w:ind w:firstLine="0" w:firstLineChars="0"/>
              <w:jc w:val="center"/>
              <w:textAlignment w:val="auto"/>
              <w:rPr>
                <w:rFonts w:hint="eastAsia" w:ascii="宋体" w:hAnsi="宋体" w:cs="宋体"/>
                <w:szCs w:val="24"/>
              </w:rPr>
            </w:pPr>
            <w:r>
              <w:rPr>
                <w:rFonts w:hint="eastAsia" w:ascii="宋体" w:hAnsi="宋体" w:cs="宋体"/>
                <w:szCs w:val="24"/>
              </w:rPr>
              <w:t>施工</w:t>
            </w:r>
          </w:p>
          <w:p>
            <w:pPr>
              <w:widowControl/>
              <w:adjustRightInd w:val="0"/>
              <w:snapToGrid w:val="0"/>
              <w:spacing w:line="240" w:lineRule="auto"/>
              <w:ind w:firstLine="0" w:firstLineChars="0"/>
              <w:jc w:val="center"/>
              <w:textAlignment w:val="auto"/>
              <w:rPr>
                <w:rFonts w:hint="eastAsia" w:ascii="宋体" w:hAnsi="宋体" w:cs="宋体"/>
                <w:szCs w:val="24"/>
              </w:rPr>
            </w:pPr>
            <w:r>
              <w:rPr>
                <w:rFonts w:hint="eastAsia" w:ascii="宋体" w:hAnsi="宋体" w:cs="宋体"/>
                <w:szCs w:val="24"/>
              </w:rPr>
              <w:t>期环</w:t>
            </w:r>
          </w:p>
          <w:p>
            <w:pPr>
              <w:widowControl/>
              <w:adjustRightInd w:val="0"/>
              <w:snapToGrid w:val="0"/>
              <w:spacing w:line="240" w:lineRule="auto"/>
              <w:ind w:firstLine="0" w:firstLineChars="0"/>
              <w:jc w:val="center"/>
              <w:textAlignment w:val="auto"/>
              <w:rPr>
                <w:rFonts w:hint="eastAsia" w:ascii="宋体" w:hAnsi="宋体" w:cs="宋体"/>
                <w:szCs w:val="24"/>
              </w:rPr>
            </w:pPr>
            <w:r>
              <w:rPr>
                <w:rFonts w:hint="eastAsia" w:ascii="宋体" w:hAnsi="宋体" w:cs="宋体"/>
                <w:szCs w:val="24"/>
              </w:rPr>
              <w:t>境保</w:t>
            </w:r>
          </w:p>
          <w:p>
            <w:pPr>
              <w:widowControl/>
              <w:adjustRightInd w:val="0"/>
              <w:snapToGrid w:val="0"/>
              <w:spacing w:line="240" w:lineRule="auto"/>
              <w:ind w:firstLine="0" w:firstLineChars="0"/>
              <w:jc w:val="center"/>
              <w:textAlignment w:val="auto"/>
              <w:rPr>
                <w:rFonts w:hint="eastAsia" w:ascii="宋体" w:hAnsi="宋体" w:cs="宋体"/>
                <w:szCs w:val="24"/>
              </w:rPr>
            </w:pPr>
            <w:r>
              <w:rPr>
                <w:rFonts w:hint="eastAsia" w:ascii="宋体" w:hAnsi="宋体" w:cs="宋体"/>
                <w:szCs w:val="24"/>
              </w:rPr>
              <w:t>护措</w:t>
            </w:r>
          </w:p>
          <w:p>
            <w:pPr>
              <w:widowControl/>
              <w:adjustRightInd w:val="0"/>
              <w:snapToGrid w:val="0"/>
              <w:spacing w:line="240" w:lineRule="auto"/>
              <w:ind w:firstLine="0" w:firstLineChars="0"/>
              <w:jc w:val="center"/>
              <w:textAlignment w:val="auto"/>
              <w:rPr>
                <w:rFonts w:hint="eastAsia" w:ascii="宋体" w:hAnsi="宋体" w:cs="宋体"/>
                <w:bCs/>
                <w:szCs w:val="24"/>
              </w:rPr>
            </w:pPr>
            <w:r>
              <w:rPr>
                <w:rFonts w:hint="eastAsia" w:ascii="宋体" w:hAnsi="宋体" w:cs="宋体"/>
                <w:szCs w:val="24"/>
              </w:rPr>
              <w:t>施</w:t>
            </w:r>
          </w:p>
        </w:tc>
        <w:tc>
          <w:tcPr>
            <w:tcW w:w="4726" w:type="pct"/>
          </w:tcPr>
          <w:p>
            <w:pPr>
              <w:ind w:left="0" w:leftChars="0" w:firstLine="0" w:firstLineChars="0"/>
              <w:rPr>
                <w:rFonts w:hint="default" w:eastAsia="宋体"/>
                <w:lang w:val="en-US" w:eastAsia="zh-CN"/>
              </w:rPr>
            </w:pPr>
            <w:r>
              <w:rPr>
                <w:rFonts w:hint="eastAsia"/>
                <w:b/>
                <w:bCs/>
                <w:lang w:val="en-US" w:eastAsia="zh-CN"/>
              </w:rPr>
              <w:t>4.1</w:t>
            </w:r>
            <w:r>
              <w:rPr>
                <w:rFonts w:hint="eastAsia"/>
                <w:b/>
                <w:bCs/>
                <w:color w:val="000000"/>
                <w:spacing w:val="8"/>
              </w:rPr>
              <w:t>施工</w:t>
            </w:r>
            <w:r>
              <w:rPr>
                <w:rFonts w:hint="eastAsia"/>
                <w:b/>
                <w:color w:val="000000"/>
                <w:spacing w:val="8"/>
              </w:rPr>
              <w:t>期</w:t>
            </w:r>
            <w:r>
              <w:rPr>
                <w:rFonts w:hint="eastAsia"/>
                <w:b/>
                <w:color w:val="000000"/>
                <w:spacing w:val="8"/>
                <w:lang w:val="en-US" w:eastAsia="zh-CN"/>
              </w:rPr>
              <w:t>主要环境影响和保护措施</w:t>
            </w:r>
          </w:p>
          <w:p>
            <w:pPr>
              <w:ind w:firstLine="480"/>
              <w:rPr>
                <w:snapToGrid w:val="0"/>
              </w:rPr>
            </w:pPr>
            <w:r>
              <w:rPr>
                <w:rFonts w:hint="eastAsia"/>
                <w:lang w:val="en-US" w:eastAsia="zh-CN"/>
              </w:rPr>
              <w:t>本项目依托原有锅炉房安装1台</w:t>
            </w:r>
            <w:r>
              <w:rPr>
                <w:rFonts w:hint="eastAsia"/>
                <w:highlight w:val="none"/>
                <w:lang w:val="en-US" w:eastAsia="zh-CN"/>
              </w:rPr>
              <w:t>4.2MW燃气常压热水锅炉及其附属设施</w:t>
            </w:r>
            <w:r>
              <w:rPr>
                <w:rFonts w:hint="eastAsia"/>
                <w:lang w:val="en-US" w:eastAsia="zh-CN"/>
              </w:rPr>
              <w:t>，施工内容简单，施工期污染物主要为设备安装及调试过程产生的噪声、废水和固体废物。</w:t>
            </w:r>
            <w:r>
              <w:rPr>
                <w:rFonts w:hint="eastAsia" w:ascii="宋体" w:hAnsi="宋体" w:cs="宋体"/>
                <w:bCs/>
                <w:spacing w:val="-10"/>
                <w:szCs w:val="21"/>
              </w:rPr>
              <w:t>本项目施工期较短，随着施工期结束，污染也随之消失，因此本项目施工期对周围环境影响较小。</w:t>
            </w:r>
          </w:p>
          <w:p>
            <w:pPr>
              <w:tabs>
                <w:tab w:val="left" w:pos="645"/>
                <w:tab w:val="left" w:pos="850"/>
                <w:tab w:val="left" w:pos="1275"/>
                <w:tab w:val="left" w:pos="2235"/>
              </w:tabs>
              <w:ind w:left="0" w:leftChars="0" w:firstLine="0" w:firstLineChars="0"/>
              <w:jc w:val="left"/>
              <w:rPr>
                <w:b/>
                <w:color w:val="000000"/>
                <w:spacing w:val="8"/>
              </w:rPr>
            </w:pPr>
            <w:r>
              <w:rPr>
                <w:rFonts w:hint="eastAsia"/>
                <w:b/>
                <w:color w:val="000000"/>
                <w:spacing w:val="8"/>
                <w:lang w:val="en-US" w:eastAsia="zh-CN"/>
              </w:rPr>
              <w:t>4.</w:t>
            </w:r>
            <w:r>
              <w:rPr>
                <w:b/>
                <w:color w:val="000000"/>
                <w:spacing w:val="8"/>
              </w:rPr>
              <w:t>1</w:t>
            </w:r>
            <w:r>
              <w:rPr>
                <w:rFonts w:hint="eastAsia"/>
                <w:b/>
                <w:color w:val="000000"/>
                <w:spacing w:val="8"/>
                <w:lang w:val="en-US" w:eastAsia="zh-CN"/>
              </w:rPr>
              <w:t>.1</w:t>
            </w:r>
            <w:r>
              <w:rPr>
                <w:rFonts w:hint="eastAsia"/>
                <w:b/>
                <w:color w:val="000000"/>
                <w:spacing w:val="8"/>
              </w:rPr>
              <w:t>施工期大气污染防治措施</w:t>
            </w:r>
          </w:p>
          <w:p>
            <w:pPr>
              <w:rPr>
                <w:rFonts w:hint="eastAsia"/>
                <w:color w:val="000000"/>
              </w:rPr>
            </w:pPr>
            <w:r>
              <w:rPr>
                <w:rFonts w:hint="eastAsia" w:ascii="宋体" w:hAnsi="宋体" w:cs="宋体"/>
                <w:snapToGrid w:val="0"/>
                <w:color w:val="000000"/>
                <w:kern w:val="0"/>
                <w:lang w:bidi="ar"/>
              </w:rPr>
              <w:t>施工阶段，对环境空气的影响主要有：</w:t>
            </w:r>
            <w:r>
              <w:rPr>
                <w:rFonts w:hint="eastAsia" w:ascii="宋体" w:hAnsi="宋体" w:cs="宋体"/>
                <w:snapToGrid w:val="0"/>
                <w:color w:val="000000"/>
                <w:kern w:val="0"/>
                <w:lang w:val="en-US" w:eastAsia="zh-CN" w:bidi="ar"/>
              </w:rPr>
              <w:t>设备安装及调试过程</w:t>
            </w:r>
            <w:r>
              <w:rPr>
                <w:rFonts w:hint="eastAsia" w:ascii="宋体" w:hAnsi="宋体" w:cs="宋体"/>
                <w:snapToGrid w:val="0"/>
                <w:color w:val="000000"/>
                <w:kern w:val="0"/>
                <w:lang w:bidi="ar"/>
              </w:rPr>
              <w:t>产生的扬尘、运输车辆排放的废气。施工期间，运输车辆的发动机排放的尾气中含有</w:t>
            </w:r>
            <w:r>
              <w:rPr>
                <w:snapToGrid w:val="0"/>
                <w:color w:val="000000"/>
                <w:kern w:val="0"/>
                <w:lang w:bidi="ar"/>
              </w:rPr>
              <w:t>NO</w:t>
            </w:r>
            <w:r>
              <w:rPr>
                <w:rFonts w:hint="eastAsia"/>
                <w:snapToGrid w:val="0"/>
                <w:color w:val="000000"/>
                <w:kern w:val="0"/>
                <w:vertAlign w:val="subscript"/>
                <w:lang w:val="en-US" w:eastAsia="zh-CN" w:bidi="ar"/>
              </w:rPr>
              <w:t>2</w:t>
            </w:r>
            <w:r>
              <w:rPr>
                <w:rFonts w:hint="eastAsia" w:ascii="宋体" w:hAnsi="宋体" w:cs="宋体"/>
                <w:snapToGrid w:val="0"/>
                <w:color w:val="000000"/>
                <w:kern w:val="0"/>
                <w:lang w:bidi="ar"/>
              </w:rPr>
              <w:t>、</w:t>
            </w:r>
            <w:r>
              <w:rPr>
                <w:snapToGrid w:val="0"/>
                <w:color w:val="000000"/>
                <w:kern w:val="0"/>
                <w:lang w:bidi="ar"/>
              </w:rPr>
              <w:t>CO</w:t>
            </w:r>
            <w:r>
              <w:rPr>
                <w:rFonts w:hint="eastAsia" w:ascii="宋体" w:hAnsi="宋体" w:cs="宋体"/>
                <w:snapToGrid w:val="0"/>
                <w:color w:val="000000"/>
                <w:kern w:val="0"/>
                <w:lang w:bidi="ar"/>
              </w:rPr>
              <w:t>、</w:t>
            </w:r>
            <w:r>
              <w:rPr>
                <w:snapToGrid w:val="0"/>
                <w:color w:val="000000"/>
                <w:kern w:val="0"/>
                <w:lang w:bidi="ar"/>
              </w:rPr>
              <w:t>THC</w:t>
            </w:r>
            <w:r>
              <w:rPr>
                <w:rFonts w:hint="eastAsia" w:ascii="宋体" w:hAnsi="宋体" w:cs="宋体"/>
                <w:snapToGrid w:val="0"/>
                <w:color w:val="000000"/>
                <w:kern w:val="0"/>
                <w:lang w:bidi="ar"/>
              </w:rPr>
              <w:t>等污染物，可通过对车辆及时检修并使用合格燃料等措施减少各类污染物的排放</w:t>
            </w:r>
            <w:r>
              <w:rPr>
                <w:rFonts w:hint="eastAsia" w:ascii="宋体" w:hAnsi="宋体" w:cs="宋体"/>
                <w:snapToGrid w:val="0"/>
                <w:color w:val="000000"/>
                <w:kern w:val="0"/>
                <w:lang w:eastAsia="zh-CN" w:bidi="ar"/>
              </w:rPr>
              <w:t>。</w:t>
            </w:r>
            <w:r>
              <w:rPr>
                <w:rFonts w:hint="eastAsia" w:ascii="宋体" w:hAnsi="宋体" w:cs="宋体"/>
                <w:snapToGrid w:val="0"/>
                <w:color w:val="000000"/>
                <w:kern w:val="0"/>
                <w:lang w:bidi="ar"/>
              </w:rPr>
              <w:t>一般情况下，各种污染物的排放量不大，对周围环境的影响较小。</w:t>
            </w:r>
          </w:p>
          <w:p>
            <w:pPr>
              <w:ind w:left="0" w:leftChars="0" w:firstLine="0" w:firstLineChars="0"/>
              <w:rPr>
                <w:b/>
                <w:bCs/>
                <w:color w:val="000000"/>
              </w:rPr>
            </w:pPr>
            <w:r>
              <w:rPr>
                <w:rFonts w:hint="eastAsia"/>
                <w:b/>
                <w:bCs/>
                <w:color w:val="000000"/>
                <w:lang w:val="en-US" w:eastAsia="zh-CN"/>
              </w:rPr>
              <w:t>4.1.2</w:t>
            </w:r>
            <w:r>
              <w:rPr>
                <w:rFonts w:hint="eastAsia"/>
                <w:b/>
                <w:bCs/>
                <w:color w:val="000000"/>
              </w:rPr>
              <w:t>施工期噪声防治措施</w:t>
            </w:r>
          </w:p>
          <w:p>
            <w:pPr>
              <w:rPr>
                <w:rFonts w:hint="eastAsia"/>
                <w:color w:val="000000"/>
              </w:rPr>
            </w:pPr>
            <w:r>
              <w:rPr>
                <w:rFonts w:hint="eastAsia" w:ascii="宋体" w:hAnsi="宋体" w:cs="宋体"/>
                <w:snapToGrid w:val="0"/>
                <w:color w:val="000000"/>
                <w:kern w:val="0"/>
                <w:lang w:val="en-US" w:eastAsia="zh-CN" w:bidi="ar"/>
              </w:rPr>
              <w:t>本</w:t>
            </w:r>
            <w:r>
              <w:rPr>
                <w:rFonts w:hint="eastAsia" w:ascii="宋体" w:hAnsi="宋体" w:cs="宋体"/>
                <w:snapToGrid w:val="0"/>
                <w:color w:val="000000"/>
                <w:kern w:val="0"/>
                <w:lang w:bidi="ar"/>
              </w:rPr>
              <w:t>项目施工期噪声主要为</w:t>
            </w:r>
            <w:r>
              <w:rPr>
                <w:rFonts w:hint="eastAsia" w:ascii="宋体" w:hAnsi="宋体" w:cs="宋体"/>
                <w:snapToGrid w:val="0"/>
                <w:color w:val="000000"/>
                <w:kern w:val="0"/>
                <w:lang w:val="en-US" w:eastAsia="zh-CN" w:bidi="ar"/>
              </w:rPr>
              <w:t>设备安装及调试过程电钻、水泵和风机</w:t>
            </w:r>
            <w:r>
              <w:rPr>
                <w:rFonts w:hint="eastAsia" w:ascii="宋体" w:hAnsi="宋体" w:cs="宋体"/>
                <w:snapToGrid w:val="0"/>
                <w:color w:val="000000"/>
                <w:kern w:val="0"/>
                <w:lang w:bidi="ar"/>
              </w:rPr>
              <w:t>产生的噪声。产噪设备噪声级区间在</w:t>
            </w:r>
            <w:r>
              <w:rPr>
                <w:snapToGrid w:val="0"/>
                <w:color w:val="000000"/>
                <w:kern w:val="0"/>
                <w:lang w:bidi="ar"/>
              </w:rPr>
              <w:t>90~95dB</w:t>
            </w:r>
            <w:r>
              <w:rPr>
                <w:rFonts w:hint="eastAsia" w:ascii="宋体" w:hAnsi="宋体" w:cs="宋体"/>
                <w:snapToGrid w:val="0"/>
                <w:color w:val="000000"/>
                <w:kern w:val="0"/>
                <w:lang w:bidi="ar"/>
              </w:rPr>
              <w:t>（</w:t>
            </w:r>
            <w:r>
              <w:rPr>
                <w:snapToGrid w:val="0"/>
                <w:color w:val="000000"/>
                <w:kern w:val="0"/>
                <w:lang w:bidi="ar"/>
              </w:rPr>
              <w:t>A</w:t>
            </w:r>
            <w:r>
              <w:rPr>
                <w:rFonts w:hint="eastAsia" w:ascii="宋体" w:hAnsi="宋体" w:cs="宋体"/>
                <w:snapToGrid w:val="0"/>
                <w:color w:val="000000"/>
                <w:kern w:val="0"/>
                <w:lang w:bidi="ar"/>
              </w:rPr>
              <w:t>）之间，由于施工期较短</w:t>
            </w:r>
            <w:r>
              <w:rPr>
                <w:rFonts w:hint="eastAsia" w:ascii="宋体" w:hAnsi="宋体" w:cs="宋体"/>
                <w:snapToGrid w:val="0"/>
                <w:color w:val="000000"/>
                <w:kern w:val="0"/>
                <w:lang w:eastAsia="zh-CN" w:bidi="ar"/>
              </w:rPr>
              <w:t>，</w:t>
            </w:r>
            <w:r>
              <w:rPr>
                <w:rFonts w:hint="eastAsia" w:ascii="宋体" w:hAnsi="宋体" w:cs="宋体"/>
                <w:snapToGrid w:val="0"/>
                <w:color w:val="000000"/>
                <w:kern w:val="0"/>
                <w:lang w:val="en-US" w:eastAsia="zh-CN" w:bidi="ar"/>
              </w:rPr>
              <w:t>施工内容简单，</w:t>
            </w:r>
            <w:r>
              <w:rPr>
                <w:rFonts w:hint="eastAsia" w:ascii="宋体" w:hAnsi="宋体" w:cs="宋体"/>
                <w:snapToGrid w:val="0"/>
                <w:color w:val="000000"/>
                <w:kern w:val="0"/>
                <w:lang w:bidi="ar"/>
              </w:rPr>
              <w:t>且在</w:t>
            </w:r>
            <w:r>
              <w:rPr>
                <w:rFonts w:hint="eastAsia" w:ascii="宋体" w:hAnsi="宋体" w:cs="宋体"/>
                <w:snapToGrid w:val="0"/>
                <w:color w:val="000000"/>
                <w:kern w:val="0"/>
                <w:lang w:val="en-US" w:eastAsia="zh-CN" w:bidi="ar"/>
              </w:rPr>
              <w:t>锅炉</w:t>
            </w:r>
            <w:r>
              <w:rPr>
                <w:rFonts w:hint="eastAsia" w:ascii="宋体" w:hAnsi="宋体" w:cs="宋体"/>
                <w:snapToGrid w:val="0"/>
                <w:color w:val="000000"/>
                <w:kern w:val="0"/>
                <w:lang w:bidi="ar"/>
              </w:rPr>
              <w:t>房内部施工</w:t>
            </w:r>
            <w:r>
              <w:rPr>
                <w:rFonts w:hint="eastAsia"/>
              </w:rPr>
              <w:t>，</w:t>
            </w:r>
            <w:r>
              <w:rPr>
                <w:rFonts w:hint="eastAsia" w:ascii="宋体" w:hAnsi="宋体" w:cs="宋体"/>
                <w:snapToGrid w:val="0"/>
                <w:color w:val="000000"/>
                <w:kern w:val="0"/>
                <w:lang w:bidi="ar"/>
              </w:rPr>
              <w:t>经过墙体阻隔</w:t>
            </w:r>
            <w:r>
              <w:rPr>
                <w:rFonts w:hint="eastAsia"/>
              </w:rPr>
              <w:t>，</w:t>
            </w:r>
            <w:r>
              <w:rPr>
                <w:rFonts w:hint="eastAsia" w:ascii="宋体" w:hAnsi="宋体" w:cs="宋体"/>
                <w:snapToGrid w:val="0"/>
                <w:color w:val="000000"/>
                <w:kern w:val="0"/>
                <w:lang w:bidi="ar"/>
              </w:rPr>
              <w:t>降噪效果可达</w:t>
            </w:r>
            <w:r>
              <w:rPr>
                <w:rFonts w:hint="eastAsia"/>
                <w:snapToGrid w:val="0"/>
                <w:color w:val="000000"/>
                <w:kern w:val="0"/>
                <w:lang w:bidi="ar"/>
              </w:rPr>
              <w:t>20dB(A)</w:t>
            </w:r>
            <w:r>
              <w:rPr>
                <w:rFonts w:hint="eastAsia" w:ascii="宋体" w:hAnsi="宋体" w:cs="宋体"/>
                <w:snapToGrid w:val="0"/>
                <w:color w:val="000000"/>
                <w:kern w:val="0"/>
                <w:lang w:bidi="ar"/>
              </w:rPr>
              <w:t>，</w:t>
            </w:r>
            <w:r>
              <w:rPr>
                <w:rFonts w:hint="eastAsia"/>
                <w:lang w:val="en-US" w:eastAsia="zh-CN"/>
              </w:rPr>
              <w:t>安装过程产生的噪声持续时间短，通过加强对施工人员的管理及厂区距离衰减，对周围环境产生影响较小</w:t>
            </w:r>
            <w:r>
              <w:rPr>
                <w:rFonts w:hint="eastAsia" w:ascii="宋体" w:hAnsi="宋体" w:cs="宋体"/>
                <w:snapToGrid w:val="0"/>
                <w:color w:val="000000"/>
                <w:kern w:val="0"/>
                <w:lang w:bidi="ar"/>
              </w:rPr>
              <w:t>。</w:t>
            </w:r>
          </w:p>
          <w:p>
            <w:pPr>
              <w:tabs>
                <w:tab w:val="left" w:pos="645"/>
                <w:tab w:val="left" w:pos="850"/>
                <w:tab w:val="left" w:pos="1275"/>
                <w:tab w:val="left" w:pos="2235"/>
              </w:tabs>
              <w:ind w:left="0" w:leftChars="0" w:firstLine="0" w:firstLineChars="0"/>
              <w:jc w:val="left"/>
              <w:rPr>
                <w:b/>
                <w:color w:val="000000"/>
                <w:spacing w:val="8"/>
              </w:rPr>
            </w:pPr>
            <w:r>
              <w:rPr>
                <w:rFonts w:hint="eastAsia"/>
                <w:b/>
                <w:bCs/>
                <w:color w:val="000000"/>
                <w:spacing w:val="8"/>
                <w:lang w:val="en-US" w:eastAsia="zh-CN"/>
              </w:rPr>
              <w:t>4.1.3</w:t>
            </w:r>
            <w:r>
              <w:rPr>
                <w:b/>
                <w:bCs/>
              </w:rPr>
              <w:t>施工期废水污染防治措施</w:t>
            </w:r>
          </w:p>
          <w:p>
            <w:pPr>
              <w:bidi w:val="0"/>
              <w:rPr>
                <w:rFonts w:hint="eastAsia"/>
              </w:rPr>
            </w:pPr>
            <w:r>
              <w:rPr>
                <w:rFonts w:hint="eastAsia" w:ascii="宋体" w:hAnsi="宋体" w:cs="宋体"/>
                <w:snapToGrid w:val="0"/>
                <w:color w:val="000000"/>
                <w:kern w:val="0"/>
                <w:lang w:bidi="ar"/>
              </w:rPr>
              <w:t>本项目施工期废水主要为施工人员产生的少量生活污水</w:t>
            </w:r>
            <w:r>
              <w:rPr>
                <w:rFonts w:hint="eastAsia" w:ascii="宋体" w:hAnsi="宋体" w:cs="宋体"/>
                <w:snapToGrid w:val="0"/>
                <w:color w:val="000000"/>
                <w:kern w:val="0"/>
                <w:lang w:val="en-US" w:eastAsia="zh-CN" w:bidi="ar"/>
              </w:rPr>
              <w:t>以及设备调试过程少量锅炉排水</w:t>
            </w:r>
            <w:r>
              <w:rPr>
                <w:rFonts w:hint="eastAsia" w:ascii="宋体" w:hAnsi="宋体" w:cs="宋体"/>
                <w:snapToGrid w:val="0"/>
                <w:color w:val="000000"/>
                <w:kern w:val="0"/>
                <w:lang w:bidi="ar"/>
              </w:rPr>
              <w:t>，</w:t>
            </w:r>
            <w:r>
              <w:rPr>
                <w:rFonts w:hint="eastAsia" w:ascii="宋体" w:hAnsi="宋体" w:cs="宋体"/>
                <w:snapToGrid w:val="0"/>
                <w:color w:val="000000"/>
                <w:kern w:val="0"/>
                <w:lang w:val="en-US" w:eastAsia="zh-CN" w:bidi="ar"/>
              </w:rPr>
              <w:t>施工人员为厂区原有工人，</w:t>
            </w:r>
            <w:r>
              <w:rPr>
                <w:rFonts w:hint="eastAsia" w:ascii="宋体" w:hAnsi="宋体" w:cs="宋体"/>
                <w:snapToGrid w:val="0"/>
                <w:color w:val="000000"/>
                <w:kern w:val="0"/>
                <w:lang w:bidi="ar"/>
              </w:rPr>
              <w:t>生活</w:t>
            </w:r>
            <w:r>
              <w:rPr>
                <w:rFonts w:hint="eastAsia" w:ascii="宋体" w:hAnsi="宋体" w:cs="宋体"/>
                <w:snapToGrid w:val="0"/>
                <w:color w:val="000000"/>
                <w:kern w:val="0"/>
                <w:lang w:val="en-US" w:eastAsia="zh-CN" w:bidi="ar"/>
              </w:rPr>
              <w:t>污水不新增，</w:t>
            </w:r>
            <w:r>
              <w:t>锅炉</w:t>
            </w:r>
            <w:r>
              <w:rPr>
                <w:rFonts w:hint="eastAsia"/>
                <w:lang w:val="en-US" w:eastAsia="zh-CN"/>
              </w:rPr>
              <w:t>废</w:t>
            </w:r>
            <w:r>
              <w:t>水</w:t>
            </w:r>
            <w:r>
              <w:rPr>
                <w:rFonts w:hint="eastAsia"/>
                <w:kern w:val="0"/>
                <w:szCs w:val="21"/>
              </w:rPr>
              <w:t>排入园区污水管网，进入园区污水处理厂进一步处置</w:t>
            </w:r>
            <w:r>
              <w:rPr>
                <w:rFonts w:hint="eastAsia"/>
                <w:lang w:eastAsia="zh-CN"/>
              </w:rPr>
              <w:t>，</w:t>
            </w:r>
            <w:r>
              <w:rPr>
                <w:rFonts w:hint="eastAsia" w:ascii="宋体" w:hAnsi="宋体" w:cs="宋体"/>
                <w:snapToGrid w:val="0"/>
                <w:color w:val="000000"/>
                <w:kern w:val="0"/>
                <w:lang w:bidi="ar"/>
              </w:rPr>
              <w:t>对周围环境的影响</w:t>
            </w:r>
            <w:r>
              <w:rPr>
                <w:rFonts w:hint="eastAsia" w:ascii="宋体" w:hAnsi="宋体" w:cs="宋体"/>
                <w:snapToGrid w:val="0"/>
                <w:color w:val="000000"/>
                <w:kern w:val="0"/>
                <w:lang w:val="en-US" w:eastAsia="zh-CN" w:bidi="ar"/>
              </w:rPr>
              <w:t>基本无影响。</w:t>
            </w:r>
          </w:p>
          <w:p>
            <w:pPr>
              <w:bidi w:val="0"/>
              <w:ind w:left="0" w:leftChars="0" w:firstLine="0" w:firstLineChars="0"/>
              <w:rPr>
                <w:rFonts w:hint="eastAsia"/>
              </w:rPr>
            </w:pPr>
            <w:r>
              <w:rPr>
                <w:rFonts w:hint="eastAsia"/>
                <w:b/>
                <w:color w:val="000000"/>
                <w:spacing w:val="8"/>
                <w:lang w:val="en-US" w:eastAsia="zh-CN"/>
              </w:rPr>
              <w:t>4.1.4</w:t>
            </w:r>
            <w:r>
              <w:rPr>
                <w:b/>
                <w:bCs/>
              </w:rPr>
              <w:t>施工期固废污染防治措施</w:t>
            </w:r>
          </w:p>
          <w:p>
            <w:pPr>
              <w:widowControl/>
              <w:ind w:firstLine="480"/>
              <w:jc w:val="left"/>
            </w:pPr>
            <w:r>
              <w:rPr>
                <w:rFonts w:hint="eastAsia" w:ascii="宋体" w:hAnsi="宋体" w:cs="宋体"/>
                <w:snapToGrid w:val="0"/>
                <w:color w:val="000000"/>
                <w:kern w:val="0"/>
                <w:lang w:bidi="ar"/>
              </w:rPr>
              <w:t>本项目施工期固体废弃物主要为</w:t>
            </w:r>
            <w:r>
              <w:rPr>
                <w:rFonts w:hint="eastAsia" w:ascii="宋体" w:hAnsi="宋体" w:cs="宋体"/>
                <w:snapToGrid w:val="0"/>
                <w:color w:val="000000"/>
                <w:kern w:val="0"/>
                <w:lang w:val="en-US" w:eastAsia="zh-CN" w:bidi="ar"/>
              </w:rPr>
              <w:t>施工</w:t>
            </w:r>
            <w:r>
              <w:rPr>
                <w:rFonts w:hint="eastAsia" w:ascii="宋体" w:hAnsi="宋体" w:cs="宋体"/>
                <w:snapToGrid w:val="0"/>
                <w:color w:val="000000"/>
                <w:kern w:val="0"/>
                <w:lang w:bidi="ar"/>
              </w:rPr>
              <w:t>人员生活垃圾和</w:t>
            </w:r>
            <w:r>
              <w:rPr>
                <w:rFonts w:hint="eastAsia" w:ascii="宋体" w:hAnsi="宋体" w:cs="宋体"/>
                <w:snapToGrid w:val="0"/>
                <w:color w:val="000000"/>
                <w:kern w:val="0"/>
                <w:lang w:val="en-US" w:eastAsia="zh-CN" w:bidi="ar"/>
              </w:rPr>
              <w:t>设备安装调试过程产生的包装</w:t>
            </w:r>
            <w:r>
              <w:rPr>
                <w:rFonts w:hint="eastAsia" w:ascii="宋体" w:hAnsi="宋体" w:cs="宋体"/>
                <w:snapToGrid w:val="0"/>
                <w:color w:val="000000"/>
                <w:kern w:val="0"/>
                <w:lang w:bidi="ar"/>
              </w:rPr>
              <w:t>垃圾。</w:t>
            </w:r>
            <w:r>
              <w:rPr>
                <w:rFonts w:hint="eastAsia" w:ascii="宋体" w:hAnsi="宋体" w:cs="宋体"/>
                <w:snapToGrid w:val="0"/>
                <w:color w:val="000000"/>
                <w:kern w:val="0"/>
                <w:lang w:val="en-US" w:eastAsia="zh-CN" w:bidi="ar"/>
              </w:rPr>
              <w:t>施工人员为厂区原有工人，</w:t>
            </w:r>
            <w:r>
              <w:rPr>
                <w:rFonts w:hint="eastAsia" w:ascii="宋体" w:hAnsi="宋体" w:cs="宋体"/>
                <w:snapToGrid w:val="0"/>
                <w:color w:val="000000"/>
                <w:kern w:val="0"/>
                <w:lang w:bidi="ar"/>
              </w:rPr>
              <w:t>生活垃圾</w:t>
            </w:r>
            <w:r>
              <w:rPr>
                <w:rFonts w:hint="eastAsia" w:ascii="宋体" w:hAnsi="宋体" w:cs="宋体"/>
                <w:snapToGrid w:val="0"/>
                <w:color w:val="000000"/>
                <w:kern w:val="0"/>
                <w:lang w:val="en-US" w:eastAsia="zh-CN" w:bidi="ar"/>
              </w:rPr>
              <w:t>不新增。</w:t>
            </w:r>
            <w:r>
              <w:rPr>
                <w:rFonts w:hint="eastAsia"/>
                <w:lang w:val="en-US" w:eastAsia="zh-CN"/>
              </w:rPr>
              <w:t>设备安装过程产生的固体废物主要为设备包装，</w:t>
            </w:r>
            <w:r>
              <w:t>进行集中分拣</w:t>
            </w:r>
            <w:r>
              <w:rPr>
                <w:rFonts w:hint="eastAsia"/>
                <w:lang w:eastAsia="zh-CN"/>
              </w:rPr>
              <w:t>，</w:t>
            </w:r>
            <w:r>
              <w:rPr>
                <w:rFonts w:hint="eastAsia"/>
                <w:lang w:val="en-US" w:eastAsia="zh-CN"/>
              </w:rPr>
              <w:t>能够回收的尽量回收</w:t>
            </w:r>
            <w:r>
              <w:t>，没有利用价值的</w:t>
            </w:r>
            <w:r>
              <w:rPr>
                <w:rFonts w:hint="eastAsia"/>
                <w:lang w:val="en-US" w:eastAsia="zh-CN"/>
              </w:rPr>
              <w:t>一般固体废物</w:t>
            </w:r>
            <w:r>
              <w:t>及时清运至</w:t>
            </w:r>
            <w:r>
              <w:rPr>
                <w:rFonts w:hint="eastAsia"/>
                <w:snapToGrid w:val="0"/>
                <w:color w:val="000000"/>
                <w:kern w:val="0"/>
                <w:lang w:bidi="ar"/>
              </w:rPr>
              <w:t>拉运</w:t>
            </w:r>
            <w:r>
              <w:rPr>
                <w:rFonts w:hint="eastAsia" w:ascii="宋体" w:hAnsi="宋体" w:cs="宋体"/>
                <w:snapToGrid w:val="0"/>
                <w:color w:val="000000"/>
                <w:kern w:val="0"/>
                <w:lang w:bidi="ar"/>
              </w:rPr>
              <w:t>至</w:t>
            </w:r>
            <w:r>
              <w:rPr>
                <w:rFonts w:hint="eastAsia" w:ascii="宋体" w:hAnsi="宋体" w:cs="宋体"/>
                <w:snapToGrid w:val="0"/>
                <w:color w:val="000000"/>
                <w:kern w:val="0"/>
                <w:lang w:val="en-US" w:eastAsia="zh-CN" w:bidi="ar"/>
              </w:rPr>
              <w:t>轮台县</w:t>
            </w:r>
            <w:r>
              <w:rPr>
                <w:rFonts w:hint="eastAsia" w:ascii="宋体" w:hAnsi="宋体" w:cs="宋体"/>
                <w:snapToGrid w:val="0"/>
                <w:color w:val="000000"/>
                <w:kern w:val="0"/>
                <w:lang w:bidi="ar"/>
              </w:rPr>
              <w:t>垃圾填埋场进行处置</w:t>
            </w:r>
            <w:r>
              <w:t>。</w:t>
            </w:r>
            <w:r>
              <w:rPr>
                <w:rFonts w:hint="eastAsia"/>
                <w:lang w:val="en-US" w:eastAsia="zh-CN"/>
              </w:rPr>
              <w:t>因此，</w:t>
            </w:r>
            <w:r>
              <w:rPr>
                <w:rFonts w:hint="eastAsia"/>
                <w:color w:val="000000" w:themeColor="text1"/>
                <w14:textFill>
                  <w14:solidFill>
                    <w14:schemeClr w14:val="tx1"/>
                  </w14:solidFill>
                </w14:textFill>
              </w:rPr>
              <w:t>施工期产生的固体废物全部得到妥善处置，不会对周围环境产生明显影响</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04" w:hRule="atLeast"/>
          <w:jc w:val="center"/>
        </w:trPr>
        <w:tc>
          <w:tcPr>
            <w:tcW w:w="273" w:type="pct"/>
            <w:tcMar>
              <w:left w:w="28" w:type="dxa"/>
              <w:right w:w="28" w:type="dxa"/>
            </w:tcMar>
            <w:vAlign w:val="center"/>
          </w:tcPr>
          <w:p>
            <w:pPr>
              <w:adjustRightInd w:val="0"/>
              <w:snapToGrid w:val="0"/>
              <w:spacing w:line="240" w:lineRule="auto"/>
              <w:ind w:firstLine="0" w:firstLineChars="0"/>
              <w:jc w:val="center"/>
              <w:textAlignment w:val="auto"/>
              <w:rPr>
                <w:rFonts w:hint="eastAsia" w:ascii="宋体" w:hAnsi="宋体" w:cs="宋体"/>
                <w:bCs/>
                <w:szCs w:val="24"/>
              </w:rPr>
            </w:pPr>
            <w:r>
              <w:rPr>
                <w:rFonts w:hint="eastAsia" w:ascii="宋体" w:hAnsi="宋体" w:cs="宋体"/>
                <w:bCs/>
                <w:szCs w:val="24"/>
              </w:rPr>
              <w:t>运营</w:t>
            </w:r>
          </w:p>
          <w:p>
            <w:pPr>
              <w:adjustRightInd w:val="0"/>
              <w:snapToGrid w:val="0"/>
              <w:spacing w:line="240" w:lineRule="auto"/>
              <w:ind w:firstLine="0" w:firstLineChars="0"/>
              <w:jc w:val="center"/>
              <w:textAlignment w:val="auto"/>
              <w:rPr>
                <w:rFonts w:hint="eastAsia" w:ascii="宋体" w:hAnsi="宋体" w:cs="宋体"/>
                <w:bCs/>
                <w:szCs w:val="24"/>
              </w:rPr>
            </w:pPr>
            <w:r>
              <w:rPr>
                <w:rFonts w:hint="eastAsia" w:ascii="宋体" w:hAnsi="宋体" w:cs="宋体"/>
                <w:bCs/>
                <w:szCs w:val="24"/>
              </w:rPr>
              <w:t>期环</w:t>
            </w:r>
          </w:p>
          <w:p>
            <w:pPr>
              <w:adjustRightInd w:val="0"/>
              <w:snapToGrid w:val="0"/>
              <w:spacing w:line="240" w:lineRule="auto"/>
              <w:ind w:firstLine="0" w:firstLineChars="0"/>
              <w:jc w:val="center"/>
              <w:textAlignment w:val="auto"/>
              <w:rPr>
                <w:rFonts w:hint="eastAsia" w:ascii="宋体" w:hAnsi="宋体" w:cs="宋体"/>
                <w:bCs/>
                <w:szCs w:val="24"/>
              </w:rPr>
            </w:pPr>
            <w:r>
              <w:rPr>
                <w:rFonts w:hint="eastAsia" w:ascii="宋体" w:hAnsi="宋体" w:cs="宋体"/>
                <w:bCs/>
                <w:szCs w:val="24"/>
              </w:rPr>
              <w:t>境影</w:t>
            </w:r>
          </w:p>
          <w:p>
            <w:pPr>
              <w:adjustRightInd w:val="0"/>
              <w:snapToGrid w:val="0"/>
              <w:spacing w:line="240" w:lineRule="auto"/>
              <w:ind w:firstLine="0" w:firstLineChars="0"/>
              <w:jc w:val="center"/>
              <w:textAlignment w:val="auto"/>
              <w:rPr>
                <w:rFonts w:hint="eastAsia" w:ascii="宋体" w:hAnsi="宋体" w:cs="宋体"/>
                <w:bCs/>
                <w:szCs w:val="24"/>
              </w:rPr>
            </w:pPr>
            <w:r>
              <w:rPr>
                <w:rFonts w:hint="eastAsia" w:ascii="宋体" w:hAnsi="宋体" w:cs="宋体"/>
                <w:bCs/>
                <w:szCs w:val="24"/>
              </w:rPr>
              <w:t>响和</w:t>
            </w:r>
          </w:p>
          <w:p>
            <w:pPr>
              <w:adjustRightInd w:val="0"/>
              <w:snapToGrid w:val="0"/>
              <w:spacing w:line="240" w:lineRule="auto"/>
              <w:ind w:firstLine="0" w:firstLineChars="0"/>
              <w:jc w:val="center"/>
              <w:textAlignment w:val="auto"/>
              <w:rPr>
                <w:rFonts w:hint="eastAsia" w:ascii="宋体" w:hAnsi="宋体" w:cs="宋体"/>
                <w:bCs/>
                <w:szCs w:val="24"/>
              </w:rPr>
            </w:pPr>
            <w:r>
              <w:rPr>
                <w:rFonts w:hint="eastAsia" w:ascii="宋体" w:hAnsi="宋体" w:cs="宋体"/>
                <w:bCs/>
                <w:szCs w:val="24"/>
              </w:rPr>
              <w:t>保护</w:t>
            </w:r>
          </w:p>
          <w:p>
            <w:pPr>
              <w:adjustRightInd w:val="0"/>
              <w:snapToGrid w:val="0"/>
              <w:spacing w:line="240" w:lineRule="auto"/>
              <w:ind w:firstLine="0" w:firstLineChars="0"/>
              <w:jc w:val="center"/>
              <w:textAlignment w:val="auto"/>
              <w:rPr>
                <w:rFonts w:hint="eastAsia" w:ascii="宋体" w:hAnsi="宋体" w:cs="宋体"/>
                <w:bCs/>
                <w:szCs w:val="24"/>
              </w:rPr>
            </w:pPr>
            <w:r>
              <w:rPr>
                <w:rFonts w:hint="eastAsia" w:ascii="宋体" w:hAnsi="宋体" w:cs="宋体"/>
                <w:bCs/>
                <w:szCs w:val="24"/>
              </w:rPr>
              <w:t>措施</w:t>
            </w:r>
          </w:p>
        </w:tc>
        <w:tc>
          <w:tcPr>
            <w:tcW w:w="4726" w:type="pct"/>
          </w:tcPr>
          <w:p>
            <w:pPr>
              <w:pStyle w:val="5"/>
              <w:rPr>
                <w:highlight w:val="none"/>
              </w:rPr>
            </w:pPr>
            <w:r>
              <w:rPr>
                <w:rFonts w:hint="eastAsia"/>
                <w:highlight w:val="none"/>
              </w:rPr>
              <w:t>4</w:t>
            </w:r>
            <w:r>
              <w:rPr>
                <w:highlight w:val="none"/>
              </w:rPr>
              <w:t>.2</w:t>
            </w:r>
            <w:r>
              <w:rPr>
                <w:rFonts w:hint="eastAsia"/>
                <w:highlight w:val="none"/>
              </w:rPr>
              <w:t>运营期</w:t>
            </w:r>
            <w:r>
              <w:rPr>
                <w:rFonts w:hint="eastAsia"/>
                <w:highlight w:val="none"/>
                <w:lang w:val="en-US" w:eastAsia="zh-CN"/>
              </w:rPr>
              <w:t>主要</w:t>
            </w:r>
            <w:r>
              <w:rPr>
                <w:rFonts w:hint="eastAsia"/>
                <w:highlight w:val="none"/>
              </w:rPr>
              <w:t>环境影响和保护措施：</w:t>
            </w:r>
          </w:p>
          <w:p>
            <w:pPr>
              <w:pStyle w:val="5"/>
              <w:rPr>
                <w:highlight w:val="none"/>
              </w:rPr>
            </w:pPr>
            <w:r>
              <w:rPr>
                <w:highlight w:val="none"/>
              </w:rPr>
              <w:t>4.2.1</w:t>
            </w:r>
            <w:r>
              <w:rPr>
                <w:rFonts w:hint="eastAsia"/>
                <w:highlight w:val="none"/>
              </w:rPr>
              <w:t>大气环境影响分析及保护措施</w:t>
            </w:r>
          </w:p>
          <w:p>
            <w:pPr>
              <w:ind w:firstLine="0" w:firstLineChars="0"/>
              <w:rPr>
                <w:b/>
                <w:bCs/>
              </w:rPr>
            </w:pPr>
            <w:r>
              <w:rPr>
                <w:rFonts w:hint="eastAsia"/>
                <w:b/>
                <w:bCs/>
              </w:rPr>
              <w:t>4</w:t>
            </w:r>
            <w:r>
              <w:rPr>
                <w:b/>
                <w:bCs/>
              </w:rPr>
              <w:t>.2.1.1</w:t>
            </w:r>
            <w:r>
              <w:rPr>
                <w:rFonts w:hint="eastAsia"/>
                <w:b/>
                <w:bCs/>
              </w:rPr>
              <w:t>废气源强分析</w:t>
            </w:r>
          </w:p>
          <w:p>
            <w:pPr>
              <w:ind w:firstLine="480"/>
              <w:rPr>
                <w:rFonts w:hint="eastAsia"/>
                <w:lang w:eastAsia="zh-CN"/>
              </w:rPr>
            </w:pPr>
            <w:r>
              <w:rPr>
                <w:rFonts w:hint="eastAsia" w:cs="Times New Roman"/>
              </w:rPr>
              <w:t>本项目</w:t>
            </w:r>
            <w:r>
              <w:rPr>
                <w:rFonts w:hint="eastAsia"/>
              </w:rPr>
              <w:t>建设</w:t>
            </w:r>
            <w:r>
              <w:rPr>
                <w:rFonts w:hint="eastAsia"/>
                <w:highlight w:val="none"/>
                <w:lang w:val="en-US" w:eastAsia="zh-CN"/>
              </w:rPr>
              <w:t>1台4.2MW燃气常压热水锅炉</w:t>
            </w:r>
            <w:r>
              <w:rPr>
                <w:rFonts w:hint="eastAsia"/>
              </w:rPr>
              <w:t>及附属设备</w:t>
            </w:r>
            <w:r>
              <w:rPr>
                <w:rFonts w:hint="eastAsia"/>
                <w:lang w:eastAsia="zh-CN"/>
              </w:rPr>
              <w:t>，</w:t>
            </w:r>
            <w:r>
              <w:rPr>
                <w:rFonts w:hint="eastAsia"/>
                <w:lang w:val="en-US" w:eastAsia="zh-CN"/>
              </w:rPr>
              <w:t>根据业主提供资料</w:t>
            </w:r>
            <w:r>
              <w:rPr>
                <w:rFonts w:hint="eastAsia"/>
              </w:rPr>
              <w:t>，</w:t>
            </w:r>
            <w:r>
              <w:rPr>
                <w:rFonts w:hint="eastAsia"/>
                <w:highlight w:val="none"/>
                <w:lang w:val="en-US" w:eastAsia="zh-CN"/>
              </w:rPr>
              <w:t>120</w:t>
            </w:r>
            <w:r>
              <w:rPr>
                <w:highlight w:val="none"/>
              </w:rPr>
              <w:t>天</w:t>
            </w:r>
            <w:r>
              <w:rPr>
                <w:rFonts w:hint="eastAsia"/>
                <w:highlight w:val="none"/>
                <w:lang w:eastAsia="zh-CN"/>
              </w:rPr>
              <w:t>（</w:t>
            </w:r>
            <w:r>
              <w:rPr>
                <w:rFonts w:hint="eastAsia"/>
                <w:highlight w:val="none"/>
                <w:lang w:val="en-US" w:eastAsia="zh-CN"/>
              </w:rPr>
              <w:t>11月中旬至三月中旬</w:t>
            </w:r>
            <w:r>
              <w:rPr>
                <w:rFonts w:hint="eastAsia"/>
                <w:highlight w:val="none"/>
                <w:lang w:eastAsia="zh-CN"/>
              </w:rPr>
              <w:t>）</w:t>
            </w:r>
            <w:r>
              <w:rPr>
                <w:rFonts w:hint="eastAsia"/>
                <w:highlight w:val="none"/>
              </w:rPr>
              <w:t>，</w:t>
            </w:r>
            <w:r>
              <w:rPr>
                <w:highlight w:val="none"/>
              </w:rPr>
              <w:t>每天</w:t>
            </w:r>
            <w:r>
              <w:rPr>
                <w:rFonts w:hint="eastAsia"/>
                <w:highlight w:val="none"/>
              </w:rPr>
              <w:t>工作</w:t>
            </w:r>
            <w:r>
              <w:rPr>
                <w:rFonts w:hint="eastAsia"/>
                <w:highlight w:val="none"/>
                <w:lang w:val="en-US" w:eastAsia="zh-CN"/>
              </w:rPr>
              <w:t>24</w:t>
            </w:r>
            <w:r>
              <w:rPr>
                <w:highlight w:val="none"/>
              </w:rPr>
              <w:t>h</w:t>
            </w:r>
            <w:r>
              <w:rPr>
                <w:rFonts w:hint="eastAsia"/>
                <w:lang w:eastAsia="zh-CN"/>
              </w:rPr>
              <w:t>，本次环评计算</w:t>
            </w:r>
            <w:r>
              <w:rPr>
                <w:rFonts w:hint="eastAsia"/>
                <w:highlight w:val="none"/>
                <w:lang w:val="en-US" w:eastAsia="zh-CN"/>
              </w:rPr>
              <w:t>1台4.2MW</w:t>
            </w:r>
            <w:r>
              <w:rPr>
                <w:rFonts w:hint="eastAsia"/>
                <w:lang w:val="en-US" w:eastAsia="zh-CN"/>
              </w:rPr>
              <w:t>燃气</w:t>
            </w:r>
            <w:r>
              <w:rPr>
                <w:rFonts w:hint="eastAsia"/>
              </w:rPr>
              <w:t>锅炉</w:t>
            </w:r>
            <w:r>
              <w:rPr>
                <w:rFonts w:hint="eastAsia"/>
                <w:lang w:eastAsia="zh-CN"/>
              </w:rPr>
              <w:t>满负荷运行</w:t>
            </w:r>
            <w:r>
              <w:rPr>
                <w:rFonts w:hint="eastAsia"/>
                <w:lang w:val="en-US" w:eastAsia="zh-CN"/>
              </w:rPr>
              <w:t>污染物的产生量，</w:t>
            </w:r>
            <w:r>
              <w:rPr>
                <w:rFonts w:hint="eastAsia" w:ascii="宋体" w:hAnsi="宋体" w:eastAsia="宋体" w:cs="宋体"/>
                <w:color w:val="000000"/>
                <w:kern w:val="0"/>
                <w:sz w:val="24"/>
                <w:szCs w:val="24"/>
                <w:lang w:val="en-US" w:eastAsia="zh-CN" w:bidi="ar"/>
              </w:rPr>
              <w:t>天</w:t>
            </w:r>
            <w:r>
              <w:rPr>
                <w:rFonts w:hint="eastAsia" w:ascii="Times New Roman" w:hAnsi="Times New Roman" w:eastAsia="宋体" w:cs="Times New Roman"/>
                <w:color w:val="000000"/>
                <w:kern w:val="0"/>
                <w:sz w:val="24"/>
                <w:szCs w:val="24"/>
                <w:lang w:val="en-US" w:eastAsia="zh-CN" w:bidi="ar"/>
              </w:rPr>
              <w:t>然气消耗总量约为</w:t>
            </w:r>
            <w:r>
              <w:rPr>
                <w:rFonts w:hint="eastAsia" w:cs="Times New Roman"/>
                <w:color w:val="000000"/>
                <w:kern w:val="0"/>
                <w:sz w:val="24"/>
                <w:szCs w:val="24"/>
                <w:lang w:val="en-US" w:eastAsia="zh-CN" w:bidi="ar"/>
              </w:rPr>
              <w:t>136.3</w:t>
            </w:r>
            <w:r>
              <w:rPr>
                <w:rFonts w:hint="eastAsia" w:ascii="Times New Roman" w:hAnsi="Times New Roman" w:eastAsia="宋体" w:cs="Times New Roman"/>
                <w:color w:val="000000"/>
                <w:kern w:val="0"/>
                <w:sz w:val="24"/>
                <w:szCs w:val="24"/>
                <w:lang w:val="en-US" w:eastAsia="zh-CN" w:bidi="ar"/>
              </w:rPr>
              <w:t>万m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/a</w:t>
            </w:r>
            <w:r>
              <w:rPr>
                <w:rFonts w:hint="eastAsia"/>
              </w:rPr>
              <w:t>。</w:t>
            </w:r>
          </w:p>
          <w:p>
            <w:pPr>
              <w:keepNext w:val="0"/>
              <w:keepLines w:val="0"/>
              <w:widowControl/>
              <w:suppressLineNumbers w:val="0"/>
              <w:jc w:val="left"/>
            </w:pPr>
            <w:r>
              <w:rPr>
                <w:rFonts w:hint="eastAsia"/>
                <w:lang w:val="en-GB"/>
              </w:rPr>
              <w:t>根据《污染源源强核算技术指南 锅炉》（HJ991-2018）</w:t>
            </w:r>
            <w:r>
              <w:rPr>
                <w:rFonts w:hint="eastAsia"/>
                <w:lang w:val="en-US" w:eastAsia="zh-CN"/>
              </w:rPr>
              <w:t>和</w:t>
            </w:r>
            <w:r>
              <w:rPr>
                <w:rFonts w:hint="eastAsia" w:ascii="宋体" w:hAnsi="宋体" w:eastAsia="宋体" w:cs="宋体"/>
                <w:color w:val="000000"/>
                <w:kern w:val="0"/>
                <w:sz w:val="24"/>
                <w:szCs w:val="24"/>
                <w:lang w:val="en-US" w:eastAsia="zh-CN" w:bidi="ar"/>
              </w:rPr>
              <w:t>《排污许可证申请与核发技术规范 锅炉》（</w:t>
            </w:r>
            <w:r>
              <w:rPr>
                <w:rFonts w:hint="default" w:ascii="Times New Roman" w:hAnsi="Times New Roman" w:eastAsia="宋体" w:cs="Times New Roman"/>
                <w:color w:val="000000"/>
                <w:kern w:val="0"/>
                <w:sz w:val="24"/>
                <w:szCs w:val="24"/>
                <w:lang w:val="en-US" w:eastAsia="zh-CN" w:bidi="ar"/>
              </w:rPr>
              <w:t>HJ953-2018</w:t>
            </w:r>
            <w:r>
              <w:rPr>
                <w:rFonts w:hint="eastAsia" w:ascii="宋体" w:hAnsi="宋体" w:eastAsia="宋体" w:cs="宋体"/>
                <w:color w:val="000000"/>
                <w:kern w:val="0"/>
                <w:sz w:val="24"/>
                <w:szCs w:val="24"/>
                <w:lang w:val="en-US" w:eastAsia="zh-CN" w:bidi="ar"/>
              </w:rPr>
              <w:t>）中的核算方法计算</w:t>
            </w:r>
            <w:r>
              <w:rPr>
                <w:rFonts w:hint="eastAsia" w:ascii="宋体" w:hAnsi="宋体" w:cs="宋体"/>
                <w:color w:val="000000"/>
                <w:kern w:val="0"/>
                <w:sz w:val="24"/>
                <w:szCs w:val="24"/>
                <w:lang w:val="en-US" w:eastAsia="zh-CN" w:bidi="ar"/>
              </w:rPr>
              <w:t>烟气量及氮氧化物排放量</w:t>
            </w:r>
            <w:r>
              <w:rPr>
                <w:rFonts w:hint="eastAsia" w:ascii="宋体" w:hAnsi="宋体" w:eastAsia="宋体" w:cs="宋体"/>
                <w:color w:val="000000"/>
                <w:kern w:val="0"/>
                <w:sz w:val="24"/>
                <w:szCs w:val="24"/>
                <w:lang w:val="en-US" w:eastAsia="zh-CN" w:bidi="ar"/>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（1）基准烟气量计算</w:t>
            </w:r>
          </w:p>
          <w:p>
            <w:pPr>
              <w:keepNext w:val="0"/>
              <w:keepLines w:val="0"/>
              <w:widowControl/>
              <w:suppressLineNumbers w:val="0"/>
              <w:ind w:left="0" w:leftChars="0" w:firstLine="0" w:firstLineChars="0"/>
              <w:jc w:val="center"/>
            </w:pPr>
            <w:r>
              <w:rPr>
                <w:rFonts w:hint="default" w:ascii="Times New Roman" w:hAnsi="Times New Roman" w:eastAsia="宋体" w:cs="Times New Roman"/>
                <w:i/>
                <w:iCs/>
                <w:color w:val="000000"/>
                <w:kern w:val="0"/>
                <w:sz w:val="23"/>
                <w:szCs w:val="23"/>
                <w:lang w:val="en-US" w:eastAsia="zh-CN" w:bidi="ar"/>
              </w:rPr>
              <w:t>V</w:t>
            </w:r>
            <w:r>
              <w:rPr>
                <w:rFonts w:hint="default" w:ascii="Times New Roman" w:hAnsi="Times New Roman" w:eastAsia="宋体" w:cs="Times New Roman"/>
                <w:i/>
                <w:iCs/>
                <w:color w:val="000000"/>
                <w:kern w:val="0"/>
                <w:sz w:val="13"/>
                <w:szCs w:val="13"/>
                <w:lang w:val="en-US" w:eastAsia="zh-CN" w:bidi="ar"/>
              </w:rPr>
              <w:t xml:space="preserve">gy </w:t>
            </w:r>
            <w:r>
              <w:rPr>
                <w:rFonts w:ascii="Symbol" w:hAnsi="Symbol" w:eastAsia="宋体" w:cs="Symbol"/>
                <w:color w:val="000000"/>
                <w:kern w:val="0"/>
                <w:sz w:val="23"/>
                <w:szCs w:val="23"/>
                <w:lang w:val="en-US" w:eastAsia="zh-CN" w:bidi="ar"/>
              </w:rPr>
              <w:t xml:space="preserve"> </w:t>
            </w:r>
            <w:r>
              <w:rPr>
                <w:rFonts w:hint="default" w:ascii="Times New Roman" w:hAnsi="Times New Roman" w:eastAsia="宋体" w:cs="Times New Roman"/>
                <w:color w:val="000000"/>
                <w:kern w:val="0"/>
                <w:sz w:val="23"/>
                <w:szCs w:val="23"/>
                <w:lang w:val="en-US" w:eastAsia="zh-CN" w:bidi="ar"/>
              </w:rPr>
              <w:t>0.285</w:t>
            </w:r>
            <w:r>
              <w:rPr>
                <w:rFonts w:hint="default" w:ascii="Times New Roman" w:hAnsi="Times New Roman" w:eastAsia="宋体" w:cs="Times New Roman"/>
                <w:i/>
                <w:iCs/>
                <w:color w:val="000000"/>
                <w:kern w:val="0"/>
                <w:sz w:val="23"/>
                <w:szCs w:val="23"/>
                <w:lang w:val="en-US" w:eastAsia="zh-CN" w:bidi="ar"/>
              </w:rPr>
              <w:t>Q</w:t>
            </w:r>
            <w:r>
              <w:rPr>
                <w:rFonts w:hint="default" w:ascii="Times New Roman" w:hAnsi="Times New Roman" w:eastAsia="宋体" w:cs="Times New Roman"/>
                <w:i/>
                <w:iCs/>
                <w:color w:val="000000"/>
                <w:kern w:val="0"/>
                <w:sz w:val="13"/>
                <w:szCs w:val="13"/>
                <w:lang w:val="en-US" w:eastAsia="zh-CN" w:bidi="ar"/>
              </w:rPr>
              <w:t>net</w:t>
            </w:r>
            <w:r>
              <w:rPr>
                <w:rFonts w:hint="default" w:ascii="Times New Roman" w:hAnsi="Times New Roman" w:eastAsia="宋体" w:cs="Times New Roman"/>
                <w:color w:val="000000"/>
                <w:kern w:val="0"/>
                <w:sz w:val="13"/>
                <w:szCs w:val="13"/>
                <w:lang w:val="en-US" w:eastAsia="zh-CN" w:bidi="ar"/>
              </w:rPr>
              <w:t>,</w:t>
            </w:r>
            <w:r>
              <w:rPr>
                <w:rFonts w:hint="default" w:ascii="Times New Roman" w:hAnsi="Times New Roman" w:eastAsia="宋体" w:cs="Times New Roman"/>
                <w:i/>
                <w:iCs/>
                <w:color w:val="000000"/>
                <w:kern w:val="0"/>
                <w:sz w:val="13"/>
                <w:szCs w:val="13"/>
                <w:lang w:val="en-US" w:eastAsia="zh-CN" w:bidi="ar"/>
              </w:rPr>
              <w:t xml:space="preserve">ar </w:t>
            </w:r>
            <w:r>
              <w:rPr>
                <w:rFonts w:hint="default" w:ascii="Symbol" w:hAnsi="Symbol" w:eastAsia="宋体" w:cs="Symbol"/>
                <w:color w:val="000000"/>
                <w:kern w:val="0"/>
                <w:sz w:val="23"/>
                <w:szCs w:val="23"/>
                <w:lang w:val="en-US" w:eastAsia="zh-CN" w:bidi="ar"/>
              </w:rPr>
              <w:t xml:space="preserve"> </w:t>
            </w:r>
            <w:r>
              <w:rPr>
                <w:rFonts w:hint="default" w:ascii="Times New Roman" w:hAnsi="Times New Roman" w:eastAsia="宋体" w:cs="Times New Roman"/>
                <w:color w:val="000000"/>
                <w:kern w:val="0"/>
                <w:sz w:val="23"/>
                <w:szCs w:val="23"/>
                <w:lang w:val="en-US" w:eastAsia="zh-CN" w:bidi="ar"/>
              </w:rPr>
              <w:t>0.343</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V</w:t>
            </w:r>
            <w:r>
              <w:rPr>
                <w:rFonts w:hint="default" w:ascii="Times New Roman" w:hAnsi="Times New Roman" w:eastAsia="宋体" w:cs="Times New Roman"/>
                <w:color w:val="000000"/>
                <w:kern w:val="0"/>
                <w:sz w:val="15"/>
                <w:szCs w:val="15"/>
                <w:lang w:val="en-US" w:eastAsia="zh-CN" w:bidi="ar"/>
              </w:rPr>
              <w:t>gy</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基准烟气量，</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p>
          <w:p>
            <w:pPr>
              <w:keepNext w:val="0"/>
              <w:keepLines w:val="0"/>
              <w:widowControl/>
              <w:suppressLineNumbers w:val="0"/>
              <w:jc w:val="left"/>
              <w:rPr>
                <w:rFonts w:hint="eastAsia" w:ascii="Times New Roman" w:hAnsi="Times New Roman" w:eastAsia="宋体" w:cs="Times New Roman"/>
                <w:color w:val="000000"/>
                <w:kern w:val="0"/>
                <w:sz w:val="24"/>
                <w:szCs w:val="24"/>
                <w:vertAlign w:val="baseline"/>
                <w:lang w:val="en-US" w:eastAsia="zh-CN" w:bidi="ar"/>
              </w:rPr>
            </w:pP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net,ar</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燃料收到基低位发热量，</w:t>
            </w:r>
            <w:r>
              <w:rPr>
                <w:rFonts w:hint="default" w:ascii="Times New Roman" w:hAnsi="Times New Roman" w:eastAsia="宋体" w:cs="Times New Roman"/>
                <w:color w:val="000000"/>
                <w:kern w:val="0"/>
                <w:sz w:val="24"/>
                <w:szCs w:val="24"/>
                <w:lang w:val="en-US" w:eastAsia="zh-CN" w:bidi="ar"/>
              </w:rPr>
              <w:t>MJ/m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vertAlign w:val="baseline"/>
                <w:lang w:val="en-US" w:eastAsia="zh-CN" w:bidi="ar"/>
              </w:rPr>
              <w:t>（</w:t>
            </w:r>
            <w:r>
              <w:rPr>
                <w:rFonts w:hint="eastAsia" w:cs="Times New Roman"/>
                <w:color w:val="000000"/>
                <w:kern w:val="0"/>
                <w:sz w:val="24"/>
                <w:szCs w:val="24"/>
                <w:vertAlign w:val="baseline"/>
                <w:lang w:val="en-US" w:eastAsia="zh-CN" w:bidi="ar"/>
              </w:rPr>
              <w:t>31.21</w:t>
            </w:r>
            <w:r>
              <w:rPr>
                <w:rFonts w:hint="default" w:ascii="Times New Roman" w:hAnsi="Times New Roman" w:eastAsia="宋体" w:cs="Times New Roman"/>
                <w:color w:val="000000"/>
                <w:kern w:val="0"/>
                <w:sz w:val="24"/>
                <w:szCs w:val="24"/>
                <w:lang w:val="en-US" w:eastAsia="zh-CN" w:bidi="ar"/>
              </w:rPr>
              <w:t>MJ/</w:t>
            </w:r>
            <w:r>
              <w:rPr>
                <w:rFonts w:hint="eastAsia" w:cs="Times New Roman"/>
                <w:color w:val="000000"/>
                <w:kern w:val="0"/>
                <w:sz w:val="24"/>
                <w:szCs w:val="24"/>
                <w:lang w:val="en-US" w:eastAsia="zh-CN" w:bidi="ar"/>
              </w:rPr>
              <w:t>N</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vertAlign w:val="baseline"/>
                <w:lang w:val="en-US" w:eastAsia="zh-CN" w:bidi="ar"/>
              </w:rPr>
              <w:t>）</w:t>
            </w:r>
          </w:p>
          <w:p>
            <w:pPr>
              <w:pStyle w:val="1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宋体" w:hAnsi="宋体" w:eastAsia="宋体" w:cs="宋体"/>
                <w:color w:val="000000"/>
                <w:kern w:val="0"/>
                <w:sz w:val="24"/>
                <w:szCs w:val="24"/>
                <w:lang w:val="en-US" w:eastAsia="zh-CN" w:bidi="ar"/>
              </w:rPr>
            </w:pPr>
            <w:r>
              <w:rPr>
                <w:rFonts w:hint="eastAsia" w:cs="Times New Roman"/>
                <w:kern w:val="2"/>
                <w:sz w:val="24"/>
                <w:szCs w:val="24"/>
                <w:lang w:val="en-US" w:eastAsia="zh-CN" w:bidi="ar-SA"/>
              </w:rPr>
              <w:t>由上式</w:t>
            </w:r>
            <w:r>
              <w:rPr>
                <w:rFonts w:hint="eastAsia" w:ascii="Times New Roman" w:hAnsi="Times New Roman" w:eastAsia="宋体" w:cs="Times New Roman"/>
                <w:kern w:val="2"/>
                <w:sz w:val="24"/>
                <w:szCs w:val="24"/>
                <w:lang w:val="en-US" w:eastAsia="zh-CN" w:bidi="ar-SA"/>
              </w:rPr>
              <w:t>计算得到</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基准烟气量</w:t>
            </w:r>
            <w:r>
              <w:rPr>
                <w:rFonts w:hint="default" w:ascii="Times New Roman" w:hAnsi="Times New Roman" w:eastAsia="宋体" w:cs="Times New Roman"/>
                <w:i/>
                <w:iCs/>
                <w:color w:val="000000"/>
                <w:kern w:val="0"/>
                <w:sz w:val="23"/>
                <w:szCs w:val="23"/>
                <w:lang w:val="en-US" w:eastAsia="zh-CN" w:bidi="ar"/>
              </w:rPr>
              <w:t>V</w:t>
            </w:r>
            <w:r>
              <w:rPr>
                <w:rFonts w:hint="default" w:ascii="Times New Roman" w:hAnsi="Times New Roman" w:eastAsia="宋体" w:cs="Times New Roman"/>
                <w:i/>
                <w:iCs/>
                <w:color w:val="000000"/>
                <w:kern w:val="0"/>
                <w:sz w:val="13"/>
                <w:szCs w:val="13"/>
                <w:lang w:val="en-US" w:eastAsia="zh-CN" w:bidi="ar"/>
              </w:rPr>
              <w:t xml:space="preserve">gy </w:t>
            </w:r>
            <w:r>
              <w:rPr>
                <w:rFonts w:hint="eastAsia" w:ascii="Times New Roman" w:hAnsi="Times New Roman" w:eastAsia="宋体" w:cs="Times New Roman"/>
                <w:color w:val="000000"/>
                <w:kern w:val="0"/>
                <w:sz w:val="24"/>
                <w:szCs w:val="24"/>
                <w:lang w:val="en-US" w:eastAsia="zh-CN" w:bidi="ar"/>
              </w:rPr>
              <w:t>为</w:t>
            </w:r>
            <w:r>
              <w:rPr>
                <w:rFonts w:hint="eastAsia" w:cs="Times New Roman"/>
                <w:color w:val="000000"/>
                <w:kern w:val="0"/>
                <w:sz w:val="24"/>
                <w:szCs w:val="24"/>
                <w:lang w:val="en-US" w:eastAsia="zh-CN" w:bidi="ar"/>
              </w:rPr>
              <w:t>9.238</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cs="Times New Roman"/>
                <w:color w:val="000000"/>
                <w:kern w:val="0"/>
                <w:sz w:val="24"/>
                <w:szCs w:val="24"/>
                <w:vertAlign w:val="baseline"/>
                <w:lang w:val="en-US" w:eastAsia="zh-CN" w:bidi="ar"/>
              </w:rPr>
              <w:t>，</w:t>
            </w:r>
            <w:r>
              <w:rPr>
                <w:rFonts w:hint="eastAsia" w:ascii="宋体" w:hAnsi="宋体" w:eastAsia="宋体" w:cs="宋体"/>
                <w:color w:val="000000"/>
                <w:kern w:val="0"/>
                <w:sz w:val="24"/>
                <w:szCs w:val="24"/>
                <w:lang w:val="en-US" w:eastAsia="zh-CN" w:bidi="ar"/>
              </w:rPr>
              <w:t>天</w:t>
            </w:r>
            <w:r>
              <w:rPr>
                <w:rFonts w:hint="eastAsia" w:ascii="Times New Roman" w:hAnsi="Times New Roman" w:eastAsia="宋体" w:cs="Times New Roman"/>
                <w:color w:val="000000"/>
                <w:kern w:val="0"/>
                <w:sz w:val="24"/>
                <w:szCs w:val="24"/>
                <w:lang w:val="en-US" w:eastAsia="zh-CN" w:bidi="ar"/>
              </w:rPr>
              <w:t>然气消耗总量为</w:t>
            </w:r>
            <w:r>
              <w:rPr>
                <w:rFonts w:hint="eastAsia" w:cs="Times New Roman"/>
                <w:color w:val="000000"/>
                <w:kern w:val="0"/>
                <w:sz w:val="24"/>
                <w:szCs w:val="24"/>
                <w:lang w:val="en-US" w:eastAsia="zh-CN" w:bidi="ar"/>
              </w:rPr>
              <w:t>136.3</w:t>
            </w:r>
            <w:r>
              <w:rPr>
                <w:rFonts w:hint="eastAsia" w:ascii="Times New Roman" w:hAnsi="Times New Roman" w:eastAsia="宋体" w:cs="Times New Roman"/>
                <w:color w:val="000000"/>
                <w:kern w:val="0"/>
                <w:sz w:val="24"/>
                <w:szCs w:val="24"/>
                <w:lang w:val="en-US" w:eastAsia="zh-CN" w:bidi="ar"/>
              </w:rPr>
              <w:t>万m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/a，则烟气量为</w:t>
            </w:r>
            <w:r>
              <w:rPr>
                <w:rFonts w:hint="eastAsia" w:cs="Times New Roman"/>
                <w:color w:val="000000"/>
                <w:kern w:val="0"/>
                <w:sz w:val="24"/>
                <w:szCs w:val="24"/>
                <w:lang w:val="en-US" w:eastAsia="zh-CN" w:bidi="ar"/>
              </w:rPr>
              <w:t>1259.1394万N</w:t>
            </w:r>
            <w:r>
              <w:rPr>
                <w:rFonts w:hint="eastAsia" w:ascii="Times New Roman" w:hAnsi="Times New Roman" w:eastAsia="宋体" w:cs="Times New Roman"/>
                <w:kern w:val="2"/>
                <w:sz w:val="24"/>
                <w:szCs w:val="24"/>
                <w:lang w:val="en-US" w:eastAsia="zh-CN" w:bidi="ar-SA"/>
              </w:rPr>
              <w:t>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/a</w:t>
            </w:r>
            <w:r>
              <w:rPr>
                <w:rFonts w:hint="eastAsia" w:ascii="Times New Roman" w:hAnsi="Times New Roman" w:eastAsia="宋体" w:cs="Times New Roman"/>
                <w:color w:val="000000"/>
                <w:kern w:val="0"/>
                <w:sz w:val="24"/>
                <w:szCs w:val="24"/>
                <w:lang w:val="en-US" w:eastAsia="zh-CN" w:bidi="ar"/>
              </w:rPr>
              <w:t>。</w:t>
            </w:r>
          </w:p>
          <w:p>
            <w:pPr>
              <w:pStyle w:val="1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颗粒物</w:t>
            </w:r>
            <w:r>
              <w:rPr>
                <w:rFonts w:hint="eastAsia" w:cs="Times New Roman"/>
                <w:kern w:val="2"/>
                <w:sz w:val="24"/>
                <w:szCs w:val="24"/>
                <w:lang w:val="en-US" w:eastAsia="zh-CN" w:bidi="ar-SA"/>
              </w:rPr>
              <w:t>排放量计算</w:t>
            </w:r>
          </w:p>
          <w:p>
            <w:pPr>
              <w:pStyle w:val="12"/>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2085975" cy="295275"/>
                  <wp:effectExtent l="0" t="0" r="9525" b="889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3"/>
                          <a:stretch>
                            <a:fillRect/>
                          </a:stretch>
                        </pic:blipFill>
                        <pic:spPr>
                          <a:xfrm>
                            <a:off x="0" y="0"/>
                            <a:ext cx="2085975" cy="29527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Ej—</w:t>
            </w:r>
            <w:r>
              <w:rPr>
                <w:rFonts w:hint="eastAsia" w:ascii="宋体" w:hAnsi="宋体" w:eastAsia="宋体" w:cs="宋体"/>
                <w:color w:val="000000"/>
                <w:kern w:val="0"/>
                <w:sz w:val="24"/>
                <w:szCs w:val="24"/>
                <w:lang w:val="en-US" w:eastAsia="zh-CN" w:bidi="ar"/>
              </w:rPr>
              <w:t>核算时段内颗粒物（烟尘）排放量，</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960" w:firstLineChars="400"/>
              <w:jc w:val="left"/>
            </w:pPr>
            <w:r>
              <w:rPr>
                <w:rFonts w:hint="default" w:ascii="Times New Roman" w:hAnsi="Times New Roman" w:eastAsia="宋体" w:cs="Times New Roman"/>
                <w:color w:val="000000"/>
                <w:kern w:val="0"/>
                <w:sz w:val="24"/>
                <w:szCs w:val="24"/>
                <w:lang w:val="en-US" w:eastAsia="zh-CN" w:bidi="ar"/>
              </w:rPr>
              <w:t>R—</w:t>
            </w:r>
            <w:r>
              <w:rPr>
                <w:rFonts w:hint="eastAsia" w:ascii="宋体" w:hAnsi="宋体" w:eastAsia="宋体" w:cs="宋体"/>
                <w:color w:val="000000"/>
                <w:kern w:val="0"/>
                <w:sz w:val="24"/>
                <w:szCs w:val="24"/>
                <w:lang w:val="en-US" w:eastAsia="zh-CN" w:bidi="ar"/>
              </w:rPr>
              <w:t>核算时段内锅炉燃料消耗量，</w:t>
            </w:r>
            <w:r>
              <w:rPr>
                <w:rFonts w:hint="eastAsia" w:cs="Times New Roman"/>
                <w:color w:val="000000"/>
                <w:kern w:val="0"/>
                <w:sz w:val="24"/>
                <w:szCs w:val="24"/>
                <w:lang w:val="en-US" w:eastAsia="zh-CN" w:bidi="ar"/>
              </w:rPr>
              <w:t>136.3</w:t>
            </w:r>
            <w:r>
              <w:rPr>
                <w:rFonts w:hint="eastAsia" w:ascii="Times New Roman" w:hAnsi="Times New Roman" w:eastAsia="宋体" w:cs="Times New Roman"/>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960" w:firstLineChars="400"/>
              <w:jc w:val="left"/>
            </w:pPr>
            <w:r>
              <w:rPr>
                <w:rFonts w:hint="default" w:ascii="Times New Roman" w:hAnsi="Times New Roman" w:eastAsia="宋体" w:cs="Times New Roman"/>
                <w:color w:val="000000"/>
                <w:kern w:val="0"/>
                <w:sz w:val="24"/>
                <w:szCs w:val="24"/>
                <w:lang w:val="en-US" w:eastAsia="zh-CN" w:bidi="ar"/>
              </w:rPr>
              <w:t>ƞ—</w:t>
            </w:r>
            <w:r>
              <w:rPr>
                <w:rFonts w:hint="eastAsia" w:ascii="宋体" w:hAnsi="宋体" w:eastAsia="宋体" w:cs="宋体"/>
                <w:color w:val="000000"/>
                <w:kern w:val="0"/>
                <w:sz w:val="24"/>
                <w:szCs w:val="24"/>
                <w:lang w:val="en-US" w:eastAsia="zh-CN" w:bidi="ar"/>
              </w:rPr>
              <w:t>除尘效率，</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，本项目为</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960" w:firstLineChars="400"/>
              <w:jc w:val="left"/>
            </w:pPr>
            <w:r>
              <w:rPr>
                <w:rFonts w:hint="default" w:ascii="Times New Roman" w:hAnsi="Times New Roman" w:eastAsia="宋体" w:cs="Times New Roman"/>
                <w:color w:val="000000"/>
                <w:kern w:val="0"/>
                <w:sz w:val="24"/>
                <w:szCs w:val="24"/>
                <w:lang w:val="en-US" w:eastAsia="zh-CN" w:bidi="ar"/>
              </w:rPr>
              <w:t>βj—</w:t>
            </w:r>
            <w:r>
              <w:rPr>
                <w:rFonts w:hint="eastAsia" w:ascii="宋体" w:hAnsi="宋体" w:eastAsia="宋体" w:cs="宋体"/>
                <w:color w:val="000000"/>
                <w:kern w:val="0"/>
                <w:sz w:val="24"/>
                <w:szCs w:val="24"/>
                <w:lang w:val="en-US" w:eastAsia="zh-CN" w:bidi="ar"/>
              </w:rPr>
              <w:t>产污系数，</w:t>
            </w:r>
            <w:r>
              <w:rPr>
                <w:rFonts w:hint="default" w:ascii="Times New Roman" w:hAnsi="Times New Roman" w:eastAsia="宋体" w:cs="Times New Roman"/>
                <w:color w:val="000000"/>
                <w:kern w:val="0"/>
                <w:sz w:val="24"/>
                <w:szCs w:val="24"/>
                <w:lang w:val="en-US" w:eastAsia="zh-CN" w:bidi="ar"/>
              </w:rPr>
              <w:t>kg/t</w:t>
            </w:r>
            <w:r>
              <w:rPr>
                <w:rFonts w:hint="eastAsia" w:ascii="宋体" w:hAnsi="宋体" w:eastAsia="宋体" w:cs="宋体"/>
                <w:color w:val="000000"/>
                <w:kern w:val="0"/>
                <w:sz w:val="24"/>
                <w:szCs w:val="24"/>
                <w:lang w:val="en-US" w:eastAsia="zh-CN" w:bidi="ar"/>
              </w:rPr>
              <w:t>或</w:t>
            </w:r>
            <w:r>
              <w:rPr>
                <w:rFonts w:hint="default" w:ascii="Times New Roman" w:hAnsi="Times New Roman" w:eastAsia="宋体" w:cs="Times New Roman"/>
                <w:color w:val="000000"/>
                <w:kern w:val="0"/>
                <w:sz w:val="24"/>
                <w:szCs w:val="24"/>
                <w:lang w:val="en-US" w:eastAsia="zh-CN" w:bidi="ar"/>
              </w:rPr>
              <w:t>kg/</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，本项目取</w:t>
            </w:r>
            <w:r>
              <w:rPr>
                <w:rFonts w:hint="default" w:ascii="Times New Roman" w:hAnsi="Times New Roman" w:eastAsia="宋体" w:cs="Times New Roman"/>
                <w:color w:val="000000"/>
                <w:kern w:val="0"/>
                <w:sz w:val="24"/>
                <w:szCs w:val="24"/>
                <w:lang w:val="en-US" w:eastAsia="zh-CN" w:bidi="ar"/>
              </w:rPr>
              <w:t>1.039kg/</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（全国第二次污染源普查工业污染源普查数据中列出颗粒物的系数）</w:t>
            </w:r>
          </w:p>
          <w:p>
            <w:pPr>
              <w:pStyle w:val="13"/>
              <w:ind w:left="0" w:leftChars="0" w:firstLine="480" w:firstLineChars="200"/>
              <w:rPr>
                <w:rFonts w:hint="default" w:ascii="Times New Roman" w:hAnsi="Times New Roman" w:eastAsia="宋体" w:cs="Times New Roman"/>
                <w:color w:val="000000"/>
                <w:kern w:val="0"/>
                <w:sz w:val="24"/>
                <w:szCs w:val="24"/>
                <w:vertAlign w:val="baseline"/>
                <w:lang w:val="en-US" w:eastAsia="zh-CN" w:bidi="ar"/>
              </w:rPr>
            </w:pPr>
            <w:r>
              <w:rPr>
                <w:rFonts w:hint="eastAsia" w:cs="Times New Roman"/>
                <w:kern w:val="2"/>
                <w:sz w:val="24"/>
                <w:szCs w:val="24"/>
                <w:lang w:val="en-US" w:eastAsia="zh-CN" w:bidi="ar-SA"/>
              </w:rPr>
              <w:t>由上式</w:t>
            </w:r>
            <w:r>
              <w:rPr>
                <w:rFonts w:hint="eastAsia" w:ascii="Times New Roman" w:hAnsi="Times New Roman" w:eastAsia="宋体" w:cs="Times New Roman"/>
                <w:kern w:val="2"/>
                <w:sz w:val="24"/>
                <w:szCs w:val="24"/>
                <w:lang w:val="en-US" w:eastAsia="zh-CN" w:bidi="ar-SA"/>
              </w:rPr>
              <w:t>计算得到</w:t>
            </w:r>
            <w:r>
              <w:rPr>
                <w:rFonts w:hint="eastAsia" w:cs="Times New Roman"/>
                <w:kern w:val="2"/>
                <w:sz w:val="24"/>
                <w:szCs w:val="24"/>
                <w:lang w:val="en-US" w:eastAsia="zh-CN" w:bidi="ar-SA"/>
              </w:rPr>
              <w:t>，颗粒物排放</w:t>
            </w:r>
            <w:r>
              <w:rPr>
                <w:rFonts w:hint="eastAsia" w:ascii="Times New Roman" w:hAnsi="Times New Roman" w:eastAsia="宋体" w:cs="Times New Roman"/>
                <w:color w:val="000000"/>
                <w:kern w:val="0"/>
                <w:sz w:val="24"/>
                <w:szCs w:val="24"/>
                <w:vertAlign w:val="baseline"/>
                <w:lang w:val="en-US" w:eastAsia="zh-CN" w:bidi="ar"/>
              </w:rPr>
              <w:t>量为</w:t>
            </w:r>
            <w:r>
              <w:rPr>
                <w:rFonts w:hint="eastAsia" w:ascii="Times New Roman" w:cs="Times New Roman"/>
                <w:color w:val="000000"/>
                <w:kern w:val="0"/>
                <w:sz w:val="24"/>
                <w:szCs w:val="24"/>
                <w:vertAlign w:val="baseline"/>
                <w:lang w:val="en-US" w:eastAsia="zh-CN" w:bidi="ar"/>
              </w:rPr>
              <w:t>0.142</w:t>
            </w:r>
            <w:r>
              <w:rPr>
                <w:rFonts w:hint="default" w:ascii="Times New Roman" w:hAnsi="Times New Roman" w:eastAsia="宋体" w:cs="Times New Roman"/>
                <w:color w:val="000000"/>
                <w:kern w:val="0"/>
                <w:sz w:val="24"/>
                <w:szCs w:val="24"/>
                <w:vertAlign w:val="baseline"/>
                <w:lang w:val="en-US" w:eastAsia="zh-CN" w:bidi="ar"/>
              </w:rPr>
              <w:t>t</w:t>
            </w:r>
            <w:r>
              <w:rPr>
                <w:rFonts w:hint="eastAsia" w:ascii="Times New Roman" w:cs="Times New Roman"/>
                <w:color w:val="000000"/>
                <w:kern w:val="0"/>
                <w:sz w:val="24"/>
                <w:szCs w:val="24"/>
                <w:vertAlign w:val="baseline"/>
                <w:lang w:val="en-US" w:eastAsia="zh-CN" w:bidi="ar"/>
              </w:rPr>
              <w:t>。</w:t>
            </w:r>
          </w:p>
          <w:p>
            <w:pPr>
              <w:pStyle w:val="12"/>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二氧化硫</w:t>
            </w:r>
            <w:r>
              <w:rPr>
                <w:rFonts w:hint="eastAsia" w:cs="Times New Roman"/>
                <w:kern w:val="2"/>
                <w:sz w:val="24"/>
                <w:szCs w:val="24"/>
                <w:lang w:val="en-US" w:eastAsia="zh-CN" w:bidi="ar-SA"/>
              </w:rPr>
              <w:t>排放量计算</w:t>
            </w:r>
          </w:p>
          <w:p>
            <w:pPr>
              <w:pStyle w:val="12"/>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pPr>
            <w:r>
              <w:drawing>
                <wp:inline distT="0" distB="0" distL="114300" distR="114300">
                  <wp:extent cx="2552700" cy="428625"/>
                  <wp:effectExtent l="0" t="0" r="0" b="889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4"/>
                          <a:stretch>
                            <a:fillRect/>
                          </a:stretch>
                        </pic:blipFill>
                        <pic:spPr>
                          <a:xfrm>
                            <a:off x="0" y="0"/>
                            <a:ext cx="2552700" cy="42862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E</w:t>
            </w:r>
            <w:r>
              <w:rPr>
                <w:rFonts w:hint="default" w:ascii="Times New Roman" w:hAnsi="Times New Roman" w:eastAsia="宋体" w:cs="Times New Roman"/>
                <w:color w:val="000000"/>
                <w:kern w:val="0"/>
                <w:sz w:val="15"/>
                <w:szCs w:val="15"/>
                <w:lang w:val="en-US" w:eastAsia="zh-CN" w:bidi="ar"/>
              </w:rPr>
              <w:t>SO</w:t>
            </w:r>
            <w:r>
              <w:rPr>
                <w:rFonts w:hint="default" w:ascii="Times New Roman" w:hAnsi="Times New Roman" w:eastAsia="宋体" w:cs="Times New Roman"/>
                <w:color w:val="000000"/>
                <w:kern w:val="0"/>
                <w:sz w:val="15"/>
                <w:szCs w:val="15"/>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核算时段内二氧化硫排放量，</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R—</w:t>
            </w:r>
            <w:r>
              <w:rPr>
                <w:rFonts w:hint="eastAsia" w:ascii="宋体" w:hAnsi="宋体" w:eastAsia="宋体" w:cs="宋体"/>
                <w:color w:val="000000"/>
                <w:kern w:val="0"/>
                <w:sz w:val="24"/>
                <w:szCs w:val="24"/>
                <w:lang w:val="en-US" w:eastAsia="zh-CN" w:bidi="ar"/>
              </w:rPr>
              <w:t>核算时段内锅炉燃料消耗量，</w:t>
            </w:r>
            <w:r>
              <w:rPr>
                <w:rFonts w:hint="eastAsia" w:cs="Times New Roman"/>
                <w:color w:val="000000"/>
                <w:kern w:val="0"/>
                <w:sz w:val="24"/>
                <w:szCs w:val="24"/>
                <w:lang w:val="en-US" w:eastAsia="zh-CN" w:bidi="ar"/>
              </w:rPr>
              <w:t>136.3</w:t>
            </w:r>
            <w:r>
              <w:rPr>
                <w:rFonts w:hint="eastAsia" w:ascii="Times New Roman" w:hAnsi="Times New Roman" w:eastAsia="宋体" w:cs="Times New Roman"/>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S</w:t>
            </w:r>
            <w:r>
              <w:rPr>
                <w:rFonts w:hint="default" w:ascii="Times New Roman" w:hAnsi="Times New Roman" w:eastAsia="宋体" w:cs="Times New Roman"/>
                <w:color w:val="000000"/>
                <w:kern w:val="0"/>
                <w:sz w:val="15"/>
                <w:szCs w:val="15"/>
                <w:lang w:val="en-US" w:eastAsia="zh-CN" w:bidi="ar"/>
              </w:rPr>
              <w:t>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燃料总硫的质量浓度，</w:t>
            </w:r>
            <w:r>
              <w:rPr>
                <w:rFonts w:hint="default" w:ascii="Times New Roman" w:hAnsi="Times New Roman" w:eastAsia="宋体" w:cs="Times New Roman"/>
                <w:color w:val="000000"/>
                <w:kern w:val="0"/>
                <w:sz w:val="24"/>
                <w:szCs w:val="24"/>
                <w:lang w:val="en-US" w:eastAsia="zh-CN" w:bidi="ar"/>
              </w:rPr>
              <w:t>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，根据《天然气》（</w:t>
            </w:r>
            <w:r>
              <w:rPr>
                <w:rFonts w:hint="default" w:ascii="Times New Roman" w:hAnsi="Times New Roman" w:eastAsia="宋体" w:cs="Times New Roman"/>
                <w:color w:val="000000"/>
                <w:kern w:val="0"/>
                <w:sz w:val="24"/>
                <w:szCs w:val="24"/>
                <w:lang w:val="en-US" w:eastAsia="zh-CN" w:bidi="ar"/>
              </w:rPr>
              <w:t>GB17820-2018</w:t>
            </w:r>
            <w:r>
              <w:rPr>
                <w:rFonts w:hint="eastAsia" w:ascii="宋体" w:hAnsi="宋体" w:eastAsia="宋体" w:cs="宋体"/>
                <w:color w:val="000000"/>
                <w:kern w:val="0"/>
                <w:sz w:val="24"/>
                <w:szCs w:val="24"/>
                <w:lang w:val="en-US" w:eastAsia="zh-CN" w:bidi="ar"/>
              </w:rPr>
              <w:t>）二类天然气标准</w:t>
            </w:r>
            <w:r>
              <w:rPr>
                <w:rFonts w:hint="default" w:ascii="Times New Roman" w:hAnsi="Times New Roman" w:eastAsia="宋体" w:cs="Times New Roman"/>
                <w:color w:val="000000"/>
                <w:kern w:val="0"/>
                <w:sz w:val="24"/>
                <w:szCs w:val="24"/>
                <w:lang w:val="en-US" w:eastAsia="zh-CN" w:bidi="ar"/>
              </w:rPr>
              <w:t>S</w:t>
            </w:r>
            <w:r>
              <w:rPr>
                <w:rFonts w:hint="default" w:ascii="Times New Roman" w:hAnsi="Times New Roman" w:eastAsia="宋体" w:cs="Times New Roman"/>
                <w:color w:val="000000"/>
                <w:kern w:val="0"/>
                <w:sz w:val="24"/>
                <w:szCs w:val="24"/>
                <w:vertAlign w:val="subscript"/>
                <w:lang w:val="en-US" w:eastAsia="zh-CN" w:bidi="ar"/>
              </w:rPr>
              <w:t>t</w:t>
            </w:r>
            <w:r>
              <w:rPr>
                <w:rFonts w:hint="eastAsia" w:ascii="宋体" w:hAnsi="宋体" w:eastAsia="宋体" w:cs="宋体"/>
                <w:color w:val="000000"/>
                <w:kern w:val="0"/>
                <w:sz w:val="24"/>
                <w:szCs w:val="24"/>
                <w:lang w:val="en-US" w:eastAsia="zh-CN" w:bidi="ar"/>
              </w:rPr>
              <w:t>取</w:t>
            </w:r>
            <w:r>
              <w:rPr>
                <w:rFonts w:hint="default" w:ascii="Times New Roman" w:hAnsi="Times New Roman" w:eastAsia="宋体" w:cs="Times New Roman"/>
                <w:color w:val="000000"/>
                <w:kern w:val="0"/>
                <w:sz w:val="24"/>
                <w:szCs w:val="24"/>
                <w:lang w:val="en-US" w:eastAsia="zh-CN" w:bidi="ar"/>
              </w:rPr>
              <w:t>100mg/m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ƞ</w:t>
            </w:r>
            <w:r>
              <w:rPr>
                <w:rFonts w:hint="default" w:ascii="Times New Roman" w:hAnsi="Times New Roman" w:eastAsia="宋体" w:cs="Times New Roman"/>
                <w:color w:val="000000"/>
                <w:kern w:val="0"/>
                <w:sz w:val="15"/>
                <w:szCs w:val="15"/>
                <w:lang w:val="en-US" w:eastAsia="zh-CN" w:bidi="ar"/>
              </w:rPr>
              <w:t>s</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脱硫效率，</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，本项目为</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1200" w:firstLineChars="500"/>
              <w:jc w:val="left"/>
            </w:pPr>
            <w:r>
              <w:rPr>
                <w:rFonts w:hint="default" w:ascii="Times New Roman" w:hAnsi="Times New Roman" w:eastAsia="宋体" w:cs="Times New Roman"/>
                <w:color w:val="000000"/>
                <w:kern w:val="0"/>
                <w:sz w:val="24"/>
                <w:szCs w:val="24"/>
                <w:lang w:val="en-US" w:eastAsia="zh-CN" w:bidi="ar"/>
              </w:rPr>
              <w:t>K—</w:t>
            </w:r>
            <w:r>
              <w:rPr>
                <w:rFonts w:hint="eastAsia" w:ascii="宋体" w:hAnsi="宋体" w:eastAsia="宋体" w:cs="宋体"/>
                <w:color w:val="000000"/>
                <w:kern w:val="0"/>
                <w:sz w:val="24"/>
                <w:szCs w:val="24"/>
                <w:lang w:val="en-US" w:eastAsia="zh-CN" w:bidi="ar"/>
              </w:rPr>
              <w:t>燃料中的硫燃烧后氧化成二氧化硫的份额，量纲一的量，本项目以</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计。</w:t>
            </w:r>
          </w:p>
          <w:p>
            <w:pPr>
              <w:pStyle w:val="13"/>
              <w:ind w:left="0" w:leftChars="0" w:firstLine="480" w:firstLineChars="200"/>
              <w:rPr>
                <w:rFonts w:hint="default"/>
                <w:lang w:val="en-US" w:eastAsia="zh-CN"/>
              </w:rPr>
            </w:pPr>
            <w:r>
              <w:rPr>
                <w:rFonts w:hint="eastAsia" w:cs="Times New Roman"/>
                <w:kern w:val="2"/>
                <w:sz w:val="24"/>
                <w:szCs w:val="24"/>
                <w:lang w:val="en-US" w:eastAsia="zh-CN" w:bidi="ar-SA"/>
              </w:rPr>
              <w:t>由上式</w:t>
            </w:r>
            <w:r>
              <w:rPr>
                <w:rFonts w:hint="eastAsia" w:ascii="Times New Roman" w:hAnsi="Times New Roman" w:eastAsia="宋体" w:cs="Times New Roman"/>
                <w:kern w:val="2"/>
                <w:sz w:val="24"/>
                <w:szCs w:val="24"/>
                <w:lang w:val="en-US" w:eastAsia="zh-CN" w:bidi="ar-SA"/>
              </w:rPr>
              <w:t>计算得到</w:t>
            </w:r>
            <w:r>
              <w:rPr>
                <w:rFonts w:hint="eastAsia" w:ascii="Times New Roman"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二氧化硫</w:t>
            </w:r>
            <w:r>
              <w:rPr>
                <w:rFonts w:hint="eastAsia" w:ascii="Times New Roman" w:cs="Times New Roman"/>
                <w:kern w:val="2"/>
                <w:sz w:val="24"/>
                <w:szCs w:val="24"/>
                <w:lang w:val="en-US" w:eastAsia="zh-CN" w:bidi="ar-SA"/>
              </w:rPr>
              <w:t>排放量为0.273</w:t>
            </w:r>
            <w:r>
              <w:rPr>
                <w:rFonts w:hint="default" w:ascii="Times New Roman" w:hAnsi="Times New Roman" w:eastAsia="宋体" w:cs="Times New Roman"/>
                <w:color w:val="000000"/>
                <w:kern w:val="0"/>
                <w:sz w:val="24"/>
                <w:szCs w:val="24"/>
                <w:lang w:val="en-US" w:eastAsia="zh-CN" w:bidi="ar"/>
              </w:rPr>
              <w:t>t</w:t>
            </w:r>
            <w:r>
              <w:rPr>
                <w:rFonts w:hint="eastAsia" w:ascii="Times New Roman" w:cs="Times New Roman"/>
                <w:color w:val="000000"/>
                <w:kern w:val="0"/>
                <w:sz w:val="24"/>
                <w:szCs w:val="24"/>
                <w:lang w:val="en-US" w:eastAsia="zh-CN" w:bidi="ar"/>
              </w:rPr>
              <w:t>。</w:t>
            </w:r>
          </w:p>
          <w:p>
            <w:pPr>
              <w:pStyle w:val="12"/>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氮氧化物</w:t>
            </w:r>
            <w:r>
              <w:rPr>
                <w:rFonts w:hint="eastAsia" w:cs="Times New Roman"/>
                <w:kern w:val="2"/>
                <w:sz w:val="24"/>
                <w:szCs w:val="24"/>
                <w:lang w:val="en-US" w:eastAsia="zh-CN" w:bidi="ar-SA"/>
              </w:rPr>
              <w:t>排放量计算</w:t>
            </w:r>
            <w:r>
              <w:rPr>
                <w:rFonts w:hint="eastAsia" w:ascii="Times New Roman" w:hAnsi="Times New Roman" w:eastAsia="宋体" w:cs="Times New Roman"/>
                <w:kern w:val="2"/>
                <w:sz w:val="24"/>
                <w:szCs w:val="24"/>
                <w:lang w:val="en-US" w:eastAsia="zh-CN" w:bidi="ar-SA"/>
              </w:rPr>
              <w:t>：</w:t>
            </w:r>
          </w:p>
          <w:p>
            <w:pPr>
              <w:pStyle w:val="13"/>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drawing>
                <wp:inline distT="0" distB="0" distL="114300" distR="114300">
                  <wp:extent cx="2105025" cy="466725"/>
                  <wp:effectExtent l="0" t="0" r="952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2105025" cy="46672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式中：</w:t>
            </w:r>
            <w:r>
              <w:rPr>
                <w:rFonts w:hint="default" w:ascii="Times New Roman" w:hAnsi="Times New Roman" w:eastAsia="宋体" w:cs="Times New Roman"/>
                <w:color w:val="000000"/>
                <w:kern w:val="0"/>
                <w:sz w:val="24"/>
                <w:szCs w:val="24"/>
                <w:lang w:val="en-US" w:eastAsia="zh-CN" w:bidi="ar"/>
              </w:rPr>
              <w:t>E</w:t>
            </w:r>
            <w:r>
              <w:rPr>
                <w:rFonts w:hint="default" w:ascii="Times New Roman" w:hAnsi="Times New Roman" w:eastAsia="宋体" w:cs="Times New Roman"/>
                <w:color w:val="000000"/>
                <w:kern w:val="0"/>
                <w:sz w:val="15"/>
                <w:szCs w:val="15"/>
                <w:lang w:val="en-US" w:eastAsia="zh-CN" w:bidi="ar"/>
              </w:rPr>
              <w:t>NOx</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核算时段内氮氧化物产生量，</w:t>
            </w:r>
            <w:r>
              <w:rPr>
                <w:rFonts w:hint="default" w:ascii="Times New Roman" w:hAnsi="Times New Roman" w:eastAsia="宋体" w:cs="Times New Roman"/>
                <w:color w:val="000000"/>
                <w:kern w:val="0"/>
                <w:sz w:val="24"/>
                <w:szCs w:val="24"/>
                <w:lang w:val="en-US" w:eastAsia="zh-CN" w:bidi="ar"/>
              </w:rPr>
              <w:t>t</w:t>
            </w:r>
            <w:r>
              <w:rPr>
                <w:rFonts w:hint="eastAsia" w:cs="Times New Roman"/>
                <w:color w:val="000000"/>
                <w:kern w:val="0"/>
                <w:sz w:val="24"/>
                <w:szCs w:val="24"/>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drawing>
                <wp:inline distT="0" distB="0" distL="114300" distR="114300">
                  <wp:extent cx="349250" cy="269240"/>
                  <wp:effectExtent l="0" t="0" r="12700" b="1651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rcRect l="19849" t="19184" r="63560" b="23129"/>
                          <a:stretch>
                            <a:fillRect/>
                          </a:stretch>
                        </pic:blipFill>
                        <pic:spPr>
                          <a:xfrm>
                            <a:off x="0" y="0"/>
                            <a:ext cx="349250" cy="269240"/>
                          </a:xfrm>
                          <a:prstGeom prst="rect">
                            <a:avLst/>
                          </a:prstGeom>
                          <a:noFill/>
                          <a:ln>
                            <a:noFill/>
                          </a:ln>
                        </pic:spPr>
                      </pic:pic>
                    </a:graphicData>
                  </a:graphic>
                </wp:inline>
              </w:drawing>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锅炉炉膛出口</w:t>
            </w:r>
            <w:r>
              <w:rPr>
                <w:rFonts w:hint="eastAsia" w:ascii="Times New Roman" w:hAnsi="Times New Roman" w:eastAsia="宋体" w:cs="Times New Roman"/>
                <w:color w:val="000000"/>
                <w:kern w:val="0"/>
                <w:sz w:val="24"/>
                <w:szCs w:val="24"/>
                <w:lang w:val="en-US" w:eastAsia="zh-CN" w:bidi="ar"/>
              </w:rPr>
              <w:t>氮氧化物质量浓度，</w:t>
            </w:r>
            <w:r>
              <w:rPr>
                <w:rFonts w:hint="default" w:ascii="Times New Roman" w:hAnsi="Times New Roman" w:eastAsia="宋体" w:cs="Times New Roman"/>
                <w:color w:val="000000"/>
                <w:kern w:val="0"/>
                <w:sz w:val="24"/>
                <w:szCs w:val="24"/>
                <w:lang w:val="en-US" w:eastAsia="zh-CN" w:bidi="ar"/>
              </w:rPr>
              <w:t>mg/m</w:t>
            </w:r>
            <w:r>
              <w:rPr>
                <w:rFonts w:hint="default"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，本项目取</w:t>
            </w:r>
            <w:r>
              <w:rPr>
                <w:rFonts w:hint="eastAsia" w:cs="Times New Roman"/>
                <w:color w:val="000000"/>
                <w:kern w:val="0"/>
                <w:sz w:val="24"/>
                <w:szCs w:val="24"/>
                <w:lang w:val="en-US" w:eastAsia="zh-CN" w:bidi="ar"/>
              </w:rPr>
              <w:t>50</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jc w:val="left"/>
              <w:rPr>
                <w:rFonts w:hint="eastAsia" w:ascii="Times New Roman" w:hAnsi="Times New Roman" w:eastAsia="宋体" w:cs="Times New Roman"/>
                <w:color w:val="000000"/>
                <w:kern w:val="0"/>
                <w:sz w:val="24"/>
                <w:szCs w:val="24"/>
                <w:vertAlign w:val="baseline"/>
                <w:lang w:val="en-US" w:eastAsia="zh-CN" w:bidi="ar"/>
              </w:rPr>
            </w:pPr>
            <w:r>
              <w:rPr>
                <w:rFonts w:hint="eastAsia"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核算时段内标态干烟气排放量，</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cs="Times New Roman"/>
                <w:color w:val="000000"/>
                <w:kern w:val="0"/>
                <w:sz w:val="24"/>
                <w:szCs w:val="24"/>
                <w:lang w:val="en-US" w:eastAsia="zh-CN" w:bidi="ar"/>
              </w:rPr>
              <w:t>，</w:t>
            </w:r>
            <w:r>
              <w:rPr>
                <w:rFonts w:hint="eastAsia" w:cs="Times New Roman"/>
                <w:kern w:val="2"/>
                <w:sz w:val="24"/>
                <w:szCs w:val="24"/>
                <w:lang w:val="en-US" w:eastAsia="zh-CN" w:bidi="ar-SA"/>
              </w:rPr>
              <w:t>本项目取</w:t>
            </w:r>
            <w:r>
              <w:rPr>
                <w:rFonts w:hint="eastAsia" w:cs="Times New Roman"/>
                <w:color w:val="000000"/>
                <w:kern w:val="0"/>
                <w:sz w:val="24"/>
                <w:szCs w:val="24"/>
                <w:lang w:val="en-US" w:eastAsia="zh-CN" w:bidi="ar"/>
              </w:rPr>
              <w:t>12591394N</w:t>
            </w:r>
            <w:r>
              <w:rPr>
                <w:rFonts w:hint="eastAsia" w:ascii="Times New Roman" w:hAnsi="Times New Roman" w:eastAsia="宋体" w:cs="Times New Roman"/>
                <w:kern w:val="2"/>
                <w:sz w:val="24"/>
                <w:szCs w:val="24"/>
                <w:lang w:val="en-US" w:eastAsia="zh-CN" w:bidi="ar-SA"/>
              </w:rPr>
              <w:t>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/a</w:t>
            </w:r>
            <w:r>
              <w:rPr>
                <w:rFonts w:hint="eastAsia" w:cs="Times New Roman"/>
                <w:color w:val="000000"/>
                <w:kern w:val="0"/>
                <w:sz w:val="24"/>
                <w:szCs w:val="24"/>
                <w:vertAlign w:val="baseline"/>
                <w:lang w:val="en-US" w:eastAsia="zh-CN" w:bidi="ar"/>
              </w:rPr>
              <w:t>；</w:t>
            </w:r>
          </w:p>
          <w:p>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ƞ</w:t>
            </w:r>
            <w:r>
              <w:rPr>
                <w:rFonts w:hint="default" w:ascii="Times New Roman" w:hAnsi="Times New Roman" w:eastAsia="宋体" w:cs="Times New Roman"/>
                <w:color w:val="000000"/>
                <w:kern w:val="0"/>
                <w:sz w:val="15"/>
                <w:szCs w:val="15"/>
                <w:vertAlign w:val="subscript"/>
                <w:lang w:val="en-US" w:eastAsia="zh-CN" w:bidi="ar"/>
              </w:rPr>
              <w:t>NOx</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脱硝效率，</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，取</w:t>
            </w:r>
            <w:r>
              <w:rPr>
                <w:rFonts w:hint="eastAsia"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p>
          <w:p>
            <w:pPr>
              <w:pStyle w:val="12"/>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由上式计算得到，氮氧化物排放量为0.</w:t>
            </w:r>
            <w:r>
              <w:rPr>
                <w:rFonts w:hint="eastAsia" w:cs="Times New Roman"/>
                <w:color w:val="000000"/>
                <w:kern w:val="0"/>
                <w:sz w:val="24"/>
                <w:szCs w:val="24"/>
                <w:lang w:val="en-US" w:eastAsia="zh-CN" w:bidi="ar"/>
              </w:rPr>
              <w:t>63</w:t>
            </w:r>
            <w:r>
              <w:rPr>
                <w:rFonts w:hint="default" w:ascii="Times New Roman" w:hAnsi="Times New Roman" w:eastAsia="宋体" w:cs="Times New Roman"/>
                <w:color w:val="000000"/>
                <w:kern w:val="0"/>
                <w:sz w:val="24"/>
                <w:szCs w:val="24"/>
                <w:lang w:val="en-US" w:eastAsia="zh-CN" w:bidi="ar"/>
              </w:rPr>
              <w:t>t</w:t>
            </w:r>
            <w:r>
              <w:rPr>
                <w:rFonts w:hint="eastAsia" w:ascii="Times New Roman" w:hAnsi="Times New Roman" w:eastAsia="宋体" w:cs="Times New Roman"/>
                <w:color w:val="000000"/>
                <w:kern w:val="0"/>
                <w:sz w:val="24"/>
                <w:szCs w:val="24"/>
                <w:lang w:val="en-US" w:eastAsia="zh-CN" w:bidi="ar"/>
              </w:rPr>
              <w:t>。</w:t>
            </w:r>
          </w:p>
          <w:p>
            <w:pPr>
              <w:pStyle w:val="34"/>
              <w:rPr>
                <w:rFonts w:hint="eastAsia" w:eastAsia="宋体"/>
                <w:highlight w:val="none"/>
              </w:rPr>
            </w:pPr>
            <w:r>
              <w:rPr>
                <w:highlight w:val="none"/>
              </w:rPr>
              <w:t>表</w:t>
            </w:r>
            <w:r>
              <w:rPr>
                <w:rFonts w:hint="eastAsia"/>
                <w:highlight w:val="none"/>
              </w:rPr>
              <w:t>4-</w:t>
            </w:r>
            <w:r>
              <w:rPr>
                <w:rFonts w:hint="eastAsia"/>
                <w:highlight w:val="none"/>
                <w:lang w:val="en-US" w:eastAsia="zh-CN"/>
              </w:rPr>
              <w:t>1</w:t>
            </w:r>
            <w:r>
              <w:rPr>
                <w:highlight w:val="none"/>
              </w:rPr>
              <w:t xml:space="preserve"> </w:t>
            </w:r>
            <w:r>
              <w:rPr>
                <w:rFonts w:hint="eastAsia"/>
                <w:highlight w:val="none"/>
              </w:rPr>
              <w:t xml:space="preserve"> 锅炉污染物排放</w:t>
            </w:r>
            <w:r>
              <w:rPr>
                <w:highlight w:val="none"/>
              </w:rPr>
              <w:t>情况</w:t>
            </w:r>
            <w:r>
              <w:rPr>
                <w:rFonts w:hint="eastAsia" w:eastAsia="宋体"/>
                <w:highlight w:val="none"/>
              </w:rPr>
              <w:t>表</w:t>
            </w:r>
          </w:p>
          <w:tbl>
            <w:tblPr>
              <w:tblStyle w:val="21"/>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67"/>
              <w:gridCol w:w="1049"/>
              <w:gridCol w:w="898"/>
              <w:gridCol w:w="1069"/>
              <w:gridCol w:w="1133"/>
              <w:gridCol w:w="1084"/>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restart"/>
                  <w:vAlign w:val="center"/>
                </w:tcPr>
                <w:p>
                  <w:pPr>
                    <w:pStyle w:val="33"/>
                    <w:rPr>
                      <w:highlight w:val="none"/>
                    </w:rPr>
                  </w:pPr>
                  <w:r>
                    <w:rPr>
                      <w:rFonts w:hint="eastAsia"/>
                      <w:highlight w:val="none"/>
                    </w:rPr>
                    <w:t>排放源</w:t>
                  </w:r>
                </w:p>
              </w:tc>
              <w:tc>
                <w:tcPr>
                  <w:tcW w:w="1067" w:type="dxa"/>
                  <w:vMerge w:val="restart"/>
                  <w:vAlign w:val="center"/>
                </w:tcPr>
                <w:p>
                  <w:pPr>
                    <w:pStyle w:val="33"/>
                    <w:rPr>
                      <w:highlight w:val="none"/>
                    </w:rPr>
                  </w:pPr>
                  <w:r>
                    <w:rPr>
                      <w:rFonts w:hint="eastAsia"/>
                      <w:highlight w:val="none"/>
                    </w:rPr>
                    <w:t>污染物</w:t>
                  </w:r>
                </w:p>
              </w:tc>
              <w:tc>
                <w:tcPr>
                  <w:tcW w:w="3016" w:type="dxa"/>
                  <w:gridSpan w:val="3"/>
                  <w:vAlign w:val="center"/>
                </w:tcPr>
                <w:p>
                  <w:pPr>
                    <w:pStyle w:val="33"/>
                    <w:rPr>
                      <w:rFonts w:hint="default"/>
                      <w:highlight w:val="none"/>
                      <w:lang w:val="en-US" w:eastAsia="zh-CN"/>
                    </w:rPr>
                  </w:pPr>
                  <w:r>
                    <w:rPr>
                      <w:rFonts w:hint="eastAsia"/>
                      <w:highlight w:val="none"/>
                      <w:lang w:val="en-US" w:eastAsia="zh-CN"/>
                    </w:rPr>
                    <w:t>产生情况</w:t>
                  </w:r>
                </w:p>
              </w:tc>
              <w:tc>
                <w:tcPr>
                  <w:tcW w:w="3320" w:type="dxa"/>
                  <w:gridSpan w:val="3"/>
                  <w:vAlign w:val="center"/>
                </w:tcPr>
                <w:p>
                  <w:pPr>
                    <w:pStyle w:val="33"/>
                    <w:rPr>
                      <w:rFonts w:hint="default" w:eastAsia="宋体"/>
                      <w:highlight w:val="none"/>
                      <w:lang w:val="en-US" w:eastAsia="zh-CN"/>
                    </w:rPr>
                  </w:pPr>
                  <w:r>
                    <w:rPr>
                      <w:rFonts w:hint="eastAsia"/>
                      <w:highlight w:val="no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pStyle w:val="33"/>
                    <w:rPr>
                      <w:highlight w:val="none"/>
                    </w:rPr>
                  </w:pPr>
                </w:p>
              </w:tc>
              <w:tc>
                <w:tcPr>
                  <w:tcW w:w="1067" w:type="dxa"/>
                  <w:vMerge w:val="continue"/>
                  <w:vAlign w:val="center"/>
                </w:tcPr>
                <w:p>
                  <w:pPr>
                    <w:pStyle w:val="33"/>
                    <w:rPr>
                      <w:highlight w:val="none"/>
                    </w:rPr>
                  </w:pPr>
                </w:p>
              </w:tc>
              <w:tc>
                <w:tcPr>
                  <w:tcW w:w="1049" w:type="dxa"/>
                  <w:vAlign w:val="center"/>
                </w:tcPr>
                <w:p>
                  <w:pPr>
                    <w:pStyle w:val="33"/>
                    <w:ind w:firstLine="0" w:firstLineChars="0"/>
                    <w:rPr>
                      <w:rFonts w:hint="default" w:eastAsia="宋体"/>
                      <w:highlight w:val="none"/>
                      <w:lang w:val="en-US" w:eastAsia="zh-CN"/>
                    </w:rPr>
                  </w:pPr>
                  <w:r>
                    <w:rPr>
                      <w:rFonts w:hint="eastAsia"/>
                      <w:highlight w:val="none"/>
                      <w:lang w:val="en-US" w:eastAsia="zh-CN"/>
                    </w:rPr>
                    <w:t>产生</w:t>
                  </w:r>
                  <w:r>
                    <w:rPr>
                      <w:rFonts w:hint="eastAsia"/>
                      <w:highlight w:val="none"/>
                    </w:rPr>
                    <w:t>量</w:t>
                  </w:r>
                  <w:r>
                    <w:rPr>
                      <w:rFonts w:hint="eastAsia"/>
                      <w:highlight w:val="none"/>
                      <w:lang w:val="en-US" w:eastAsia="zh-CN"/>
                    </w:rPr>
                    <w:t>t/a</w:t>
                  </w:r>
                </w:p>
              </w:tc>
              <w:tc>
                <w:tcPr>
                  <w:tcW w:w="898" w:type="dxa"/>
                  <w:vAlign w:val="center"/>
                </w:tcPr>
                <w:p>
                  <w:pPr>
                    <w:pStyle w:val="33"/>
                    <w:ind w:firstLine="0" w:firstLineChars="0"/>
                    <w:rPr>
                      <w:rFonts w:hint="default" w:eastAsia="宋体"/>
                      <w:highlight w:val="none"/>
                      <w:lang w:val="en-US" w:eastAsia="zh-CN"/>
                    </w:rPr>
                  </w:pPr>
                  <w:r>
                    <w:rPr>
                      <w:rFonts w:hint="eastAsia"/>
                      <w:highlight w:val="none"/>
                      <w:lang w:val="en-US" w:eastAsia="zh-CN"/>
                    </w:rPr>
                    <w:t>产生速率kg/h</w:t>
                  </w:r>
                </w:p>
              </w:tc>
              <w:tc>
                <w:tcPr>
                  <w:tcW w:w="1069" w:type="dxa"/>
                  <w:vAlign w:val="center"/>
                </w:tcPr>
                <w:p>
                  <w:pPr>
                    <w:pStyle w:val="33"/>
                    <w:ind w:firstLine="0" w:firstLineChars="0"/>
                    <w:rPr>
                      <w:rFonts w:hint="default" w:eastAsia="宋体"/>
                      <w:highlight w:val="none"/>
                      <w:lang w:val="en-US" w:eastAsia="zh-CN"/>
                    </w:rPr>
                  </w:pPr>
                  <w:r>
                    <w:rPr>
                      <w:rFonts w:hint="eastAsia"/>
                      <w:highlight w:val="none"/>
                      <w:lang w:val="en-US" w:eastAsia="zh-CN"/>
                    </w:rPr>
                    <w:t>产生</w:t>
                  </w:r>
                  <w:r>
                    <w:rPr>
                      <w:rFonts w:hint="eastAsia"/>
                      <w:highlight w:val="none"/>
                    </w:rPr>
                    <w:t>浓度</w:t>
                  </w:r>
                  <w:r>
                    <w:rPr>
                      <w:rFonts w:hint="eastAsia"/>
                      <w:highlight w:val="none"/>
                      <w:lang w:val="en-US" w:eastAsia="zh-CN"/>
                    </w:rPr>
                    <w:t>mg/m</w:t>
                  </w:r>
                  <w:r>
                    <w:rPr>
                      <w:rFonts w:hint="eastAsia"/>
                      <w:highlight w:val="none"/>
                      <w:vertAlign w:val="superscript"/>
                      <w:lang w:val="en-US" w:eastAsia="zh-CN"/>
                    </w:rPr>
                    <w:t>3</w:t>
                  </w:r>
                </w:p>
              </w:tc>
              <w:tc>
                <w:tcPr>
                  <w:tcW w:w="1133" w:type="dxa"/>
                  <w:vAlign w:val="center"/>
                </w:tcPr>
                <w:p>
                  <w:pPr>
                    <w:pStyle w:val="33"/>
                    <w:rPr>
                      <w:rFonts w:hint="default" w:eastAsia="宋体"/>
                      <w:highlight w:val="none"/>
                      <w:lang w:val="en-US" w:eastAsia="zh-CN"/>
                    </w:rPr>
                  </w:pPr>
                  <w:r>
                    <w:rPr>
                      <w:rFonts w:hint="eastAsia"/>
                      <w:highlight w:val="none"/>
                    </w:rPr>
                    <w:t>排放量</w:t>
                  </w:r>
                  <w:r>
                    <w:rPr>
                      <w:rFonts w:hint="eastAsia"/>
                      <w:highlight w:val="none"/>
                      <w:lang w:val="en-US" w:eastAsia="zh-CN"/>
                    </w:rPr>
                    <w:t>t/a</w:t>
                  </w:r>
                </w:p>
              </w:tc>
              <w:tc>
                <w:tcPr>
                  <w:tcW w:w="1084" w:type="dxa"/>
                  <w:vAlign w:val="center"/>
                </w:tcPr>
                <w:p>
                  <w:pPr>
                    <w:pStyle w:val="33"/>
                    <w:rPr>
                      <w:rFonts w:hint="default" w:eastAsia="宋体"/>
                      <w:highlight w:val="none"/>
                      <w:lang w:val="en-US" w:eastAsia="zh-CN"/>
                    </w:rPr>
                  </w:pPr>
                  <w:r>
                    <w:rPr>
                      <w:rFonts w:hint="eastAsia"/>
                      <w:highlight w:val="none"/>
                    </w:rPr>
                    <w:t>排放</w:t>
                  </w:r>
                  <w:r>
                    <w:rPr>
                      <w:rFonts w:hint="eastAsia"/>
                      <w:highlight w:val="none"/>
                      <w:lang w:val="en-US" w:eastAsia="zh-CN"/>
                    </w:rPr>
                    <w:t>速率kg/h</w:t>
                  </w:r>
                </w:p>
              </w:tc>
              <w:tc>
                <w:tcPr>
                  <w:tcW w:w="1103" w:type="dxa"/>
                  <w:vAlign w:val="center"/>
                </w:tcPr>
                <w:p>
                  <w:pPr>
                    <w:pStyle w:val="33"/>
                    <w:rPr>
                      <w:rFonts w:hint="default" w:eastAsia="宋体"/>
                      <w:highlight w:val="none"/>
                      <w:lang w:val="en-US" w:eastAsia="zh-CN"/>
                    </w:rPr>
                  </w:pPr>
                  <w:r>
                    <w:rPr>
                      <w:rFonts w:hint="eastAsia"/>
                      <w:highlight w:val="none"/>
                    </w:rPr>
                    <w:t>排放浓度</w:t>
                  </w:r>
                  <w:r>
                    <w:rPr>
                      <w:rFonts w:hint="eastAsia"/>
                      <w:highlight w:val="none"/>
                      <w:lang w:val="en-US" w:eastAsia="zh-CN"/>
                    </w:rPr>
                    <w:t>mg/m</w:t>
                  </w:r>
                  <w:r>
                    <w:rPr>
                      <w:rFonts w:hint="eastAsia"/>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restart"/>
                  <w:vAlign w:val="center"/>
                </w:tcPr>
                <w:p>
                  <w:pPr>
                    <w:pStyle w:val="33"/>
                    <w:rPr>
                      <w:highlight w:val="none"/>
                    </w:rPr>
                  </w:pPr>
                  <w:r>
                    <w:rPr>
                      <w:rFonts w:hint="eastAsia"/>
                      <w:highlight w:val="none"/>
                      <w:lang w:val="en-US" w:eastAsia="zh-CN"/>
                    </w:rPr>
                    <w:t>冬季供热</w:t>
                  </w:r>
                  <w:r>
                    <w:rPr>
                      <w:rFonts w:hint="eastAsia"/>
                      <w:highlight w:val="none"/>
                    </w:rPr>
                    <w:t>锅炉排气筒</w:t>
                  </w:r>
                </w:p>
              </w:tc>
              <w:tc>
                <w:tcPr>
                  <w:tcW w:w="1067" w:type="dxa"/>
                  <w:vAlign w:val="center"/>
                </w:tcPr>
                <w:p>
                  <w:pPr>
                    <w:pStyle w:val="33"/>
                    <w:rPr>
                      <w:highlight w:val="none"/>
                    </w:rPr>
                  </w:pPr>
                  <w:r>
                    <w:rPr>
                      <w:rFonts w:hint="eastAsia"/>
                      <w:highlight w:val="none"/>
                    </w:rPr>
                    <w:t>烟气量</w:t>
                  </w:r>
                </w:p>
              </w:tc>
              <w:tc>
                <w:tcPr>
                  <w:tcW w:w="6336" w:type="dxa"/>
                  <w:gridSpan w:val="6"/>
                  <w:vAlign w:val="center"/>
                </w:tcPr>
                <w:p>
                  <w:pPr>
                    <w:pStyle w:val="33"/>
                    <w:ind w:firstLine="0" w:firstLineChars="0"/>
                    <w:rPr>
                      <w:rFonts w:hint="eastAsia"/>
                      <w:highlight w:val="none"/>
                    </w:rPr>
                  </w:pPr>
                  <w:r>
                    <w:rPr>
                      <w:rFonts w:hint="eastAsia"/>
                      <w:highlight w:val="none"/>
                      <w:lang w:val="en-US" w:eastAsia="zh-CN"/>
                    </w:rPr>
                    <w:t>4372</w:t>
                  </w:r>
                  <w:r>
                    <w:rPr>
                      <w:rFonts w:hint="default"/>
                      <w:highlight w:val="none"/>
                      <w:lang w:val="en-US" w:eastAsia="zh-CN"/>
                    </w:rPr>
                    <w:t>m</w:t>
                  </w:r>
                  <w:r>
                    <w:rPr>
                      <w:rFonts w:hint="eastAsia"/>
                      <w:highlight w:val="none"/>
                      <w:vertAlign w:val="superscript"/>
                      <w:lang w:val="en-US" w:eastAsia="zh-CN"/>
                    </w:rPr>
                    <w:t>3</w:t>
                  </w:r>
                  <w:r>
                    <w:rPr>
                      <w:rFonts w:hint="eastAsia"/>
                      <w:highlight w:val="no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pStyle w:val="33"/>
                    <w:rPr>
                      <w:highlight w:val="none"/>
                    </w:rPr>
                  </w:pPr>
                </w:p>
              </w:tc>
              <w:tc>
                <w:tcPr>
                  <w:tcW w:w="1067" w:type="dxa"/>
                  <w:vAlign w:val="center"/>
                </w:tcPr>
                <w:p>
                  <w:pPr>
                    <w:pStyle w:val="33"/>
                    <w:rPr>
                      <w:highlight w:val="none"/>
                    </w:rPr>
                  </w:pPr>
                  <w:r>
                    <w:rPr>
                      <w:rFonts w:hint="eastAsia"/>
                      <w:highlight w:val="none"/>
                    </w:rPr>
                    <w:t>颗粒物</w:t>
                  </w:r>
                </w:p>
              </w:tc>
              <w:tc>
                <w:tcPr>
                  <w:tcW w:w="1049" w:type="dxa"/>
                  <w:vAlign w:val="center"/>
                </w:tcPr>
                <w:p>
                  <w:pPr>
                    <w:pStyle w:val="33"/>
                    <w:rPr>
                      <w:rFonts w:hint="default" w:eastAsia="宋体"/>
                      <w:highlight w:val="none"/>
                      <w:lang w:val="en-US" w:eastAsia="zh-CN"/>
                    </w:rPr>
                  </w:pPr>
                  <w:r>
                    <w:rPr>
                      <w:rFonts w:hint="eastAsia"/>
                      <w:highlight w:val="none"/>
                      <w:lang w:val="en-US" w:eastAsia="zh-CN"/>
                    </w:rPr>
                    <w:t>0.142</w:t>
                  </w:r>
                </w:p>
              </w:tc>
              <w:tc>
                <w:tcPr>
                  <w:tcW w:w="898" w:type="dxa"/>
                  <w:vAlign w:val="center"/>
                </w:tcPr>
                <w:p>
                  <w:pPr>
                    <w:pStyle w:val="33"/>
                    <w:ind w:firstLine="0" w:firstLineChars="0"/>
                    <w:rPr>
                      <w:rFonts w:hint="default" w:eastAsia="宋体"/>
                      <w:highlight w:val="none"/>
                      <w:lang w:val="en-US" w:eastAsia="zh-CN"/>
                    </w:rPr>
                  </w:pPr>
                  <w:r>
                    <w:rPr>
                      <w:rFonts w:hint="eastAsia"/>
                      <w:highlight w:val="none"/>
                      <w:lang w:val="en-US" w:eastAsia="zh-CN"/>
                    </w:rPr>
                    <w:t>0.0493</w:t>
                  </w:r>
                </w:p>
              </w:tc>
              <w:tc>
                <w:tcPr>
                  <w:tcW w:w="1069" w:type="dxa"/>
                  <w:vAlign w:val="center"/>
                </w:tcPr>
                <w:p>
                  <w:pPr>
                    <w:pStyle w:val="33"/>
                    <w:ind w:firstLine="0" w:firstLineChars="0"/>
                    <w:rPr>
                      <w:rFonts w:hint="default" w:eastAsia="宋体"/>
                      <w:highlight w:val="none"/>
                      <w:lang w:val="en-US" w:eastAsia="zh-CN"/>
                    </w:rPr>
                  </w:pPr>
                  <w:r>
                    <w:rPr>
                      <w:rFonts w:hint="eastAsia"/>
                      <w:highlight w:val="none"/>
                      <w:lang w:val="en-US" w:eastAsia="zh-CN"/>
                    </w:rPr>
                    <w:t>11.28</w:t>
                  </w:r>
                </w:p>
              </w:tc>
              <w:tc>
                <w:tcPr>
                  <w:tcW w:w="1133" w:type="dxa"/>
                  <w:vAlign w:val="center"/>
                </w:tcPr>
                <w:p>
                  <w:pPr>
                    <w:pStyle w:val="33"/>
                    <w:ind w:firstLine="0" w:firstLineChars="0"/>
                    <w:rPr>
                      <w:rFonts w:hint="eastAsia"/>
                      <w:highlight w:val="none"/>
                    </w:rPr>
                  </w:pPr>
                  <w:r>
                    <w:rPr>
                      <w:rFonts w:hint="eastAsia"/>
                      <w:highlight w:val="none"/>
                      <w:lang w:val="en-US" w:eastAsia="zh-CN"/>
                    </w:rPr>
                    <w:t>0.142</w:t>
                  </w:r>
                </w:p>
              </w:tc>
              <w:tc>
                <w:tcPr>
                  <w:tcW w:w="1084" w:type="dxa"/>
                  <w:vAlign w:val="center"/>
                </w:tcPr>
                <w:p>
                  <w:pPr>
                    <w:pStyle w:val="33"/>
                    <w:ind w:firstLine="0" w:firstLineChars="0"/>
                    <w:rPr>
                      <w:rFonts w:hint="eastAsia"/>
                      <w:highlight w:val="none"/>
                    </w:rPr>
                  </w:pPr>
                  <w:r>
                    <w:rPr>
                      <w:rFonts w:hint="eastAsia"/>
                      <w:highlight w:val="none"/>
                      <w:lang w:val="en-US" w:eastAsia="zh-CN"/>
                    </w:rPr>
                    <w:t>0.0493</w:t>
                  </w:r>
                </w:p>
              </w:tc>
              <w:tc>
                <w:tcPr>
                  <w:tcW w:w="1103" w:type="dxa"/>
                  <w:vAlign w:val="center"/>
                </w:tcPr>
                <w:p>
                  <w:pPr>
                    <w:pStyle w:val="33"/>
                    <w:ind w:firstLine="0" w:firstLineChars="0"/>
                    <w:rPr>
                      <w:rFonts w:hint="eastAsia"/>
                      <w:highlight w:val="none"/>
                    </w:rPr>
                  </w:pPr>
                  <w:r>
                    <w:rPr>
                      <w:rFonts w:hint="eastAsia"/>
                      <w:highlight w:val="none"/>
                      <w:lang w:val="en-US" w:eastAsia="zh-CN"/>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pStyle w:val="33"/>
                    <w:rPr>
                      <w:highlight w:val="none"/>
                    </w:rPr>
                  </w:pPr>
                </w:p>
              </w:tc>
              <w:tc>
                <w:tcPr>
                  <w:tcW w:w="1067" w:type="dxa"/>
                  <w:vAlign w:val="center"/>
                </w:tcPr>
                <w:p>
                  <w:pPr>
                    <w:pStyle w:val="33"/>
                    <w:rPr>
                      <w:highlight w:val="none"/>
                    </w:rPr>
                  </w:pPr>
                  <w:r>
                    <w:rPr>
                      <w:rFonts w:hint="eastAsia"/>
                      <w:highlight w:val="none"/>
                    </w:rPr>
                    <w:t>二氧化硫</w:t>
                  </w:r>
                </w:p>
              </w:tc>
              <w:tc>
                <w:tcPr>
                  <w:tcW w:w="1049" w:type="dxa"/>
                  <w:vAlign w:val="center"/>
                </w:tcPr>
                <w:p>
                  <w:pPr>
                    <w:pStyle w:val="33"/>
                    <w:rPr>
                      <w:rFonts w:hint="default" w:eastAsia="宋体"/>
                      <w:highlight w:val="none"/>
                      <w:lang w:val="en-US" w:eastAsia="zh-CN"/>
                    </w:rPr>
                  </w:pPr>
                  <w:r>
                    <w:rPr>
                      <w:rFonts w:hint="eastAsia"/>
                      <w:highlight w:val="none"/>
                      <w:lang w:val="en-US" w:eastAsia="zh-CN"/>
                    </w:rPr>
                    <w:t>0.273</w:t>
                  </w:r>
                </w:p>
              </w:tc>
              <w:tc>
                <w:tcPr>
                  <w:tcW w:w="898" w:type="dxa"/>
                  <w:vAlign w:val="center"/>
                </w:tcPr>
                <w:p>
                  <w:pPr>
                    <w:pStyle w:val="33"/>
                    <w:ind w:firstLine="0" w:firstLineChars="0"/>
                    <w:rPr>
                      <w:rFonts w:hint="default" w:eastAsia="宋体"/>
                      <w:highlight w:val="none"/>
                      <w:lang w:val="en-US" w:eastAsia="zh-CN"/>
                    </w:rPr>
                  </w:pPr>
                  <w:r>
                    <w:rPr>
                      <w:rFonts w:hint="eastAsia"/>
                      <w:highlight w:val="none"/>
                      <w:lang w:val="en-US" w:eastAsia="zh-CN"/>
                    </w:rPr>
                    <w:t>0.0948</w:t>
                  </w:r>
                </w:p>
              </w:tc>
              <w:tc>
                <w:tcPr>
                  <w:tcW w:w="1069" w:type="dxa"/>
                  <w:vAlign w:val="center"/>
                </w:tcPr>
                <w:p>
                  <w:pPr>
                    <w:pStyle w:val="33"/>
                    <w:ind w:firstLine="0" w:firstLineChars="0"/>
                    <w:rPr>
                      <w:rFonts w:hint="default" w:eastAsia="宋体"/>
                      <w:highlight w:val="none"/>
                      <w:lang w:val="en-US" w:eastAsia="zh-CN"/>
                    </w:rPr>
                  </w:pPr>
                  <w:r>
                    <w:rPr>
                      <w:rFonts w:hint="eastAsia"/>
                      <w:highlight w:val="none"/>
                      <w:lang w:val="en-US" w:eastAsia="zh-CN"/>
                    </w:rPr>
                    <w:t>21.68</w:t>
                  </w:r>
                </w:p>
              </w:tc>
              <w:tc>
                <w:tcPr>
                  <w:tcW w:w="1133" w:type="dxa"/>
                  <w:vAlign w:val="center"/>
                </w:tcPr>
                <w:p>
                  <w:pPr>
                    <w:pStyle w:val="33"/>
                    <w:ind w:firstLine="0" w:firstLineChars="0"/>
                    <w:rPr>
                      <w:rFonts w:hint="eastAsia"/>
                      <w:highlight w:val="none"/>
                    </w:rPr>
                  </w:pPr>
                  <w:r>
                    <w:rPr>
                      <w:rFonts w:hint="eastAsia"/>
                      <w:highlight w:val="none"/>
                      <w:lang w:val="en-US" w:eastAsia="zh-CN"/>
                    </w:rPr>
                    <w:t>0.273</w:t>
                  </w:r>
                </w:p>
              </w:tc>
              <w:tc>
                <w:tcPr>
                  <w:tcW w:w="1084" w:type="dxa"/>
                  <w:vAlign w:val="center"/>
                </w:tcPr>
                <w:p>
                  <w:pPr>
                    <w:pStyle w:val="33"/>
                    <w:ind w:firstLine="0" w:firstLineChars="0"/>
                    <w:rPr>
                      <w:rFonts w:hint="eastAsia"/>
                      <w:highlight w:val="none"/>
                    </w:rPr>
                  </w:pPr>
                  <w:r>
                    <w:rPr>
                      <w:rFonts w:hint="eastAsia"/>
                      <w:highlight w:val="none"/>
                      <w:lang w:val="en-US" w:eastAsia="zh-CN"/>
                    </w:rPr>
                    <w:t>0.0948</w:t>
                  </w:r>
                </w:p>
              </w:tc>
              <w:tc>
                <w:tcPr>
                  <w:tcW w:w="1103" w:type="dxa"/>
                  <w:vAlign w:val="center"/>
                </w:tcPr>
                <w:p>
                  <w:pPr>
                    <w:pStyle w:val="33"/>
                    <w:ind w:firstLine="0" w:firstLineChars="0"/>
                    <w:rPr>
                      <w:rFonts w:hint="eastAsia"/>
                      <w:highlight w:val="none"/>
                    </w:rPr>
                  </w:pPr>
                  <w:r>
                    <w:rPr>
                      <w:rFonts w:hint="eastAsia"/>
                      <w:highlight w:val="none"/>
                      <w:lang w:val="en-US" w:eastAsia="zh-CN"/>
                    </w:rPr>
                    <w:t>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8" w:type="dxa"/>
                  <w:vMerge w:val="continue"/>
                  <w:vAlign w:val="center"/>
                </w:tcPr>
                <w:p>
                  <w:pPr>
                    <w:pStyle w:val="33"/>
                    <w:rPr>
                      <w:highlight w:val="none"/>
                    </w:rPr>
                  </w:pPr>
                </w:p>
              </w:tc>
              <w:tc>
                <w:tcPr>
                  <w:tcW w:w="1067" w:type="dxa"/>
                  <w:vAlign w:val="center"/>
                </w:tcPr>
                <w:p>
                  <w:pPr>
                    <w:pStyle w:val="33"/>
                    <w:rPr>
                      <w:highlight w:val="none"/>
                    </w:rPr>
                  </w:pPr>
                  <w:r>
                    <w:rPr>
                      <w:rFonts w:hint="eastAsia"/>
                      <w:highlight w:val="none"/>
                    </w:rPr>
                    <w:t>氮氧化物</w:t>
                  </w:r>
                </w:p>
              </w:tc>
              <w:tc>
                <w:tcPr>
                  <w:tcW w:w="1049" w:type="dxa"/>
                  <w:vAlign w:val="center"/>
                </w:tcPr>
                <w:p>
                  <w:pPr>
                    <w:pStyle w:val="33"/>
                    <w:rPr>
                      <w:rFonts w:hint="default" w:eastAsia="宋体"/>
                      <w:highlight w:val="none"/>
                      <w:lang w:val="en-US" w:eastAsia="zh-CN"/>
                    </w:rPr>
                  </w:pPr>
                  <w:r>
                    <w:rPr>
                      <w:rFonts w:hint="eastAsia"/>
                      <w:highlight w:val="none"/>
                      <w:lang w:val="en-US" w:eastAsia="zh-CN"/>
                    </w:rPr>
                    <w:t>0.63</w:t>
                  </w:r>
                </w:p>
              </w:tc>
              <w:tc>
                <w:tcPr>
                  <w:tcW w:w="898" w:type="dxa"/>
                  <w:vAlign w:val="center"/>
                </w:tcPr>
                <w:p>
                  <w:pPr>
                    <w:pStyle w:val="33"/>
                    <w:ind w:firstLine="0" w:firstLineChars="0"/>
                    <w:rPr>
                      <w:rFonts w:hint="default" w:eastAsia="宋体"/>
                      <w:highlight w:val="none"/>
                      <w:lang w:val="en-US" w:eastAsia="zh-CN"/>
                    </w:rPr>
                  </w:pPr>
                  <w:r>
                    <w:rPr>
                      <w:rFonts w:hint="eastAsia"/>
                      <w:highlight w:val="none"/>
                      <w:lang w:val="en-US" w:eastAsia="zh-CN"/>
                    </w:rPr>
                    <w:t>0.2188</w:t>
                  </w:r>
                </w:p>
              </w:tc>
              <w:tc>
                <w:tcPr>
                  <w:tcW w:w="1069" w:type="dxa"/>
                  <w:vAlign w:val="center"/>
                </w:tcPr>
                <w:p>
                  <w:pPr>
                    <w:pStyle w:val="33"/>
                    <w:ind w:firstLine="0" w:firstLineChars="0"/>
                    <w:rPr>
                      <w:rFonts w:hint="default" w:eastAsia="宋体"/>
                      <w:highlight w:val="none"/>
                      <w:lang w:val="en-US" w:eastAsia="zh-CN"/>
                    </w:rPr>
                  </w:pPr>
                  <w:r>
                    <w:rPr>
                      <w:rFonts w:hint="eastAsia"/>
                      <w:highlight w:val="none"/>
                      <w:lang w:val="en-US" w:eastAsia="zh-CN"/>
                    </w:rPr>
                    <w:t>50.00</w:t>
                  </w:r>
                </w:p>
              </w:tc>
              <w:tc>
                <w:tcPr>
                  <w:tcW w:w="1133" w:type="dxa"/>
                  <w:vAlign w:val="center"/>
                </w:tcPr>
                <w:p>
                  <w:pPr>
                    <w:pStyle w:val="33"/>
                    <w:ind w:firstLine="0" w:firstLineChars="0"/>
                    <w:rPr>
                      <w:rFonts w:hint="default"/>
                      <w:highlight w:val="none"/>
                      <w:lang w:val="en-US"/>
                    </w:rPr>
                  </w:pPr>
                  <w:r>
                    <w:rPr>
                      <w:rFonts w:hint="eastAsia"/>
                      <w:highlight w:val="none"/>
                      <w:lang w:val="en-US" w:eastAsia="zh-CN"/>
                    </w:rPr>
                    <w:t>0.63</w:t>
                  </w:r>
                </w:p>
              </w:tc>
              <w:tc>
                <w:tcPr>
                  <w:tcW w:w="1084" w:type="dxa"/>
                  <w:vAlign w:val="center"/>
                </w:tcPr>
                <w:p>
                  <w:pPr>
                    <w:pStyle w:val="33"/>
                    <w:ind w:firstLine="0" w:firstLineChars="0"/>
                    <w:rPr>
                      <w:rFonts w:hint="default"/>
                      <w:highlight w:val="none"/>
                      <w:lang w:val="en-US"/>
                    </w:rPr>
                  </w:pPr>
                  <w:r>
                    <w:rPr>
                      <w:rFonts w:hint="eastAsia"/>
                      <w:highlight w:val="none"/>
                      <w:lang w:val="en-US" w:eastAsia="zh-CN"/>
                    </w:rPr>
                    <w:t>0.2188</w:t>
                  </w:r>
                </w:p>
              </w:tc>
              <w:tc>
                <w:tcPr>
                  <w:tcW w:w="1103" w:type="dxa"/>
                  <w:vAlign w:val="center"/>
                </w:tcPr>
                <w:p>
                  <w:pPr>
                    <w:pStyle w:val="33"/>
                    <w:ind w:firstLine="0" w:firstLineChars="0"/>
                    <w:rPr>
                      <w:rFonts w:hint="default"/>
                      <w:highlight w:val="none"/>
                      <w:lang w:val="en-US"/>
                    </w:rPr>
                  </w:pPr>
                  <w:r>
                    <w:rPr>
                      <w:rFonts w:hint="eastAsia"/>
                      <w:highlight w:val="none"/>
                      <w:lang w:val="en-US" w:eastAsia="zh-CN"/>
                    </w:rPr>
                    <w:t>50.00</w:t>
                  </w:r>
                </w:p>
              </w:tc>
            </w:tr>
          </w:tbl>
          <w:p>
            <w:pPr>
              <w:bidi w:val="0"/>
              <w:rPr>
                <w:rFonts w:hint="eastAsia"/>
                <w:highlight w:val="none"/>
              </w:rPr>
            </w:pPr>
            <w:r>
              <w:rPr>
                <w:rFonts w:hint="eastAsia"/>
                <w:highlight w:val="none"/>
                <w:lang w:val="en-US" w:eastAsia="zh-CN"/>
              </w:rPr>
              <w:t>根据上述计算，</w:t>
            </w:r>
            <w:r>
              <w:rPr>
                <w:rFonts w:hint="eastAsia"/>
                <w:highlight w:val="none"/>
              </w:rPr>
              <w:t>燃气锅炉污染物</w:t>
            </w:r>
            <w:r>
              <w:rPr>
                <w:rFonts w:hint="eastAsia"/>
              </w:rPr>
              <w:t>颗粒物、二氧化硫执行《锅炉大气污染物排放标准》（GB13271-2014）表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限值中燃气锅炉标准；氮氧化物</w:t>
            </w:r>
            <w:r>
              <w:rPr>
                <w:rFonts w:hint="eastAsia"/>
                <w:lang w:val="en-US" w:eastAsia="zh-CN"/>
              </w:rPr>
              <w:t>满足</w:t>
            </w: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号）氮氧化物</w:t>
            </w:r>
            <w:r>
              <w:rPr>
                <w:rFonts w:hint="eastAsia"/>
                <w:lang w:val="en-US" w:eastAsia="zh-CN"/>
              </w:rPr>
              <w:t>≤</w:t>
            </w:r>
            <w:r>
              <w:rPr>
                <w:rFonts w:hint="eastAsia"/>
              </w:rPr>
              <w:t>50mg/m</w:t>
            </w:r>
            <w:r>
              <w:rPr>
                <w:rFonts w:hint="eastAsia"/>
                <w:vertAlign w:val="superscript"/>
              </w:rPr>
              <w:t>3</w:t>
            </w:r>
            <w:r>
              <w:rPr>
                <w:rFonts w:hint="eastAsia"/>
              </w:rPr>
              <w:t>的要求</w:t>
            </w:r>
            <w:r>
              <w:rPr>
                <w:rFonts w:hint="eastAsia"/>
                <w:highlight w:val="none"/>
              </w:rPr>
              <w:t>。</w:t>
            </w:r>
          </w:p>
          <w:p>
            <w:pPr>
              <w:bidi w:val="0"/>
            </w:pPr>
            <w:r>
              <w:rPr>
                <w:rFonts w:hint="eastAsia"/>
                <w:lang w:val="en-US" w:eastAsia="zh-CN"/>
              </w:rPr>
              <w:t>锅炉产生的锅炉废气通过1根16m高排气筒排放（周边200m范围内最高建筑物为宿舍楼13m高），排气筒高度满足《锅炉大气污染物排放标准》（GB13271-2014）中“新建锅炉房的烟囱周围半径200m距离内有建筑物时，其烟囱应高出最高建筑物3m”要求。</w:t>
            </w:r>
          </w:p>
          <w:p>
            <w:pPr>
              <w:pStyle w:val="34"/>
              <w:rPr>
                <w:lang w:val="en-GB"/>
              </w:rPr>
            </w:pPr>
            <w:r>
              <w:rPr>
                <w:rFonts w:hint="eastAsia"/>
                <w:lang w:val="en-GB"/>
              </w:rPr>
              <w:t>表</w:t>
            </w:r>
            <w:r>
              <w:rPr>
                <w:rFonts w:hint="eastAsia"/>
              </w:rPr>
              <w:t>4-</w:t>
            </w:r>
            <w:r>
              <w:rPr>
                <w:rFonts w:hint="eastAsia"/>
                <w:lang w:val="en-US" w:eastAsia="zh-CN"/>
              </w:rPr>
              <w:t>2</w:t>
            </w:r>
            <w:r>
              <w:rPr>
                <w:lang w:val="en-GB"/>
              </w:rPr>
              <w:t xml:space="preserve">  </w:t>
            </w:r>
            <w:r>
              <w:rPr>
                <w:rFonts w:hint="eastAsia"/>
                <w:lang w:val="en-GB"/>
              </w:rPr>
              <w:t>排放口基本情况</w:t>
            </w:r>
          </w:p>
          <w:tbl>
            <w:tblPr>
              <w:tblStyle w:val="21"/>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883"/>
              <w:gridCol w:w="1150"/>
              <w:gridCol w:w="1033"/>
              <w:gridCol w:w="684"/>
              <w:gridCol w:w="833"/>
              <w:gridCol w:w="749"/>
              <w:gridCol w:w="861"/>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1" w:type="dxa"/>
                  <w:gridSpan w:val="2"/>
                  <w:vAlign w:val="center"/>
                </w:tcPr>
                <w:p>
                  <w:pPr>
                    <w:pStyle w:val="33"/>
                    <w:rPr>
                      <w:lang w:val="en-GB"/>
                    </w:rPr>
                  </w:pPr>
                  <w:r>
                    <w:rPr>
                      <w:lang w:val="en-GB"/>
                    </w:rPr>
                    <w:t>污染源</w:t>
                  </w:r>
                </w:p>
              </w:tc>
              <w:tc>
                <w:tcPr>
                  <w:tcW w:w="1150" w:type="dxa"/>
                  <w:vMerge w:val="restart"/>
                  <w:vAlign w:val="center"/>
                </w:tcPr>
                <w:p>
                  <w:pPr>
                    <w:pStyle w:val="33"/>
                    <w:rPr>
                      <w:lang w:val="en-GB"/>
                    </w:rPr>
                  </w:pPr>
                  <w:r>
                    <w:rPr>
                      <w:lang w:val="en-GB"/>
                    </w:rPr>
                    <w:t>污染物</w:t>
                  </w:r>
                </w:p>
              </w:tc>
              <w:tc>
                <w:tcPr>
                  <w:tcW w:w="1033" w:type="dxa"/>
                  <w:vMerge w:val="restart"/>
                  <w:vAlign w:val="center"/>
                </w:tcPr>
                <w:p>
                  <w:pPr>
                    <w:pStyle w:val="33"/>
                    <w:rPr>
                      <w:lang w:val="en-GB"/>
                    </w:rPr>
                  </w:pPr>
                  <w:r>
                    <w:rPr>
                      <w:lang w:val="en-GB"/>
                    </w:rPr>
                    <w:t>排放</w:t>
                  </w:r>
                </w:p>
                <w:p>
                  <w:pPr>
                    <w:pStyle w:val="33"/>
                    <w:rPr>
                      <w:lang w:val="en-GB"/>
                    </w:rPr>
                  </w:pPr>
                  <w:r>
                    <w:rPr>
                      <w:lang w:val="en-GB"/>
                    </w:rPr>
                    <w:t>标准</w:t>
                  </w:r>
                </w:p>
              </w:tc>
              <w:tc>
                <w:tcPr>
                  <w:tcW w:w="2266" w:type="dxa"/>
                  <w:gridSpan w:val="3"/>
                  <w:vAlign w:val="center"/>
                </w:tcPr>
                <w:p>
                  <w:pPr>
                    <w:pStyle w:val="33"/>
                    <w:rPr>
                      <w:lang w:val="en-GB"/>
                    </w:rPr>
                  </w:pPr>
                  <w:r>
                    <w:rPr>
                      <w:lang w:val="en-GB"/>
                    </w:rPr>
                    <w:t>排气筒参数</w:t>
                  </w:r>
                </w:p>
              </w:tc>
              <w:tc>
                <w:tcPr>
                  <w:tcW w:w="861" w:type="dxa"/>
                  <w:vMerge w:val="restart"/>
                  <w:vAlign w:val="center"/>
                </w:tcPr>
                <w:p>
                  <w:pPr>
                    <w:pStyle w:val="33"/>
                    <w:rPr>
                      <w:lang w:val="en-GB"/>
                    </w:rPr>
                  </w:pPr>
                  <w:r>
                    <w:rPr>
                      <w:lang w:val="en-GB"/>
                    </w:rPr>
                    <w:t>排气筒类型</w:t>
                  </w:r>
                </w:p>
              </w:tc>
              <w:tc>
                <w:tcPr>
                  <w:tcW w:w="1437" w:type="dxa"/>
                  <w:vMerge w:val="restart"/>
                  <w:vAlign w:val="center"/>
                </w:tcPr>
                <w:p>
                  <w:pPr>
                    <w:pStyle w:val="33"/>
                    <w:rPr>
                      <w:lang w:val="en-GB"/>
                    </w:rPr>
                  </w:pPr>
                  <w:r>
                    <w:rPr>
                      <w:lang w:val="en-GB"/>
                    </w:rPr>
                    <w:t>排气筒坐标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8" w:type="dxa"/>
                  <w:vAlign w:val="center"/>
                </w:tcPr>
                <w:p>
                  <w:pPr>
                    <w:pStyle w:val="33"/>
                    <w:rPr>
                      <w:lang w:val="en-GB"/>
                    </w:rPr>
                  </w:pPr>
                  <w:r>
                    <w:rPr>
                      <w:lang w:val="en-GB"/>
                    </w:rPr>
                    <w:t>名称</w:t>
                  </w:r>
                </w:p>
              </w:tc>
              <w:tc>
                <w:tcPr>
                  <w:tcW w:w="883" w:type="dxa"/>
                  <w:vAlign w:val="center"/>
                </w:tcPr>
                <w:p>
                  <w:pPr>
                    <w:pStyle w:val="33"/>
                    <w:rPr>
                      <w:lang w:val="en-GB"/>
                    </w:rPr>
                  </w:pPr>
                  <w:r>
                    <w:rPr>
                      <w:lang w:val="en-GB"/>
                    </w:rPr>
                    <w:t>编号</w:t>
                  </w:r>
                </w:p>
              </w:tc>
              <w:tc>
                <w:tcPr>
                  <w:tcW w:w="1150" w:type="dxa"/>
                  <w:vMerge w:val="continue"/>
                  <w:vAlign w:val="center"/>
                </w:tcPr>
                <w:p>
                  <w:pPr>
                    <w:pStyle w:val="33"/>
                    <w:rPr>
                      <w:lang w:val="en-GB"/>
                    </w:rPr>
                  </w:pPr>
                </w:p>
              </w:tc>
              <w:tc>
                <w:tcPr>
                  <w:tcW w:w="1033" w:type="dxa"/>
                  <w:vMerge w:val="continue"/>
                  <w:vAlign w:val="center"/>
                </w:tcPr>
                <w:p>
                  <w:pPr>
                    <w:pStyle w:val="33"/>
                    <w:rPr>
                      <w:lang w:val="en-GB"/>
                    </w:rPr>
                  </w:pPr>
                </w:p>
              </w:tc>
              <w:tc>
                <w:tcPr>
                  <w:tcW w:w="684" w:type="dxa"/>
                  <w:vAlign w:val="center"/>
                </w:tcPr>
                <w:p>
                  <w:pPr>
                    <w:pStyle w:val="33"/>
                    <w:rPr>
                      <w:lang w:val="en-GB"/>
                    </w:rPr>
                  </w:pPr>
                  <w:r>
                    <w:rPr>
                      <w:lang w:val="en-GB"/>
                    </w:rPr>
                    <w:t>高</w:t>
                  </w:r>
                </w:p>
              </w:tc>
              <w:tc>
                <w:tcPr>
                  <w:tcW w:w="833" w:type="dxa"/>
                  <w:vAlign w:val="center"/>
                </w:tcPr>
                <w:p>
                  <w:pPr>
                    <w:pStyle w:val="33"/>
                    <w:rPr>
                      <w:lang w:val="en-GB"/>
                    </w:rPr>
                  </w:pPr>
                  <w:r>
                    <w:rPr>
                      <w:lang w:val="en-GB"/>
                    </w:rPr>
                    <w:t>内径</w:t>
                  </w:r>
                </w:p>
              </w:tc>
              <w:tc>
                <w:tcPr>
                  <w:tcW w:w="749" w:type="dxa"/>
                  <w:vAlign w:val="center"/>
                </w:tcPr>
                <w:p>
                  <w:pPr>
                    <w:pStyle w:val="33"/>
                    <w:rPr>
                      <w:lang w:val="en-GB"/>
                    </w:rPr>
                  </w:pPr>
                  <w:r>
                    <w:rPr>
                      <w:lang w:val="en-GB"/>
                    </w:rPr>
                    <w:t>温度</w:t>
                  </w:r>
                </w:p>
              </w:tc>
              <w:tc>
                <w:tcPr>
                  <w:tcW w:w="861" w:type="dxa"/>
                  <w:vMerge w:val="continue"/>
                  <w:vAlign w:val="center"/>
                </w:tcPr>
                <w:p>
                  <w:pPr>
                    <w:pStyle w:val="33"/>
                    <w:rPr>
                      <w:lang w:val="en-GB"/>
                    </w:rPr>
                  </w:pPr>
                </w:p>
              </w:tc>
              <w:tc>
                <w:tcPr>
                  <w:tcW w:w="1437" w:type="dxa"/>
                  <w:vMerge w:val="continue"/>
                  <w:vAlign w:val="center"/>
                </w:tcPr>
                <w:p>
                  <w:pPr>
                    <w:pStyle w:val="33"/>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958" w:type="dxa"/>
                  <w:vMerge w:val="restart"/>
                  <w:vAlign w:val="center"/>
                </w:tcPr>
                <w:p>
                  <w:pPr>
                    <w:pStyle w:val="33"/>
                  </w:pPr>
                  <w:r>
                    <w:rPr>
                      <w:rFonts w:hint="eastAsia"/>
                      <w:highlight w:val="none"/>
                      <w:lang w:val="en-US" w:eastAsia="zh-CN"/>
                    </w:rPr>
                    <w:t>冬季供热</w:t>
                  </w:r>
                  <w:r>
                    <w:rPr>
                      <w:rFonts w:hint="eastAsia"/>
                    </w:rPr>
                    <w:t>排气筒</w:t>
                  </w:r>
                </w:p>
              </w:tc>
              <w:tc>
                <w:tcPr>
                  <w:tcW w:w="883" w:type="dxa"/>
                  <w:vMerge w:val="restart"/>
                  <w:vAlign w:val="center"/>
                </w:tcPr>
                <w:p>
                  <w:pPr>
                    <w:pStyle w:val="33"/>
                  </w:pPr>
                  <w:r>
                    <w:rPr>
                      <w:rFonts w:hint="eastAsia"/>
                    </w:rPr>
                    <w:t>DA001</w:t>
                  </w:r>
                </w:p>
              </w:tc>
              <w:tc>
                <w:tcPr>
                  <w:tcW w:w="1150" w:type="dxa"/>
                  <w:vAlign w:val="center"/>
                </w:tcPr>
                <w:p>
                  <w:pPr>
                    <w:pStyle w:val="33"/>
                  </w:pPr>
                  <w:r>
                    <w:rPr>
                      <w:rFonts w:hint="eastAsia"/>
                    </w:rPr>
                    <w:t>颗粒物</w:t>
                  </w:r>
                </w:p>
              </w:tc>
              <w:tc>
                <w:tcPr>
                  <w:tcW w:w="1033" w:type="dxa"/>
                  <w:vAlign w:val="center"/>
                </w:tcPr>
                <w:p>
                  <w:pPr>
                    <w:pStyle w:val="33"/>
                  </w:pPr>
                  <w:r>
                    <w:rPr>
                      <w:rFonts w:hint="eastAsia"/>
                    </w:rPr>
                    <w:t>20</w:t>
                  </w:r>
                  <w:r>
                    <w:t>mg/m</w:t>
                  </w:r>
                  <w:r>
                    <w:rPr>
                      <w:vertAlign w:val="superscript"/>
                    </w:rPr>
                    <w:t>3</w:t>
                  </w:r>
                </w:p>
              </w:tc>
              <w:tc>
                <w:tcPr>
                  <w:tcW w:w="684" w:type="dxa"/>
                  <w:vMerge w:val="restart"/>
                  <w:vAlign w:val="center"/>
                </w:tcPr>
                <w:p>
                  <w:pPr>
                    <w:pStyle w:val="33"/>
                  </w:pPr>
                  <w:r>
                    <w:rPr>
                      <w:rFonts w:hint="eastAsia"/>
                      <w:lang w:val="en-US" w:eastAsia="zh-CN"/>
                    </w:rPr>
                    <w:t>16</w:t>
                  </w:r>
                  <w:r>
                    <w:rPr>
                      <w:rFonts w:hint="eastAsia"/>
                    </w:rPr>
                    <w:t>m</w:t>
                  </w:r>
                </w:p>
              </w:tc>
              <w:tc>
                <w:tcPr>
                  <w:tcW w:w="833" w:type="dxa"/>
                  <w:vMerge w:val="restart"/>
                  <w:vAlign w:val="center"/>
                </w:tcPr>
                <w:p>
                  <w:pPr>
                    <w:pStyle w:val="33"/>
                  </w:pPr>
                  <w:r>
                    <w:rPr>
                      <w:rFonts w:hint="eastAsia"/>
                    </w:rPr>
                    <w:t>0.</w:t>
                  </w:r>
                  <w:r>
                    <w:rPr>
                      <w:rFonts w:hint="eastAsia"/>
                      <w:lang w:val="en-US" w:eastAsia="zh-CN"/>
                    </w:rPr>
                    <w:t>55</w:t>
                  </w:r>
                  <w:r>
                    <w:rPr>
                      <w:rFonts w:hint="eastAsia"/>
                    </w:rPr>
                    <w:t>m</w:t>
                  </w:r>
                </w:p>
              </w:tc>
              <w:tc>
                <w:tcPr>
                  <w:tcW w:w="749" w:type="dxa"/>
                  <w:vMerge w:val="restart"/>
                  <w:vAlign w:val="center"/>
                </w:tcPr>
                <w:p>
                  <w:pPr>
                    <w:pStyle w:val="33"/>
                  </w:pPr>
                  <w:r>
                    <w:rPr>
                      <w:rFonts w:hint="eastAsia"/>
                    </w:rPr>
                    <w:t>1</w:t>
                  </w:r>
                  <w:r>
                    <w:rPr>
                      <w:rFonts w:hint="eastAsia"/>
                      <w:lang w:val="en-US" w:eastAsia="zh-CN"/>
                    </w:rPr>
                    <w:t>00</w:t>
                  </w:r>
                  <w:r>
                    <w:rPr>
                      <w:lang w:val="en-GB"/>
                    </w:rPr>
                    <w:t>℃</w:t>
                  </w:r>
                </w:p>
              </w:tc>
              <w:tc>
                <w:tcPr>
                  <w:tcW w:w="861" w:type="dxa"/>
                  <w:vMerge w:val="restart"/>
                  <w:vAlign w:val="center"/>
                </w:tcPr>
                <w:p>
                  <w:pPr>
                    <w:pStyle w:val="33"/>
                    <w:rPr>
                      <w:lang w:val="en-GB"/>
                    </w:rPr>
                  </w:pPr>
                  <w:r>
                    <w:rPr>
                      <w:lang w:val="en-GB"/>
                    </w:rPr>
                    <w:t>一般排放口</w:t>
                  </w:r>
                </w:p>
              </w:tc>
              <w:tc>
                <w:tcPr>
                  <w:tcW w:w="1437" w:type="dxa"/>
                  <w:vMerge w:val="restart"/>
                  <w:vAlign w:val="center"/>
                </w:tcPr>
                <w:p>
                  <w:pPr>
                    <w:pStyle w:val="33"/>
                    <w:rPr>
                      <w:lang w:val="en-GB"/>
                    </w:rPr>
                  </w:pPr>
                  <w:r>
                    <w:rPr>
                      <w:rFonts w:hint="eastAsia"/>
                    </w:rPr>
                    <w:t>E</w:t>
                  </w:r>
                  <w:r>
                    <w:rPr>
                      <w:rFonts w:hint="eastAsia"/>
                      <w:lang w:val="en-US" w:eastAsia="zh-CN"/>
                    </w:rPr>
                    <w:t>84.309236</w:t>
                  </w:r>
                  <w:r>
                    <w:t>°</w:t>
                  </w:r>
                </w:p>
                <w:p>
                  <w:pPr>
                    <w:pStyle w:val="33"/>
                  </w:pPr>
                  <w:r>
                    <w:rPr>
                      <w:rFonts w:hint="eastAsia"/>
                    </w:rPr>
                    <w:t>N</w:t>
                  </w:r>
                  <w:r>
                    <w:rPr>
                      <w:rFonts w:hint="eastAsia"/>
                      <w:lang w:val="en-US" w:eastAsia="zh-CN"/>
                    </w:rPr>
                    <w:t>41.786237</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958" w:type="dxa"/>
                  <w:vMerge w:val="continue"/>
                  <w:vAlign w:val="center"/>
                </w:tcPr>
                <w:p>
                  <w:pPr>
                    <w:pStyle w:val="33"/>
                  </w:pPr>
                </w:p>
              </w:tc>
              <w:tc>
                <w:tcPr>
                  <w:tcW w:w="883" w:type="dxa"/>
                  <w:vMerge w:val="continue"/>
                  <w:vAlign w:val="center"/>
                </w:tcPr>
                <w:p>
                  <w:pPr>
                    <w:pStyle w:val="33"/>
                    <w:rPr>
                      <w:lang w:val="en-GB"/>
                    </w:rPr>
                  </w:pPr>
                </w:p>
              </w:tc>
              <w:tc>
                <w:tcPr>
                  <w:tcW w:w="1150" w:type="dxa"/>
                  <w:vAlign w:val="center"/>
                </w:tcPr>
                <w:p>
                  <w:pPr>
                    <w:pStyle w:val="33"/>
                  </w:pPr>
                  <w:r>
                    <w:rPr>
                      <w:rFonts w:hint="eastAsia"/>
                    </w:rPr>
                    <w:t>二氧化硫</w:t>
                  </w:r>
                </w:p>
              </w:tc>
              <w:tc>
                <w:tcPr>
                  <w:tcW w:w="1033" w:type="dxa"/>
                  <w:vAlign w:val="center"/>
                </w:tcPr>
                <w:p>
                  <w:pPr>
                    <w:pStyle w:val="33"/>
                  </w:pPr>
                  <w:r>
                    <w:rPr>
                      <w:rFonts w:hint="eastAsia"/>
                    </w:rPr>
                    <w:t>50</w:t>
                  </w:r>
                  <w:r>
                    <w:t>mg/m</w:t>
                  </w:r>
                  <w:r>
                    <w:rPr>
                      <w:vertAlign w:val="superscript"/>
                    </w:rPr>
                    <w:t>3</w:t>
                  </w:r>
                </w:p>
              </w:tc>
              <w:tc>
                <w:tcPr>
                  <w:tcW w:w="684" w:type="dxa"/>
                  <w:vMerge w:val="continue"/>
                  <w:vAlign w:val="center"/>
                </w:tcPr>
                <w:p>
                  <w:pPr>
                    <w:pStyle w:val="33"/>
                  </w:pPr>
                </w:p>
              </w:tc>
              <w:tc>
                <w:tcPr>
                  <w:tcW w:w="833" w:type="dxa"/>
                  <w:vMerge w:val="continue"/>
                  <w:vAlign w:val="center"/>
                </w:tcPr>
                <w:p>
                  <w:pPr>
                    <w:pStyle w:val="33"/>
                  </w:pPr>
                </w:p>
              </w:tc>
              <w:tc>
                <w:tcPr>
                  <w:tcW w:w="749" w:type="dxa"/>
                  <w:vMerge w:val="continue"/>
                  <w:vAlign w:val="center"/>
                </w:tcPr>
                <w:p>
                  <w:pPr>
                    <w:pStyle w:val="33"/>
                  </w:pPr>
                </w:p>
              </w:tc>
              <w:tc>
                <w:tcPr>
                  <w:tcW w:w="861" w:type="dxa"/>
                  <w:vMerge w:val="continue"/>
                  <w:vAlign w:val="center"/>
                </w:tcPr>
                <w:p>
                  <w:pPr>
                    <w:pStyle w:val="33"/>
                    <w:rPr>
                      <w:lang w:val="en-GB"/>
                    </w:rPr>
                  </w:pPr>
                </w:p>
              </w:tc>
              <w:tc>
                <w:tcPr>
                  <w:tcW w:w="1437" w:type="dxa"/>
                  <w:vMerge w:val="continue"/>
                  <w:vAlign w:val="center"/>
                </w:tcPr>
                <w:p>
                  <w:pPr>
                    <w:pStyle w:val="33"/>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958" w:type="dxa"/>
                  <w:vMerge w:val="continue"/>
                  <w:vAlign w:val="center"/>
                </w:tcPr>
                <w:p>
                  <w:pPr>
                    <w:pStyle w:val="33"/>
                  </w:pPr>
                </w:p>
              </w:tc>
              <w:tc>
                <w:tcPr>
                  <w:tcW w:w="883" w:type="dxa"/>
                  <w:vMerge w:val="continue"/>
                  <w:vAlign w:val="center"/>
                </w:tcPr>
                <w:p>
                  <w:pPr>
                    <w:pStyle w:val="33"/>
                    <w:rPr>
                      <w:lang w:val="en-GB"/>
                    </w:rPr>
                  </w:pPr>
                </w:p>
              </w:tc>
              <w:tc>
                <w:tcPr>
                  <w:tcW w:w="1150" w:type="dxa"/>
                  <w:vAlign w:val="center"/>
                </w:tcPr>
                <w:p>
                  <w:pPr>
                    <w:pStyle w:val="33"/>
                  </w:pPr>
                  <w:r>
                    <w:rPr>
                      <w:rFonts w:hint="eastAsia"/>
                    </w:rPr>
                    <w:t>氮氧化物</w:t>
                  </w:r>
                </w:p>
              </w:tc>
              <w:tc>
                <w:tcPr>
                  <w:tcW w:w="1033" w:type="dxa"/>
                  <w:vAlign w:val="center"/>
                </w:tcPr>
                <w:p>
                  <w:pPr>
                    <w:pStyle w:val="33"/>
                  </w:pPr>
                  <w:r>
                    <w:rPr>
                      <w:rFonts w:hint="eastAsia"/>
                      <w:lang w:val="en-US" w:eastAsia="zh-CN"/>
                    </w:rPr>
                    <w:t>50</w:t>
                  </w:r>
                  <w:r>
                    <w:t>mg/m</w:t>
                  </w:r>
                  <w:r>
                    <w:rPr>
                      <w:vertAlign w:val="superscript"/>
                    </w:rPr>
                    <w:t>3</w:t>
                  </w:r>
                </w:p>
              </w:tc>
              <w:tc>
                <w:tcPr>
                  <w:tcW w:w="684" w:type="dxa"/>
                  <w:vMerge w:val="continue"/>
                  <w:vAlign w:val="center"/>
                </w:tcPr>
                <w:p>
                  <w:pPr>
                    <w:pStyle w:val="33"/>
                  </w:pPr>
                </w:p>
              </w:tc>
              <w:tc>
                <w:tcPr>
                  <w:tcW w:w="833" w:type="dxa"/>
                  <w:vMerge w:val="continue"/>
                  <w:vAlign w:val="center"/>
                </w:tcPr>
                <w:p>
                  <w:pPr>
                    <w:pStyle w:val="33"/>
                  </w:pPr>
                </w:p>
              </w:tc>
              <w:tc>
                <w:tcPr>
                  <w:tcW w:w="749" w:type="dxa"/>
                  <w:vMerge w:val="continue"/>
                  <w:vAlign w:val="center"/>
                </w:tcPr>
                <w:p>
                  <w:pPr>
                    <w:pStyle w:val="33"/>
                  </w:pPr>
                </w:p>
              </w:tc>
              <w:tc>
                <w:tcPr>
                  <w:tcW w:w="861" w:type="dxa"/>
                  <w:vMerge w:val="continue"/>
                  <w:vAlign w:val="center"/>
                </w:tcPr>
                <w:p>
                  <w:pPr>
                    <w:pStyle w:val="33"/>
                    <w:rPr>
                      <w:lang w:val="en-GB"/>
                    </w:rPr>
                  </w:pPr>
                </w:p>
              </w:tc>
              <w:tc>
                <w:tcPr>
                  <w:tcW w:w="1437" w:type="dxa"/>
                  <w:vMerge w:val="continue"/>
                  <w:vAlign w:val="center"/>
                </w:tcPr>
                <w:p>
                  <w:pPr>
                    <w:pStyle w:val="33"/>
                    <w:rPr>
                      <w:lang w:val="en-GB"/>
                    </w:rPr>
                  </w:pPr>
                </w:p>
              </w:tc>
            </w:tr>
          </w:tbl>
          <w:p>
            <w:pPr>
              <w:ind w:left="0" w:leftChars="0" w:firstLine="0" w:firstLineChars="0"/>
              <w:rPr>
                <w:rFonts w:hint="default" w:ascii="Arial" w:hAnsi="Arial" w:eastAsia="宋体" w:cs="Times New Roman"/>
                <w:b/>
                <w:kern w:val="2"/>
                <w:sz w:val="24"/>
                <w:szCs w:val="24"/>
                <w:lang w:val="en-US" w:eastAsia="zh-CN" w:bidi="ar-SA"/>
              </w:rPr>
            </w:pPr>
            <w:r>
              <w:rPr>
                <w:rFonts w:hint="eastAsia" w:ascii="Arial" w:hAnsi="Arial" w:cs="Times New Roman"/>
                <w:b/>
                <w:kern w:val="2"/>
                <w:sz w:val="24"/>
                <w:szCs w:val="24"/>
                <w:lang w:val="en-US" w:eastAsia="zh-CN" w:bidi="ar-SA"/>
              </w:rPr>
              <w:t>4.2.1.2</w:t>
            </w:r>
            <w:r>
              <w:rPr>
                <w:rFonts w:hint="eastAsia" w:ascii="Arial" w:hAnsi="Arial" w:eastAsia="宋体" w:cs="Times New Roman"/>
                <w:b/>
                <w:kern w:val="2"/>
                <w:sz w:val="24"/>
                <w:szCs w:val="24"/>
                <w:lang w:val="en-US" w:eastAsia="zh-CN" w:bidi="ar-SA"/>
              </w:rPr>
              <w:t>非正常工程工况废气排放影响分析</w:t>
            </w:r>
          </w:p>
          <w:p>
            <w:pPr>
              <w:spacing w:line="360" w:lineRule="auto"/>
              <w:ind w:firstLine="480" w:firstLineChars="200"/>
              <w:rPr>
                <w:rFonts w:hint="eastAsia" w:eastAsia="宋体"/>
                <w:bCs/>
                <w:snapToGrid w:val="0"/>
                <w:kern w:val="0"/>
                <w:sz w:val="24"/>
                <w:lang w:val="en-US" w:eastAsia="zh-CN"/>
              </w:rPr>
            </w:pPr>
            <w:r>
              <w:rPr>
                <w:rFonts w:hint="eastAsia"/>
                <w:bCs/>
                <w:snapToGrid w:val="0"/>
                <w:kern w:val="0"/>
                <w:sz w:val="24"/>
              </w:rPr>
              <w:t>本项目运营期非正常工况包括：主要产污设备开停机时，环保设施未运转或未达到应有处理效率，废气未得到有效处理；废气处理设施</w:t>
            </w:r>
            <w:r>
              <w:rPr>
                <w:rFonts w:hint="eastAsia"/>
                <w:bCs/>
                <w:snapToGrid w:val="0"/>
                <w:kern w:val="0"/>
                <w:sz w:val="24"/>
                <w:lang w:val="en-US" w:eastAsia="zh-CN"/>
              </w:rPr>
              <w:t>集气系统</w:t>
            </w:r>
            <w:r>
              <w:rPr>
                <w:rFonts w:hint="eastAsia"/>
                <w:bCs/>
                <w:snapToGrid w:val="0"/>
                <w:kern w:val="0"/>
                <w:sz w:val="24"/>
              </w:rPr>
              <w:t>故障，停机检修，废气未得到有效处理，呈无组织排放；废气处理设施处理系统故障，废气未得到有效处理而由排气筒直接排放</w:t>
            </w:r>
            <w:r>
              <w:rPr>
                <w:rFonts w:hint="eastAsia"/>
                <w:bCs/>
                <w:snapToGrid w:val="0"/>
                <w:kern w:val="0"/>
                <w:sz w:val="24"/>
                <w:lang w:val="en-US" w:eastAsia="zh-CN"/>
              </w:rPr>
              <w:t>会导致</w:t>
            </w:r>
            <w:r>
              <w:rPr>
                <w:rFonts w:hint="eastAsia"/>
                <w:bCs/>
                <w:snapToGrid w:val="0"/>
                <w:kern w:val="0"/>
                <w:sz w:val="24"/>
                <w:lang w:eastAsia="zh-CN"/>
              </w:rPr>
              <w:t>，</w:t>
            </w:r>
            <w:r>
              <w:rPr>
                <w:rFonts w:hint="eastAsia"/>
                <w:bCs/>
                <w:snapToGrid w:val="0"/>
                <w:kern w:val="0"/>
                <w:sz w:val="24"/>
                <w:lang w:val="en-US" w:eastAsia="zh-CN"/>
              </w:rPr>
              <w:t>防治措施为立即</w:t>
            </w:r>
            <w:r>
              <w:rPr>
                <w:rFonts w:hint="eastAsia"/>
                <w:lang w:val="en-GB"/>
              </w:rPr>
              <w:t>停止</w:t>
            </w:r>
            <w:r>
              <w:rPr>
                <w:rFonts w:hint="eastAsia"/>
                <w:lang w:val="en-US" w:eastAsia="zh-CN"/>
              </w:rPr>
              <w:t>运行</w:t>
            </w:r>
            <w:r>
              <w:rPr>
                <w:rFonts w:hint="eastAsia"/>
                <w:lang w:val="en-GB"/>
              </w:rPr>
              <w:t>，</w:t>
            </w:r>
            <w:r>
              <w:rPr>
                <w:rFonts w:hint="eastAsia"/>
                <w:lang w:val="en-US" w:eastAsia="zh-CN"/>
              </w:rPr>
              <w:t>及时</w:t>
            </w:r>
            <w:r>
              <w:rPr>
                <w:rFonts w:hint="eastAsia"/>
                <w:lang w:val="en-GB"/>
              </w:rPr>
              <w:t>检修</w:t>
            </w:r>
            <w:r>
              <w:rPr>
                <w:rFonts w:hint="eastAsia"/>
                <w:lang w:val="en-GB" w:eastAsia="zh-CN"/>
              </w:rPr>
              <w:t>。</w:t>
            </w:r>
          </w:p>
          <w:p>
            <w:pPr>
              <w:ind w:firstLine="480"/>
              <w:rPr>
                <w:rFonts w:hint="eastAsia"/>
              </w:rPr>
            </w:pPr>
            <w:r>
              <w:rPr>
                <w:rFonts w:hint="eastAsia"/>
              </w:rPr>
              <w:t>项目生产设施开停机等非正常情况</w:t>
            </w:r>
            <w:r>
              <w:t>见表</w:t>
            </w:r>
            <w:r>
              <w:rPr>
                <w:rFonts w:hint="eastAsia"/>
              </w:rPr>
              <w:t>4-</w:t>
            </w:r>
            <w:r>
              <w:rPr>
                <w:rFonts w:hint="eastAsia"/>
                <w:lang w:val="en-US" w:eastAsia="zh-CN"/>
              </w:rPr>
              <w:t>3</w:t>
            </w:r>
            <w:r>
              <w:rPr>
                <w:rFonts w:hint="eastAsia"/>
              </w:rPr>
              <w:t>。</w:t>
            </w:r>
          </w:p>
          <w:p>
            <w:pPr>
              <w:pStyle w:val="34"/>
              <w:rPr>
                <w:lang w:val="en-GB"/>
              </w:rPr>
            </w:pPr>
            <w:r>
              <w:rPr>
                <w:rFonts w:hint="eastAsia"/>
              </w:rPr>
              <w:t>表4-</w:t>
            </w:r>
            <w:r>
              <w:rPr>
                <w:rFonts w:hint="eastAsia"/>
                <w:lang w:val="en-US" w:eastAsia="zh-CN"/>
              </w:rPr>
              <w:t>3</w:t>
            </w:r>
            <w:r>
              <w:t xml:space="preserve">  </w:t>
            </w:r>
            <w:r>
              <w:rPr>
                <w:rFonts w:hint="eastAsia"/>
              </w:rPr>
              <w:t>项目生产设施</w:t>
            </w:r>
            <w:r>
              <w:rPr>
                <w:rFonts w:ascii="Times New Roman" w:hAnsi="Times New Roman" w:eastAsia="宋体"/>
              </w:rPr>
              <w:t>低氮燃烧器故障</w:t>
            </w:r>
            <w:r>
              <w:rPr>
                <w:rFonts w:hint="eastAsia"/>
              </w:rPr>
              <w:t>等非正常情况</w:t>
            </w:r>
          </w:p>
          <w:tbl>
            <w:tblPr>
              <w:tblStyle w:val="21"/>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933"/>
              <w:gridCol w:w="1884"/>
              <w:gridCol w:w="1534"/>
              <w:gridCol w:w="1827"/>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152" w:type="dxa"/>
                  <w:vAlign w:val="center"/>
                </w:tcPr>
                <w:p>
                  <w:pPr>
                    <w:pStyle w:val="33"/>
                    <w:rPr>
                      <w:lang w:val="en-GB"/>
                    </w:rPr>
                  </w:pPr>
                  <w:r>
                    <w:rPr>
                      <w:rFonts w:hint="eastAsia"/>
                      <w:lang w:val="en-GB"/>
                    </w:rPr>
                    <w:t>污染源</w:t>
                  </w:r>
                </w:p>
              </w:tc>
              <w:tc>
                <w:tcPr>
                  <w:tcW w:w="933" w:type="dxa"/>
                  <w:vAlign w:val="center"/>
                </w:tcPr>
                <w:p>
                  <w:pPr>
                    <w:pStyle w:val="33"/>
                    <w:rPr>
                      <w:lang w:val="en-GB"/>
                    </w:rPr>
                  </w:pPr>
                  <w:r>
                    <w:rPr>
                      <w:rFonts w:hint="eastAsia"/>
                      <w:lang w:val="en-GB"/>
                    </w:rPr>
                    <w:t>频次</w:t>
                  </w:r>
                </w:p>
              </w:tc>
              <w:tc>
                <w:tcPr>
                  <w:tcW w:w="1884" w:type="dxa"/>
                  <w:vAlign w:val="center"/>
                </w:tcPr>
                <w:p>
                  <w:pPr>
                    <w:pStyle w:val="33"/>
                    <w:rPr>
                      <w:lang w:val="en-GB"/>
                    </w:rPr>
                  </w:pPr>
                  <w:r>
                    <w:rPr>
                      <w:rFonts w:hint="eastAsia"/>
                      <w:lang w:val="en-GB"/>
                    </w:rPr>
                    <w:t>排放浓度（</w:t>
                  </w:r>
                  <w:r>
                    <w:t>mg/m</w:t>
                  </w:r>
                  <w:r>
                    <w:rPr>
                      <w:vertAlign w:val="superscript"/>
                    </w:rPr>
                    <w:t>3</w:t>
                  </w:r>
                  <w:r>
                    <w:rPr>
                      <w:rFonts w:hint="eastAsia"/>
                      <w:lang w:val="en-GB"/>
                    </w:rPr>
                    <w:t>）</w:t>
                  </w:r>
                </w:p>
              </w:tc>
              <w:tc>
                <w:tcPr>
                  <w:tcW w:w="1534" w:type="dxa"/>
                  <w:vAlign w:val="center"/>
                </w:tcPr>
                <w:p>
                  <w:pPr>
                    <w:pStyle w:val="33"/>
                    <w:rPr>
                      <w:lang w:val="en-GB"/>
                    </w:rPr>
                  </w:pPr>
                  <w:r>
                    <w:rPr>
                      <w:rFonts w:hint="eastAsia"/>
                      <w:lang w:val="en-GB"/>
                    </w:rPr>
                    <w:t>持续时间（h）</w:t>
                  </w:r>
                </w:p>
              </w:tc>
              <w:tc>
                <w:tcPr>
                  <w:tcW w:w="1827" w:type="dxa"/>
                  <w:vAlign w:val="center"/>
                </w:tcPr>
                <w:p>
                  <w:pPr>
                    <w:pStyle w:val="33"/>
                    <w:rPr>
                      <w:lang w:val="en-GB"/>
                    </w:rPr>
                  </w:pPr>
                  <w:r>
                    <w:rPr>
                      <w:rFonts w:hint="eastAsia"/>
                      <w:lang w:val="en-GB"/>
                    </w:rPr>
                    <w:t>排放量（</w:t>
                  </w:r>
                  <w:r>
                    <w:rPr>
                      <w:rFonts w:hint="eastAsia"/>
                    </w:rPr>
                    <w:t>kg</w:t>
                  </w:r>
                  <w:r>
                    <w:rPr>
                      <w:lang w:val="en-GB"/>
                    </w:rPr>
                    <w:t>/</w:t>
                  </w:r>
                  <w:r>
                    <w:rPr>
                      <w:rFonts w:hint="eastAsia"/>
                    </w:rPr>
                    <w:t>次</w:t>
                  </w:r>
                  <w:r>
                    <w:rPr>
                      <w:rFonts w:hint="eastAsia"/>
                      <w:lang w:val="en-GB"/>
                    </w:rPr>
                    <w:t>）</w:t>
                  </w:r>
                </w:p>
              </w:tc>
              <w:tc>
                <w:tcPr>
                  <w:tcW w:w="1280" w:type="dxa"/>
                  <w:vAlign w:val="center"/>
                </w:tcPr>
                <w:p>
                  <w:pPr>
                    <w:pStyle w:val="33"/>
                    <w:rPr>
                      <w:lang w:val="en-GB"/>
                    </w:rPr>
                  </w:pPr>
                  <w:r>
                    <w:rPr>
                      <w:rFonts w:hint="eastAsia"/>
                      <w:lang w:val="en-GB"/>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2" w:type="dxa"/>
                  <w:vAlign w:val="center"/>
                </w:tcPr>
                <w:p>
                  <w:pPr>
                    <w:pStyle w:val="33"/>
                    <w:rPr>
                      <w:lang w:val="en-GB"/>
                    </w:rPr>
                  </w:pPr>
                  <w:r>
                    <w:rPr>
                      <w:rFonts w:hint="eastAsia"/>
                      <w:highlight w:val="none"/>
                      <w:lang w:val="en-US" w:eastAsia="zh-CN"/>
                    </w:rPr>
                    <w:t>冬季供热</w:t>
                  </w:r>
                  <w:r>
                    <w:rPr>
                      <w:rFonts w:hint="eastAsia"/>
                    </w:rPr>
                    <w:t>锅炉</w:t>
                  </w:r>
                </w:p>
              </w:tc>
              <w:tc>
                <w:tcPr>
                  <w:tcW w:w="933" w:type="dxa"/>
                  <w:vAlign w:val="center"/>
                </w:tcPr>
                <w:p>
                  <w:pPr>
                    <w:pStyle w:val="33"/>
                    <w:rPr>
                      <w:lang w:val="en-GB"/>
                    </w:rPr>
                  </w:pPr>
                  <w:r>
                    <w:rPr>
                      <w:rFonts w:hint="eastAsia"/>
                      <w:lang w:val="en-GB"/>
                    </w:rPr>
                    <w:t>1次/</w:t>
                  </w:r>
                  <w:r>
                    <w:rPr>
                      <w:lang w:val="en-GB"/>
                    </w:rPr>
                    <w:t>a</w:t>
                  </w:r>
                </w:p>
              </w:tc>
              <w:tc>
                <w:tcPr>
                  <w:tcW w:w="1884" w:type="dxa"/>
                  <w:vAlign w:val="center"/>
                </w:tcPr>
                <w:p>
                  <w:pPr>
                    <w:pStyle w:val="33"/>
                  </w:pPr>
                  <w:r>
                    <w:rPr>
                      <w:rFonts w:hint="eastAsia"/>
                    </w:rPr>
                    <w:t>氮氧化物：200</w:t>
                  </w:r>
                </w:p>
              </w:tc>
              <w:tc>
                <w:tcPr>
                  <w:tcW w:w="1534" w:type="dxa"/>
                  <w:vAlign w:val="center"/>
                </w:tcPr>
                <w:p>
                  <w:pPr>
                    <w:pStyle w:val="33"/>
                  </w:pPr>
                  <w:r>
                    <w:rPr>
                      <w:rFonts w:hint="eastAsia"/>
                    </w:rPr>
                    <w:t>0.5</w:t>
                  </w:r>
                </w:p>
              </w:tc>
              <w:tc>
                <w:tcPr>
                  <w:tcW w:w="1827" w:type="dxa"/>
                  <w:vAlign w:val="center"/>
                </w:tcPr>
                <w:p>
                  <w:pPr>
                    <w:pStyle w:val="33"/>
                  </w:pPr>
                  <w:r>
                    <w:rPr>
                      <w:rFonts w:hint="eastAsia"/>
                    </w:rPr>
                    <w:t>氮氧化物：0.1</w:t>
                  </w:r>
                </w:p>
              </w:tc>
              <w:tc>
                <w:tcPr>
                  <w:tcW w:w="1280" w:type="dxa"/>
                  <w:vAlign w:val="center"/>
                </w:tcPr>
                <w:p>
                  <w:pPr>
                    <w:pStyle w:val="33"/>
                    <w:rPr>
                      <w:lang w:val="en-GB"/>
                    </w:rPr>
                  </w:pPr>
                  <w:r>
                    <w:rPr>
                      <w:rFonts w:hint="eastAsia"/>
                      <w:lang w:val="en-GB"/>
                    </w:rPr>
                    <w:t>停止</w:t>
                  </w:r>
                  <w:r>
                    <w:rPr>
                      <w:rFonts w:hint="eastAsia"/>
                      <w:lang w:val="en-US" w:eastAsia="zh-CN"/>
                    </w:rPr>
                    <w:t>运行</w:t>
                  </w:r>
                  <w:r>
                    <w:rPr>
                      <w:rFonts w:hint="eastAsia"/>
                      <w:lang w:val="en-GB"/>
                    </w:rPr>
                    <w:t>，</w:t>
                  </w:r>
                  <w:r>
                    <w:rPr>
                      <w:rFonts w:hint="eastAsia"/>
                      <w:lang w:val="en-US" w:eastAsia="zh-CN"/>
                    </w:rPr>
                    <w:t>及时</w:t>
                  </w:r>
                  <w:r>
                    <w:rPr>
                      <w:rFonts w:hint="eastAsia"/>
                      <w:lang w:val="en-GB"/>
                    </w:rPr>
                    <w:t>检修</w:t>
                  </w:r>
                </w:p>
              </w:tc>
            </w:tr>
          </w:tbl>
          <w:p>
            <w:pPr>
              <w:pStyle w:val="5"/>
              <w:rPr>
                <w:rFonts w:hint="eastAsia" w:eastAsia="宋体"/>
                <w:lang w:val="en-US" w:eastAsia="zh-CN"/>
              </w:rPr>
            </w:pPr>
            <w:r>
              <w:rPr>
                <w:rFonts w:hint="eastAsia"/>
                <w:lang w:val="en-US" w:eastAsia="zh-CN"/>
              </w:rPr>
              <w:t>4.2.1.3</w:t>
            </w:r>
            <w:r>
              <w:rPr>
                <w:rFonts w:hint="eastAsia" w:eastAsia="宋体"/>
                <w:lang w:val="en-US" w:eastAsia="zh-CN"/>
              </w:rPr>
              <w:t>废气排放的环境影响分析：</w:t>
            </w:r>
          </w:p>
          <w:p>
            <w:pPr>
              <w:rPr>
                <w:rFonts w:hint="default" w:eastAsia="宋体"/>
                <w:lang w:val="en-US" w:eastAsia="zh-CN"/>
              </w:rPr>
            </w:pPr>
            <w:r>
              <w:rPr>
                <w:rFonts w:hint="eastAsia" w:eastAsia="宋体"/>
                <w:lang w:val="en-US" w:eastAsia="zh-CN"/>
              </w:rPr>
              <w:t>本项目位于</w:t>
            </w:r>
            <w:r>
              <w:rPr>
                <w:rFonts w:hint="eastAsia"/>
              </w:rPr>
              <w:t>轮台县</w:t>
            </w:r>
            <w:r>
              <w:rPr>
                <w:rFonts w:hint="eastAsia"/>
                <w:lang w:eastAsia="zh-CN"/>
              </w:rPr>
              <w:t>红桥石油服务区</w:t>
            </w:r>
            <w:r>
              <w:rPr>
                <w:rFonts w:hint="eastAsia" w:eastAsia="宋体"/>
                <w:lang w:eastAsia="zh-CN"/>
              </w:rPr>
              <w:t>，</w:t>
            </w:r>
            <w:r>
              <w:rPr>
                <w:rFonts w:hint="eastAsia" w:eastAsia="宋体"/>
                <w:lang w:val="en-US" w:eastAsia="zh-CN"/>
              </w:rPr>
              <w:t>项目所在区域</w:t>
            </w:r>
            <w:r>
              <w:rPr>
                <w:rFonts w:hint="eastAsia" w:eastAsia="宋体"/>
              </w:rPr>
              <w:t>202</w:t>
            </w:r>
            <w:r>
              <w:rPr>
                <w:rFonts w:hint="eastAsia"/>
                <w:lang w:val="en-US" w:eastAsia="zh-CN"/>
              </w:rPr>
              <w:t>4</w:t>
            </w:r>
            <w:r>
              <w:rPr>
                <w:rFonts w:hint="eastAsia" w:eastAsia="宋体"/>
              </w:rPr>
              <w:t>年</w:t>
            </w:r>
            <w:r>
              <w:t>CO、SO</w:t>
            </w:r>
            <w:r>
              <w:rPr>
                <w:vertAlign w:val="subscript"/>
              </w:rPr>
              <w:t>2</w:t>
            </w:r>
            <w:r>
              <w:t>、NO</w:t>
            </w:r>
            <w:r>
              <w:rPr>
                <w:vertAlign w:val="subscript"/>
              </w:rPr>
              <w:t>2</w:t>
            </w:r>
            <w:r>
              <w:t>、O</w:t>
            </w:r>
            <w:r>
              <w:rPr>
                <w:vertAlign w:val="subscript"/>
              </w:rPr>
              <w:t>3</w:t>
            </w:r>
            <w:r>
              <w:rPr>
                <w:rFonts w:hint="eastAsia"/>
                <w:vertAlign w:val="baseline"/>
                <w:lang w:eastAsia="zh-CN"/>
              </w:rPr>
              <w:t>、</w:t>
            </w:r>
            <w:r>
              <w:t>PM</w:t>
            </w:r>
            <w:r>
              <w:rPr>
                <w:vertAlign w:val="subscript"/>
              </w:rPr>
              <w:t>2.5</w:t>
            </w:r>
            <w:r>
              <w:rPr>
                <w:rFonts w:hint="eastAsia"/>
              </w:rPr>
              <w:t>气态污染物年均浓度均达到国家二级标准限值，可吸入颗粒物(PM</w:t>
            </w:r>
            <w:r>
              <w:rPr>
                <w:rFonts w:hint="eastAsia"/>
                <w:vertAlign w:val="subscript"/>
              </w:rPr>
              <w:t>10</w:t>
            </w:r>
            <w:r>
              <w:rPr>
                <w:rFonts w:hint="eastAsia"/>
              </w:rPr>
              <w:t>)浓度均值超出限值。</w:t>
            </w:r>
            <w:r>
              <w:t>PM</w:t>
            </w:r>
            <w:r>
              <w:rPr>
                <w:vertAlign w:val="subscript"/>
              </w:rPr>
              <w:t>10</w:t>
            </w:r>
            <w:r>
              <w:t>超标与项目所在区域地处干旱沙漠边缘有关</w:t>
            </w:r>
            <w:r>
              <w:rPr>
                <w:rFonts w:hint="eastAsia"/>
                <w:lang w:eastAsia="zh-CN"/>
              </w:rPr>
              <w:t>，</w:t>
            </w:r>
            <w:r>
              <w:t>项目所在区域为不达标区域</w:t>
            </w:r>
            <w:r>
              <w:rPr>
                <w:rFonts w:hint="eastAsia"/>
                <w:lang w:eastAsia="zh-CN"/>
              </w:rPr>
              <w:t>，</w:t>
            </w:r>
            <w:r>
              <w:rPr>
                <w:rFonts w:hint="eastAsia"/>
                <w:lang w:val="en-US" w:eastAsia="zh-CN"/>
              </w:rPr>
              <w:t>且</w:t>
            </w:r>
            <w:r>
              <w:rPr>
                <w:rFonts w:hint="eastAsia"/>
              </w:rPr>
              <w:t>项目</w:t>
            </w:r>
            <w:r>
              <w:rPr>
                <w:rFonts w:hint="eastAsia"/>
                <w:lang w:val="en-US" w:eastAsia="zh-CN"/>
              </w:rPr>
              <w:t>周边</w:t>
            </w:r>
            <w:r>
              <w:rPr>
                <w:rFonts w:hint="eastAsia"/>
              </w:rPr>
              <w:t>50</w:t>
            </w:r>
            <w:r>
              <w:t>0</w:t>
            </w:r>
            <w:r>
              <w:rPr>
                <w:rFonts w:hint="eastAsia"/>
              </w:rPr>
              <w:t>m范围内无大气环境保护目标</w:t>
            </w:r>
            <w:r>
              <w:rPr>
                <w:rFonts w:hint="eastAsia"/>
                <w:lang w:eastAsia="zh-CN"/>
              </w:rPr>
              <w:t>。</w:t>
            </w:r>
            <w:r>
              <w:rPr>
                <w:rFonts w:hint="eastAsia"/>
                <w:lang w:val="en-US" w:eastAsia="zh-CN"/>
              </w:rPr>
              <w:t>本项目产生的气态污染物主要是颗粒物、二氧化硫和氮氧化物，燃气锅炉加装低氮燃烧</w:t>
            </w:r>
            <w:r>
              <w:rPr>
                <w:rFonts w:hint="eastAsia" w:ascii="宋体" w:hAnsi="宋体" w:eastAsia="宋体" w:cs="宋体"/>
                <w:color w:val="000000"/>
                <w:kern w:val="0"/>
                <w:sz w:val="24"/>
                <w:szCs w:val="24"/>
                <w:lang w:val="en-US" w:eastAsia="zh-CN" w:bidi="ar"/>
              </w:rPr>
              <w:t>装置</w:t>
            </w:r>
            <w:r>
              <w:rPr>
                <w:rFonts w:hint="default" w:ascii="Times New Roman" w:hAnsi="Times New Roman" w:eastAsia="宋体" w:cs="Times New Roman"/>
                <w:color w:val="000000"/>
                <w:kern w:val="0"/>
                <w:sz w:val="24"/>
                <w:szCs w:val="24"/>
                <w:lang w:val="en-US" w:eastAsia="zh-CN" w:bidi="ar"/>
              </w:rPr>
              <w:t>，</w:t>
            </w:r>
            <w:r>
              <w:rPr>
                <w:rFonts w:hint="eastAsia"/>
                <w:lang w:val="en-US" w:eastAsia="zh-CN"/>
              </w:rPr>
              <w:t>产生的锅炉废气经16m高排气筒排放，</w:t>
            </w:r>
            <w:r>
              <w:rPr>
                <w:rFonts w:hint="eastAsia"/>
              </w:rPr>
              <w:t>颗粒物、二氧化硫执行《锅炉大气污染物排放标准》（GB13271-2014）表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限值中燃气锅炉标准；氮氧化物</w:t>
            </w:r>
            <w:r>
              <w:rPr>
                <w:rFonts w:hint="eastAsia"/>
                <w:lang w:val="en-US" w:eastAsia="zh-CN"/>
              </w:rPr>
              <w:t>满足</w:t>
            </w: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号）氮氧化物</w:t>
            </w:r>
            <w:r>
              <w:rPr>
                <w:rFonts w:hint="eastAsia"/>
                <w:lang w:val="en-US" w:eastAsia="zh-CN"/>
              </w:rPr>
              <w:t>≤</w:t>
            </w:r>
            <w:r>
              <w:rPr>
                <w:rFonts w:hint="eastAsia"/>
              </w:rPr>
              <w:t>50mg/m</w:t>
            </w:r>
            <w:r>
              <w:rPr>
                <w:rFonts w:hint="eastAsia"/>
                <w:vertAlign w:val="superscript"/>
              </w:rPr>
              <w:t>3</w:t>
            </w:r>
            <w:r>
              <w:rPr>
                <w:rFonts w:hint="eastAsia"/>
              </w:rPr>
              <w:t>的要求</w:t>
            </w:r>
            <w:r>
              <w:rPr>
                <w:rFonts w:hint="eastAsia"/>
                <w:lang w:eastAsia="zh-CN"/>
              </w:rPr>
              <w:t>，</w:t>
            </w:r>
            <w:r>
              <w:rPr>
                <w:rFonts w:hint="eastAsia"/>
                <w:lang w:val="en-US" w:eastAsia="zh-CN"/>
              </w:rPr>
              <w:t>排气筒高度满足《锅炉大气污染物排放标准》（GB13271-2014）中“新建锅炉房的烟囱周围半径200m距离内有建筑物时，其烟囱应高出最高建筑物3m”要求，因此本项目不会对周围环境空气产生明显影响。</w:t>
            </w:r>
          </w:p>
          <w:p>
            <w:pPr>
              <w:pStyle w:val="5"/>
              <w:rPr>
                <w:rFonts w:hint="eastAsia" w:eastAsia="宋体"/>
                <w:lang w:val="en-US" w:eastAsia="zh-CN"/>
              </w:rPr>
            </w:pPr>
            <w:r>
              <w:rPr>
                <w:rFonts w:hint="eastAsia"/>
                <w:lang w:val="en-US" w:eastAsia="zh-CN"/>
              </w:rPr>
              <w:t>4.2.1.4</w:t>
            </w:r>
            <w:r>
              <w:rPr>
                <w:rFonts w:hint="eastAsia" w:eastAsia="宋体"/>
                <w:lang w:val="en-US" w:eastAsia="zh-CN"/>
              </w:rPr>
              <w:t>废气治理措施可行性分析：</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w:t>
            </w:r>
            <w:r>
              <w:rPr>
                <w:rFonts w:hint="eastAsia"/>
                <w:highlight w:val="none"/>
                <w:lang w:val="en-US" w:eastAsia="zh-CN"/>
              </w:rPr>
              <w:t>1台4.2MW燃气常压热水锅炉</w:t>
            </w:r>
            <w:r>
              <w:rPr>
                <w:rFonts w:hint="eastAsia" w:ascii="宋体" w:hAnsi="宋体" w:eastAsia="宋体" w:cs="宋体"/>
                <w:color w:val="000000"/>
                <w:kern w:val="0"/>
                <w:sz w:val="24"/>
                <w:szCs w:val="24"/>
                <w:lang w:val="en-US" w:eastAsia="zh-CN" w:bidi="ar"/>
              </w:rPr>
              <w:t>设有低氮燃烧装置，低氮氧化物燃烧技术原理是改进燃烧设备或控制燃烧条件，保证燃料稳定着火燃烧和燃料的完全燃烧等过程，以降低燃烧尾气中</w:t>
            </w:r>
            <w:r>
              <w:rPr>
                <w:rFonts w:hint="default" w:ascii="Times New Roman" w:hAnsi="Times New Roman" w:eastAsia="宋体" w:cs="Times New Roman"/>
                <w:color w:val="000000"/>
                <w:kern w:val="0"/>
                <w:sz w:val="24"/>
                <w:szCs w:val="24"/>
                <w:lang w:val="en-US" w:eastAsia="zh-CN" w:bidi="ar"/>
              </w:rPr>
              <w:t>NOx</w:t>
            </w:r>
            <w:r>
              <w:rPr>
                <w:rFonts w:hint="eastAsia" w:ascii="宋体" w:hAnsi="宋体" w:eastAsia="宋体" w:cs="宋体"/>
                <w:color w:val="000000"/>
                <w:kern w:val="0"/>
                <w:sz w:val="24"/>
                <w:szCs w:val="24"/>
                <w:lang w:val="en-US" w:eastAsia="zh-CN" w:bidi="ar"/>
              </w:rPr>
              <w:t>浓度的各项技术。本项目采用全预混燃气燃烧器，在燃烧之前，供给完全燃烧所需的全部空气，并使燃气与空气充分混合，再经燃烧器喷出进行燃烧，由于预先混合均匀，所以能在较小的过剩空气系数下实现完全燃烧，燃烧温度可以很高。此技术属于《排污许可证申请与核发技术规范 锅炉》（</w:t>
            </w:r>
            <w:r>
              <w:rPr>
                <w:rFonts w:hint="default" w:ascii="Times New Roman" w:hAnsi="Times New Roman" w:eastAsia="宋体" w:cs="Times New Roman"/>
                <w:color w:val="000000"/>
                <w:kern w:val="0"/>
                <w:sz w:val="24"/>
                <w:szCs w:val="24"/>
                <w:lang w:val="en-US" w:eastAsia="zh-CN" w:bidi="ar"/>
              </w:rPr>
              <w:t>HJ953-2018</w:t>
            </w:r>
            <w:r>
              <w:rPr>
                <w:rFonts w:hint="eastAsia" w:ascii="宋体" w:hAnsi="宋体" w:eastAsia="宋体" w:cs="宋体"/>
                <w:color w:val="000000"/>
                <w:kern w:val="0"/>
                <w:sz w:val="24"/>
                <w:szCs w:val="24"/>
                <w:lang w:val="en-US" w:eastAsia="zh-CN" w:bidi="ar"/>
              </w:rPr>
              <w:t>）中的可行技术。</w:t>
            </w:r>
          </w:p>
          <w:p>
            <w:pPr>
              <w:spacing w:line="440" w:lineRule="exact"/>
              <w:ind w:firstLine="0" w:firstLineChars="0"/>
              <w:jc w:val="left"/>
              <w:rPr>
                <w:b/>
                <w:bCs/>
              </w:rPr>
            </w:pPr>
            <w:r>
              <w:rPr>
                <w:b/>
                <w:bCs/>
              </w:rPr>
              <w:t>4.2.2废水</w:t>
            </w:r>
          </w:p>
          <w:p>
            <w:pPr>
              <w:ind w:left="0" w:leftChars="0" w:firstLine="0" w:firstLineChars="0"/>
              <w:rPr>
                <w:b/>
                <w:bCs/>
              </w:rPr>
            </w:pPr>
            <w:r>
              <w:rPr>
                <w:rFonts w:hint="eastAsia"/>
                <w:b/>
                <w:bCs/>
                <w:lang w:val="en-US" w:eastAsia="zh-CN"/>
              </w:rPr>
              <w:t>4.2.2.1</w:t>
            </w:r>
            <w:r>
              <w:rPr>
                <w:rFonts w:hint="eastAsia"/>
                <w:b/>
                <w:bCs/>
              </w:rPr>
              <w:t>锅炉</w:t>
            </w:r>
            <w:r>
              <w:rPr>
                <w:rFonts w:hint="eastAsia"/>
                <w:b/>
                <w:bCs/>
                <w:lang w:val="en-US" w:eastAsia="zh-CN"/>
              </w:rPr>
              <w:t>废</w:t>
            </w:r>
            <w:r>
              <w:rPr>
                <w:rFonts w:hint="eastAsia"/>
                <w:b/>
                <w:bCs/>
              </w:rPr>
              <w:t>水</w:t>
            </w:r>
          </w:p>
          <w:p>
            <w:pPr>
              <w:autoSpaceDE w:val="0"/>
              <w:autoSpaceDN w:val="0"/>
              <w:ind w:firstLine="480"/>
              <w:rPr>
                <w:rFonts w:hint="eastAsia"/>
              </w:rPr>
            </w:pPr>
            <w:r>
              <w:rPr>
                <w:rFonts w:hint="eastAsia"/>
              </w:rPr>
              <w:t>本项目</w:t>
            </w:r>
            <w:r>
              <w:rPr>
                <w:rFonts w:hint="eastAsia"/>
                <w:lang w:val="en-US" w:eastAsia="zh-CN"/>
              </w:rPr>
              <w:t>产生的废水主要包括</w:t>
            </w:r>
            <w:r>
              <w:t>锅炉</w:t>
            </w:r>
            <w:r>
              <w:rPr>
                <w:rFonts w:hint="eastAsia"/>
                <w:lang w:val="en-US" w:eastAsia="zh-CN"/>
              </w:rPr>
              <w:t>废水和软化水装置产生的浓水</w:t>
            </w:r>
            <w:r>
              <w:rPr>
                <w:rFonts w:hint="eastAsia"/>
              </w:rPr>
              <w:t>，</w:t>
            </w:r>
            <w:r>
              <w:rPr>
                <w:rFonts w:hint="eastAsia"/>
                <w:kern w:val="0"/>
                <w:szCs w:val="21"/>
              </w:rPr>
              <w:t>排入园区污水管网，进入园区污水处理厂处置</w:t>
            </w:r>
            <w:r>
              <w:rPr>
                <w:rFonts w:hint="eastAsia"/>
              </w:rPr>
              <w:t>。</w:t>
            </w:r>
          </w:p>
          <w:p>
            <w:pPr>
              <w:autoSpaceDE w:val="0"/>
              <w:autoSpaceDN w:val="0"/>
              <w:ind w:firstLine="480"/>
              <w:rPr>
                <w:rFonts w:hint="eastAsia"/>
                <w:color w:val="auto"/>
                <w:highlight w:val="none"/>
                <w:lang w:val="en-US" w:eastAsia="zh-CN"/>
              </w:rPr>
            </w:pPr>
            <w:r>
              <w:rPr>
                <w:rFonts w:hint="eastAsia"/>
              </w:rPr>
              <w:t>本项目</w:t>
            </w:r>
            <w:r>
              <w:rPr>
                <w:rFonts w:hint="eastAsia"/>
                <w:lang w:val="en-US" w:eastAsia="zh-CN"/>
              </w:rPr>
              <w:t>建设1</w:t>
            </w:r>
            <w:r>
              <w:rPr>
                <w:rFonts w:hint="eastAsia"/>
              </w:rPr>
              <w:t>台6</w:t>
            </w:r>
            <w:r>
              <w:rPr>
                <w:rFonts w:hint="eastAsia" w:ascii="Times New Roman" w:hAnsi="Times New Roman" w:eastAsia="宋体" w:cs="Times New Roman"/>
                <w:color w:val="000000"/>
                <w:kern w:val="0"/>
                <w:sz w:val="24"/>
                <w:szCs w:val="24"/>
                <w:lang w:val="en-US" w:eastAsia="zh-CN" w:bidi="ar"/>
              </w:rPr>
              <w:t>t/h</w:t>
            </w:r>
            <w:r>
              <w:rPr>
                <w:rFonts w:hint="eastAsia"/>
                <w:lang w:val="en-US" w:eastAsia="zh-CN"/>
              </w:rPr>
              <w:t>燃气常压热水</w:t>
            </w:r>
            <w:r>
              <w:rPr>
                <w:rFonts w:hint="eastAsia"/>
              </w:rPr>
              <w:t>锅炉</w:t>
            </w:r>
            <w:r>
              <w:rPr>
                <w:rFonts w:hint="eastAsia"/>
                <w:lang w:eastAsia="zh-CN"/>
              </w:rPr>
              <w:t>，</w:t>
            </w:r>
            <w:r>
              <w:rPr>
                <w:rFonts w:hint="eastAsia"/>
                <w:lang w:val="en-US" w:eastAsia="zh-CN"/>
              </w:rPr>
              <w:t>按照</w:t>
            </w:r>
            <w:r>
              <w:rPr>
                <w:rFonts w:hint="eastAsia"/>
              </w:rPr>
              <w:t>锅炉</w:t>
            </w:r>
            <w:r>
              <w:rPr>
                <w:rFonts w:hint="eastAsia"/>
                <w:lang w:eastAsia="zh-CN"/>
              </w:rPr>
              <w:t>满负荷运行</w:t>
            </w:r>
            <w:r>
              <w:rPr>
                <w:rFonts w:hint="eastAsia"/>
                <w:lang w:val="en-US" w:eastAsia="zh-CN"/>
              </w:rPr>
              <w:t>计算耗水量</w:t>
            </w:r>
            <w:r>
              <w:rPr>
                <w:rFonts w:hint="eastAsia"/>
              </w:rPr>
              <w:t>。</w:t>
            </w:r>
            <w:r>
              <w:rPr>
                <w:rFonts w:hint="eastAsia"/>
                <w:lang w:val="en-US" w:eastAsia="zh-CN"/>
              </w:rPr>
              <w:t>根据业主提供资料，锅炉循环水量约</w:t>
            </w:r>
            <w:r>
              <w:rPr>
                <w:rFonts w:hint="eastAsia"/>
                <w:highlight w:val="none"/>
                <w:lang w:val="en-US" w:eastAsia="zh-CN"/>
              </w:rPr>
              <w:t>为50m</w:t>
            </w:r>
            <w:r>
              <w:rPr>
                <w:rFonts w:hint="eastAsia"/>
                <w:highlight w:val="none"/>
                <w:vertAlign w:val="superscript"/>
                <w:lang w:val="en-US" w:eastAsia="zh-CN"/>
              </w:rPr>
              <w:t>3</w:t>
            </w:r>
            <w:r>
              <w:rPr>
                <w:rFonts w:hint="eastAsia"/>
                <w:highlight w:val="none"/>
                <w:vertAlign w:val="baseline"/>
                <w:lang w:val="en-US" w:eastAsia="zh-CN"/>
              </w:rPr>
              <w:t>，补充蒸发损耗水量约为20</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/d，2400</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/a；</w:t>
            </w:r>
            <w:r>
              <w:rPr>
                <w:rFonts w:hint="eastAsia" w:ascii="宋体" w:hAnsi="宋体" w:eastAsia="宋体" w:cs="宋体"/>
                <w:snapToGrid w:val="0"/>
                <w:color w:val="000000"/>
                <w:kern w:val="0"/>
                <w:sz w:val="24"/>
                <w:szCs w:val="24"/>
                <w:highlight w:val="none"/>
                <w:lang w:val="en-US" w:eastAsia="zh-CN" w:bidi="ar"/>
              </w:rPr>
              <w:t>纯水制备效率</w:t>
            </w:r>
            <w:r>
              <w:rPr>
                <w:rFonts w:hint="eastAsia" w:ascii="宋体" w:hAnsi="宋体" w:cs="宋体"/>
                <w:snapToGrid w:val="0"/>
                <w:color w:val="000000"/>
                <w:kern w:val="0"/>
                <w:sz w:val="24"/>
                <w:szCs w:val="24"/>
                <w:highlight w:val="none"/>
                <w:lang w:val="en-US" w:eastAsia="zh-CN" w:bidi="ar"/>
              </w:rPr>
              <w:t>约</w:t>
            </w:r>
            <w:r>
              <w:rPr>
                <w:rFonts w:hint="eastAsia" w:ascii="宋体" w:hAnsi="宋体" w:eastAsia="宋体" w:cs="宋体"/>
                <w:snapToGrid w:val="0"/>
                <w:color w:val="000000"/>
                <w:kern w:val="0"/>
                <w:sz w:val="24"/>
                <w:szCs w:val="24"/>
                <w:highlight w:val="none"/>
                <w:lang w:val="en-US" w:eastAsia="zh-CN" w:bidi="ar"/>
              </w:rPr>
              <w:t>为</w:t>
            </w:r>
            <w:r>
              <w:rPr>
                <w:rFonts w:hint="eastAsia" w:cs="Times New Roman"/>
                <w:snapToGrid w:val="0"/>
                <w:color w:val="000000"/>
                <w:kern w:val="0"/>
                <w:sz w:val="24"/>
                <w:szCs w:val="24"/>
                <w:highlight w:val="none"/>
                <w:lang w:val="en-US" w:eastAsia="zh-CN" w:bidi="ar"/>
              </w:rPr>
              <w:t>80</w:t>
            </w:r>
            <w:r>
              <w:rPr>
                <w:rFonts w:hint="default" w:ascii="Times New Roman" w:hAnsi="Times New Roman" w:eastAsia="宋体" w:cs="Times New Roman"/>
                <w:snapToGrid w:val="0"/>
                <w:color w:val="000000"/>
                <w:kern w:val="0"/>
                <w:sz w:val="24"/>
                <w:szCs w:val="24"/>
                <w:highlight w:val="none"/>
                <w:lang w:val="en-US" w:eastAsia="zh-CN" w:bidi="ar"/>
              </w:rPr>
              <w:t>%</w:t>
            </w:r>
            <w:r>
              <w:rPr>
                <w:rFonts w:hint="eastAsia" w:cs="Times New Roman"/>
                <w:snapToGrid w:val="0"/>
                <w:color w:val="000000"/>
                <w:kern w:val="0"/>
                <w:sz w:val="24"/>
                <w:szCs w:val="24"/>
                <w:highlight w:val="none"/>
                <w:lang w:val="en-US" w:eastAsia="zh-CN" w:bidi="ar"/>
              </w:rPr>
              <w:t>，则需要新鲜水约42</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w:t>
            </w:r>
            <w:r>
              <w:rPr>
                <w:rFonts w:hint="eastAsia" w:cs="Times New Roman"/>
                <w:snapToGrid w:val="0"/>
                <w:color w:val="000000"/>
                <w:kern w:val="0"/>
                <w:sz w:val="24"/>
                <w:szCs w:val="24"/>
                <w:highlight w:val="none"/>
                <w:lang w:val="en-US" w:eastAsia="zh-CN" w:bidi="ar"/>
              </w:rPr>
              <w:t>5042</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/a</w:t>
            </w:r>
            <w:r>
              <w:rPr>
                <w:rFonts w:hint="eastAsia" w:cs="Times New Roman"/>
                <w:snapToGrid w:val="0"/>
                <w:color w:val="000000"/>
                <w:kern w:val="0"/>
                <w:sz w:val="24"/>
                <w:szCs w:val="24"/>
                <w:highlight w:val="none"/>
                <w:lang w:val="en-US" w:eastAsia="zh-CN" w:bidi="ar"/>
              </w:rPr>
              <w:t>；产生浓水8.4</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/d，1008</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/a</w:t>
            </w:r>
            <w:r>
              <w:rPr>
                <w:rFonts w:hint="eastAsia" w:cs="Times New Roman"/>
                <w:snapToGrid w:val="0"/>
                <w:color w:val="000000"/>
                <w:kern w:val="0"/>
                <w:sz w:val="24"/>
                <w:szCs w:val="24"/>
                <w:highlight w:val="none"/>
                <w:lang w:val="en-US" w:eastAsia="zh-CN" w:bidi="ar"/>
              </w:rPr>
              <w:t>；</w:t>
            </w:r>
            <w:r>
              <w:rPr>
                <w:rFonts w:hint="eastAsia"/>
                <w:highlight w:val="none"/>
                <w:vertAlign w:val="baseline"/>
                <w:lang w:val="en-US" w:eastAsia="zh-CN"/>
              </w:rPr>
              <w:t>本项目采用软化水补水，</w:t>
            </w:r>
            <w:r>
              <w:rPr>
                <w:rFonts w:hint="eastAsia"/>
                <w:lang w:val="en-US" w:eastAsia="zh-CN"/>
              </w:rPr>
              <w:t>锅炉排污水量为0.55</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/h，则</w:t>
            </w:r>
            <w:r>
              <w:rPr>
                <w:rFonts w:hint="eastAsia"/>
                <w:lang w:val="en-US" w:eastAsia="zh-CN"/>
              </w:rPr>
              <w:t>锅炉排污水量为</w:t>
            </w:r>
            <w:r>
              <w:rPr>
                <w:rFonts w:hint="eastAsia" w:cs="Times New Roman"/>
                <w:snapToGrid w:val="0"/>
                <w:color w:val="000000"/>
                <w:kern w:val="0"/>
                <w:sz w:val="24"/>
                <w:szCs w:val="24"/>
                <w:highlight w:val="none"/>
                <w:lang w:val="en-US" w:eastAsia="zh-CN" w:bidi="ar"/>
              </w:rPr>
              <w:t>13.2</w:t>
            </w:r>
            <w:r>
              <w:rPr>
                <w:rFonts w:hint="eastAsia"/>
                <w:highlight w:val="none"/>
                <w:lang w:val="en-US" w:eastAsia="zh-CN"/>
              </w:rPr>
              <w:t>m</w:t>
            </w:r>
            <w:r>
              <w:rPr>
                <w:rFonts w:hint="eastAsia"/>
                <w:highlight w:val="none"/>
                <w:vertAlign w:val="superscript"/>
                <w:lang w:val="en-US" w:eastAsia="zh-CN"/>
              </w:rPr>
              <w:t>3</w:t>
            </w:r>
            <w:r>
              <w:rPr>
                <w:rFonts w:hint="eastAsia"/>
                <w:highlight w:val="none"/>
                <w:vertAlign w:val="baseline"/>
                <w:lang w:val="en-US" w:eastAsia="zh-CN"/>
              </w:rPr>
              <w:t>/d，</w:t>
            </w:r>
            <w:r>
              <w:rPr>
                <w:rFonts w:hint="eastAsia"/>
                <w:lang w:val="en-US" w:eastAsia="zh-CN"/>
              </w:rPr>
              <w:t>1584</w:t>
            </w:r>
            <w:r>
              <w:rPr>
                <w:rFonts w:hint="eastAsia"/>
              </w:rPr>
              <w:t>m</w:t>
            </w:r>
            <w:r>
              <w:rPr>
                <w:rFonts w:hint="eastAsia"/>
                <w:vertAlign w:val="superscript"/>
              </w:rPr>
              <w:t>3</w:t>
            </w:r>
            <w:r>
              <w:rPr>
                <w:rFonts w:hint="eastAsia"/>
              </w:rPr>
              <w:t>/a</w:t>
            </w:r>
            <w:r>
              <w:rPr>
                <w:rFonts w:hint="eastAsia"/>
                <w:highlight w:val="none"/>
                <w:vertAlign w:val="baseline"/>
                <w:lang w:val="en-US" w:eastAsia="zh-CN"/>
              </w:rPr>
              <w:t>。</w:t>
            </w:r>
          </w:p>
          <w:p>
            <w:pPr>
              <w:autoSpaceDE w:val="0"/>
              <w:autoSpaceDN w:val="0"/>
              <w:ind w:firstLine="480"/>
              <w:rPr>
                <w:rFonts w:hint="default"/>
                <w:color w:val="auto"/>
                <w:highlight w:val="none"/>
                <w:lang w:val="en-US" w:eastAsia="zh-CN"/>
              </w:rPr>
            </w:pPr>
            <w:r>
              <w:rPr>
                <w:rFonts w:hint="eastAsia"/>
                <w:color w:val="auto"/>
                <w:highlight w:val="none"/>
                <w:lang w:val="en-US" w:eastAsia="zh-CN"/>
              </w:rPr>
              <w:t>根据工业源产排</w:t>
            </w:r>
            <w:r>
              <w:rPr>
                <w:rFonts w:hint="eastAsia"/>
                <w:lang w:val="en-US" w:eastAsia="zh-CN"/>
              </w:rPr>
              <w:t>污核算方法和系数手册——</w:t>
            </w:r>
            <w:r>
              <w:rPr>
                <w:rFonts w:hint="default"/>
                <w:lang w:val="en-US" w:eastAsia="zh-CN"/>
              </w:rPr>
              <w:t>4430</w:t>
            </w:r>
            <w:r>
              <w:rPr>
                <w:rFonts w:hint="eastAsia"/>
                <w:lang w:val="en-US" w:eastAsia="zh-CN"/>
              </w:rPr>
              <w:t>工业锅炉（热力供应）行业系数手册，化学需氧量产污系数为1080g/万立方米-原料（天然气），本项目锅炉满负荷运行，天然气消耗量约136.3</w:t>
            </w:r>
            <w:r>
              <w:rPr>
                <w:rFonts w:hint="eastAsia"/>
              </w:rPr>
              <w:t>万m</w:t>
            </w:r>
            <w:r>
              <w:rPr>
                <w:rFonts w:hint="eastAsia"/>
                <w:vertAlign w:val="superscript"/>
              </w:rPr>
              <w:t>3</w:t>
            </w:r>
            <w:r>
              <w:rPr>
                <w:rFonts w:hint="eastAsia"/>
              </w:rPr>
              <w:t>/a</w:t>
            </w:r>
            <w:r>
              <w:rPr>
                <w:rFonts w:hint="eastAsia"/>
                <w:lang w:eastAsia="zh-CN"/>
              </w:rPr>
              <w:t>，</w:t>
            </w:r>
            <w:r>
              <w:rPr>
                <w:rFonts w:hint="eastAsia"/>
                <w:lang w:val="en-US" w:eastAsia="zh-CN"/>
              </w:rPr>
              <w:t>化学需氧量产生量0.1472t</w:t>
            </w:r>
            <w:r>
              <w:rPr>
                <w:rFonts w:hint="eastAsia"/>
              </w:rPr>
              <w:t>/a</w:t>
            </w:r>
            <w:r>
              <w:rPr>
                <w:rFonts w:hint="eastAsia"/>
                <w:lang w:eastAsia="zh-CN"/>
              </w:rPr>
              <w:t>，</w:t>
            </w:r>
            <w:r>
              <w:rPr>
                <w:rFonts w:hint="eastAsia"/>
                <w:lang w:val="en-US" w:eastAsia="zh-CN"/>
              </w:rPr>
              <w:t>产生浓度为56.8mg/L</w:t>
            </w:r>
            <w:r>
              <w:rPr>
                <w:rFonts w:hint="eastAsia"/>
                <w:color w:val="auto"/>
                <w:highlight w:val="none"/>
                <w:lang w:val="en-US" w:eastAsia="zh-CN"/>
              </w:rPr>
              <w:t>。</w:t>
            </w:r>
          </w:p>
          <w:p>
            <w:pPr>
              <w:autoSpaceDE w:val="0"/>
              <w:autoSpaceDN w:val="0"/>
              <w:ind w:left="0" w:leftChars="0" w:firstLine="0" w:firstLineChars="0"/>
              <w:rPr>
                <w:rFonts w:hint="eastAsia"/>
                <w:b/>
                <w:bCs/>
              </w:rPr>
            </w:pPr>
            <w:r>
              <w:rPr>
                <w:rFonts w:hint="eastAsia"/>
                <w:b/>
                <w:bCs/>
                <w:lang w:val="en-US" w:eastAsia="zh-CN"/>
              </w:rPr>
              <w:t>4.2.2.2依托污水处理厂可行性分析</w:t>
            </w:r>
          </w:p>
          <w:p>
            <w:pPr>
              <w:ind w:firstLine="480"/>
              <w:rPr>
                <w:rFonts w:hint="eastAsia"/>
                <w:lang w:val="en-US" w:eastAsia="zh-CN"/>
              </w:rPr>
            </w:pPr>
            <w:r>
              <w:rPr>
                <w:rFonts w:hint="eastAsia" w:ascii="Times New Roman" w:hAnsi="Times New Roman" w:cs="Times New Roman"/>
              </w:rPr>
              <w:t>本项目位于</w:t>
            </w:r>
            <w:bookmarkStart w:id="12" w:name="OLE_LINK102"/>
            <w:r>
              <w:rPr>
                <w:rFonts w:hint="eastAsia" w:ascii="Times New Roman" w:hAnsi="Times New Roman" w:cs="Times New Roman"/>
              </w:rPr>
              <w:t>轮台工业园区（</w:t>
            </w:r>
            <w:r>
              <w:rPr>
                <w:rFonts w:hint="eastAsia"/>
              </w:rPr>
              <w:t>红桥石油服务区</w:t>
            </w:r>
            <w:r>
              <w:rPr>
                <w:rFonts w:hint="eastAsia" w:ascii="Times New Roman" w:hAnsi="Times New Roman" w:cs="Times New Roman"/>
              </w:rPr>
              <w:t>）</w:t>
            </w:r>
            <w:bookmarkEnd w:id="12"/>
            <w:r>
              <w:rPr>
                <w:rFonts w:hint="eastAsia" w:ascii="Times New Roman" w:hAnsi="Times New Roman" w:cs="Times New Roman"/>
                <w:lang w:eastAsia="zh-CN"/>
              </w:rPr>
              <w:t>，</w:t>
            </w:r>
            <w:r>
              <w:rPr>
                <w:rFonts w:hint="eastAsia"/>
                <w:lang w:val="en-US" w:eastAsia="zh-CN"/>
              </w:rPr>
              <w:t>产生废水</w:t>
            </w:r>
            <w:r>
              <w:rPr>
                <w:rFonts w:hint="eastAsia"/>
                <w:kern w:val="0"/>
                <w:szCs w:val="21"/>
              </w:rPr>
              <w:t>排入园区污水管网，进入园区污水处理厂处置</w:t>
            </w:r>
            <w:r>
              <w:rPr>
                <w:rFonts w:hint="eastAsia"/>
                <w:lang w:val="en-US" w:eastAsia="zh-CN"/>
              </w:rPr>
              <w:t>。</w:t>
            </w:r>
          </w:p>
          <w:p>
            <w:pPr>
              <w:ind w:firstLine="480"/>
            </w:pPr>
            <w:r>
              <w:rPr>
                <w:rFonts w:hint="eastAsia"/>
              </w:rPr>
              <w:t>根据《巴州轮台工业园区红桥石油服务区标准化厂房及配套基础设施建设项目（三期初步设计）》的批复，红桥石油服务区新建污水处理厂1座，近期设计规模0.5万m</w:t>
            </w:r>
            <w:r>
              <w:rPr>
                <w:rFonts w:hint="eastAsia"/>
                <w:vertAlign w:val="superscript"/>
              </w:rPr>
              <w:t>3</w:t>
            </w:r>
            <w:r>
              <w:rPr>
                <w:rFonts w:hint="eastAsia"/>
              </w:rPr>
              <w:t>/d，远期设计规模1.0万m</w:t>
            </w:r>
            <w:r>
              <w:rPr>
                <w:rFonts w:hint="eastAsia"/>
                <w:vertAlign w:val="superscript"/>
              </w:rPr>
              <w:t>3</w:t>
            </w:r>
            <w:r>
              <w:rPr>
                <w:rFonts w:hint="eastAsia"/>
              </w:rPr>
              <w:t>/d，厂区预留远期发展用地。核心工艺“粗细格栅+沉砂池+事故/调节池+气浮池+水解池(预留)+A2/O+二沉池+高效沉淀池+纤维转盘滤池+氧化+次氯酸钠消毒”工艺，出水水质达到一级A标准。</w:t>
            </w:r>
          </w:p>
          <w:p>
            <w:pPr>
              <w:bidi w:val="0"/>
            </w:pPr>
            <w:r>
              <w:rPr>
                <w:rFonts w:hint="eastAsia" w:ascii="Times New Roman" w:hAnsi="Times New Roman" w:cs="Times New Roman"/>
                <w:color w:val="000000" w:themeColor="text1"/>
                <w14:textFill>
                  <w14:solidFill>
                    <w14:schemeClr w14:val="tx1"/>
                  </w14:solidFill>
                </w14:textFill>
              </w:rPr>
              <w:t>目前该污水处理厂已于2024年9月建设完成，现正处于调试阶段，尚未完成工程环保验收工作</w:t>
            </w:r>
            <w:r>
              <w:rPr>
                <w:rFonts w:hint="eastAsia"/>
                <w:lang w:val="en-US" w:eastAsia="zh-CN"/>
              </w:rPr>
              <w:t>。本项目废水排放量较小，并且园区污水处理厂的收水范围包含本项目区，能够接纳本项目废水</w:t>
            </w:r>
            <w:r>
              <w:rPr>
                <w:rFonts w:hint="eastAsia"/>
              </w:rPr>
              <w:t>。</w:t>
            </w:r>
          </w:p>
          <w:p>
            <w:pPr>
              <w:spacing w:line="440" w:lineRule="exact"/>
              <w:ind w:firstLine="0" w:firstLineChars="0"/>
              <w:jc w:val="left"/>
              <w:rPr>
                <w:b/>
                <w:bCs/>
              </w:rPr>
            </w:pPr>
            <w:r>
              <w:rPr>
                <w:rFonts w:hint="eastAsia"/>
                <w:b/>
                <w:bCs/>
              </w:rPr>
              <w:t>4</w:t>
            </w:r>
            <w:r>
              <w:rPr>
                <w:b/>
                <w:bCs/>
              </w:rPr>
              <w:t>.2.</w:t>
            </w:r>
            <w:r>
              <w:rPr>
                <w:rFonts w:hint="eastAsia"/>
                <w:b/>
                <w:bCs/>
              </w:rPr>
              <w:t>3噪声</w:t>
            </w:r>
            <w:r>
              <w:rPr>
                <w:rFonts w:hint="eastAsia"/>
                <w:b/>
                <w:bCs/>
                <w:lang w:val="en-US" w:eastAsia="zh-CN"/>
              </w:rPr>
              <w:t>环</w:t>
            </w:r>
            <w:r>
              <w:rPr>
                <w:rFonts w:hint="eastAsia"/>
                <w:b/>
                <w:bCs/>
              </w:rPr>
              <w:t>境影响与评价</w:t>
            </w:r>
          </w:p>
          <w:p>
            <w:pPr>
              <w:pStyle w:val="5"/>
            </w:pPr>
            <w:r>
              <w:rPr>
                <w:rFonts w:hint="eastAsia"/>
                <w:lang w:val="en-US" w:eastAsia="zh-CN"/>
              </w:rPr>
              <w:t>4.2.3.1</w:t>
            </w:r>
            <w:r>
              <w:rPr>
                <w:rFonts w:hint="eastAsia"/>
              </w:rPr>
              <w:t>噪声源强</w:t>
            </w:r>
          </w:p>
          <w:p>
            <w:pPr>
              <w:pStyle w:val="11"/>
              <w:ind w:firstLine="480" w:firstLineChars="200"/>
              <w:jc w:val="both"/>
              <w:rPr>
                <w:rFonts w:hint="eastAsia"/>
                <w:lang w:eastAsia="zh-CN"/>
              </w:rPr>
            </w:pPr>
            <w:r>
              <w:rPr>
                <w:rFonts w:hint="eastAsia"/>
              </w:rPr>
              <w:t>营运期噪声主要来自</w:t>
            </w:r>
            <w:r>
              <w:rPr>
                <w:rFonts w:hint="eastAsia"/>
                <w:lang w:val="en-US" w:eastAsia="zh-CN"/>
              </w:rPr>
              <w:t>锅炉主机和循环泵</w:t>
            </w:r>
            <w:r>
              <w:rPr>
                <w:rFonts w:hint="eastAsia"/>
              </w:rPr>
              <w:t>。本次源强分析参照《污染源源强核算技术指南 锅炉》（HJ119-2018）附录D</w:t>
            </w:r>
            <w:r>
              <w:rPr>
                <w:rFonts w:hint="eastAsia"/>
                <w:lang w:eastAsia="zh-CN"/>
              </w:rPr>
              <w:t>“</w:t>
            </w:r>
            <w:r>
              <w:rPr>
                <w:rFonts w:hint="eastAsia"/>
              </w:rPr>
              <w:t>锅炉相关设备噪声源强参考值</w:t>
            </w:r>
            <w:r>
              <w:rPr>
                <w:rFonts w:hint="eastAsia"/>
                <w:lang w:eastAsia="zh-CN"/>
              </w:rPr>
              <w:t>”。</w:t>
            </w:r>
          </w:p>
          <w:p>
            <w:pPr>
              <w:pStyle w:val="34"/>
              <w:bidi w:val="0"/>
              <w:rPr>
                <w:lang w:val="en-US" w:eastAsia="zh-CN"/>
              </w:rPr>
            </w:pPr>
            <w:r>
              <w:rPr>
                <w:lang w:val="en-US" w:eastAsia="zh-CN"/>
              </w:rPr>
              <w:t>表</w:t>
            </w:r>
            <w:r>
              <w:rPr>
                <w:rFonts w:hint="eastAsia"/>
                <w:lang w:val="en-US" w:eastAsia="zh-CN"/>
              </w:rPr>
              <w:t xml:space="preserve">4-4  </w:t>
            </w:r>
            <w:r>
              <w:rPr>
                <w:lang w:val="en-US" w:eastAsia="zh-CN"/>
              </w:rPr>
              <w:t>工业企业噪声源强调查清单（室内声源）</w:t>
            </w:r>
          </w:p>
          <w:tbl>
            <w:tblPr>
              <w:tblStyle w:val="21"/>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366"/>
              <w:gridCol w:w="367"/>
              <w:gridCol w:w="317"/>
              <w:gridCol w:w="316"/>
              <w:gridCol w:w="350"/>
              <w:gridCol w:w="284"/>
              <w:gridCol w:w="283"/>
              <w:gridCol w:w="317"/>
              <w:gridCol w:w="316"/>
              <w:gridCol w:w="367"/>
              <w:gridCol w:w="350"/>
              <w:gridCol w:w="433"/>
              <w:gridCol w:w="400"/>
              <w:gridCol w:w="417"/>
              <w:gridCol w:w="417"/>
              <w:gridCol w:w="416"/>
              <w:gridCol w:w="384"/>
              <w:gridCol w:w="383"/>
              <w:gridCol w:w="383"/>
              <w:gridCol w:w="400"/>
              <w:gridCol w:w="384"/>
              <w:gridCol w:w="383"/>
              <w:gridCol w:w="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2" w:hRule="exact"/>
                <w:jc w:val="center"/>
              </w:trPr>
              <w:tc>
                <w:tcPr>
                  <w:tcW w:w="380" w:type="dxa"/>
                  <w:vMerge w:val="restart"/>
                  <w:vAlign w:val="center"/>
                </w:tcPr>
                <w:p>
                  <w:pPr>
                    <w:pStyle w:val="33"/>
                    <w:bidi w:val="0"/>
                  </w:pPr>
                  <w:bookmarkStart w:id="13" w:name="PT_6"/>
                  <w:r>
                    <w:t>声源名称</w:t>
                  </w:r>
                </w:p>
              </w:tc>
              <w:tc>
                <w:tcPr>
                  <w:tcW w:w="366" w:type="dxa"/>
                  <w:vAlign w:val="center"/>
                </w:tcPr>
                <w:p>
                  <w:pPr>
                    <w:pStyle w:val="33"/>
                    <w:bidi w:val="0"/>
                    <w:rPr>
                      <w:lang w:eastAsia="zh-CN"/>
                    </w:rPr>
                  </w:pPr>
                  <w:r>
                    <w:rPr>
                      <w:lang w:eastAsia="zh-CN"/>
                    </w:rPr>
                    <w:t>声源源强</w:t>
                  </w:r>
                </w:p>
              </w:tc>
              <w:tc>
                <w:tcPr>
                  <w:tcW w:w="367" w:type="dxa"/>
                  <w:vMerge w:val="restart"/>
                  <w:vAlign w:val="center"/>
                </w:tcPr>
                <w:p>
                  <w:pPr>
                    <w:pStyle w:val="33"/>
                    <w:bidi w:val="0"/>
                  </w:pPr>
                  <w:r>
                    <w:t>声源控制措施</w:t>
                  </w:r>
                </w:p>
              </w:tc>
              <w:tc>
                <w:tcPr>
                  <w:tcW w:w="983" w:type="dxa"/>
                  <w:gridSpan w:val="3"/>
                  <w:vAlign w:val="center"/>
                </w:tcPr>
                <w:p>
                  <w:pPr>
                    <w:pStyle w:val="33"/>
                    <w:bidi w:val="0"/>
                  </w:pPr>
                  <w:r>
                    <w:t>空间相对位置/m</w:t>
                  </w:r>
                </w:p>
              </w:tc>
              <w:tc>
                <w:tcPr>
                  <w:tcW w:w="1200" w:type="dxa"/>
                  <w:gridSpan w:val="4"/>
                  <w:vAlign w:val="center"/>
                </w:tcPr>
                <w:p>
                  <w:pPr>
                    <w:pStyle w:val="33"/>
                    <w:bidi w:val="0"/>
                  </w:pPr>
                  <w:r>
                    <w:t>距室内边界距离/m</w:t>
                  </w:r>
                </w:p>
              </w:tc>
              <w:tc>
                <w:tcPr>
                  <w:tcW w:w="1550" w:type="dxa"/>
                  <w:gridSpan w:val="4"/>
                  <w:vAlign w:val="center"/>
                </w:tcPr>
                <w:p>
                  <w:pPr>
                    <w:pStyle w:val="33"/>
                    <w:bidi w:val="0"/>
                  </w:pPr>
                  <w:r>
                    <w:t>室内边界声级/dB(A)</w:t>
                  </w:r>
                </w:p>
              </w:tc>
              <w:tc>
                <w:tcPr>
                  <w:tcW w:w="417" w:type="dxa"/>
                  <w:vMerge w:val="restart"/>
                  <w:vAlign w:val="center"/>
                </w:tcPr>
                <w:p>
                  <w:pPr>
                    <w:pStyle w:val="33"/>
                    <w:bidi w:val="0"/>
                  </w:pPr>
                  <w:r>
                    <w:t>运行时段</w:t>
                  </w:r>
                </w:p>
              </w:tc>
              <w:tc>
                <w:tcPr>
                  <w:tcW w:w="1600" w:type="dxa"/>
                  <w:gridSpan w:val="4"/>
                  <w:vAlign w:val="center"/>
                </w:tcPr>
                <w:p>
                  <w:pPr>
                    <w:pStyle w:val="33"/>
                    <w:bidi w:val="0"/>
                  </w:pPr>
                  <w:r>
                    <w:t>建筑物插入损失 / dB(A)</w:t>
                  </w:r>
                  <w:bookmarkStart w:id="14" w:name="PT_10"/>
                  <w:bookmarkEnd w:id="14"/>
                </w:p>
              </w:tc>
              <w:tc>
                <w:tcPr>
                  <w:tcW w:w="1853" w:type="dxa"/>
                  <w:gridSpan w:val="5"/>
                  <w:vAlign w:val="center"/>
                </w:tcPr>
                <w:p>
                  <w:pPr>
                    <w:pStyle w:val="33"/>
                    <w:bidi w:val="0"/>
                  </w:pPr>
                  <w: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837" w:hRule="atLeast"/>
                <w:jc w:val="center"/>
              </w:trPr>
              <w:tc>
                <w:tcPr>
                  <w:tcW w:w="380" w:type="dxa"/>
                  <w:vMerge w:val="continue"/>
                  <w:shd w:val="clear" w:color="auto" w:fill="FFFFFF"/>
                  <w:tcMar>
                    <w:top w:w="0" w:type="dxa"/>
                    <w:left w:w="0" w:type="dxa"/>
                    <w:bottom w:w="0" w:type="dxa"/>
                    <w:right w:w="0" w:type="dxa"/>
                  </w:tcMar>
                  <w:vAlign w:val="center"/>
                </w:tcPr>
                <w:p>
                  <w:pPr>
                    <w:pStyle w:val="33"/>
                    <w:bidi w:val="0"/>
                  </w:pPr>
                </w:p>
              </w:tc>
              <w:tc>
                <w:tcPr>
                  <w:tcW w:w="366" w:type="dxa"/>
                  <w:shd w:val="clear" w:color="auto" w:fill="FFFFFF"/>
                  <w:tcMar>
                    <w:top w:w="0" w:type="dxa"/>
                    <w:left w:w="0" w:type="dxa"/>
                    <w:bottom w:w="0" w:type="dxa"/>
                    <w:right w:w="0" w:type="dxa"/>
                  </w:tcMar>
                  <w:vAlign w:val="center"/>
                </w:tcPr>
                <w:p>
                  <w:pPr>
                    <w:pStyle w:val="33"/>
                    <w:bidi w:val="0"/>
                  </w:pPr>
                  <w:r>
                    <w:t>声功率级/dB(A)</w:t>
                  </w:r>
                </w:p>
              </w:tc>
              <w:tc>
                <w:tcPr>
                  <w:tcW w:w="367" w:type="dxa"/>
                  <w:vMerge w:val="continue"/>
                  <w:shd w:val="clear" w:color="auto" w:fill="FFFFFF"/>
                  <w:tcMar>
                    <w:top w:w="0" w:type="dxa"/>
                    <w:left w:w="0" w:type="dxa"/>
                    <w:bottom w:w="0" w:type="dxa"/>
                    <w:right w:w="0" w:type="dxa"/>
                  </w:tcMar>
                  <w:vAlign w:val="center"/>
                </w:tcPr>
                <w:p>
                  <w:pPr>
                    <w:pStyle w:val="33"/>
                    <w:bidi w:val="0"/>
                  </w:pPr>
                </w:p>
              </w:tc>
              <w:tc>
                <w:tcPr>
                  <w:tcW w:w="317" w:type="dxa"/>
                  <w:shd w:val="clear" w:color="auto" w:fill="FFFFFF"/>
                  <w:tcMar>
                    <w:top w:w="0" w:type="dxa"/>
                    <w:left w:w="0" w:type="dxa"/>
                    <w:bottom w:w="0" w:type="dxa"/>
                    <w:right w:w="0" w:type="dxa"/>
                  </w:tcMar>
                  <w:vAlign w:val="center"/>
                </w:tcPr>
                <w:p>
                  <w:pPr>
                    <w:pStyle w:val="33"/>
                    <w:bidi w:val="0"/>
                  </w:pPr>
                  <w:r>
                    <w:t>X</w:t>
                  </w:r>
                </w:p>
              </w:tc>
              <w:tc>
                <w:tcPr>
                  <w:tcW w:w="316" w:type="dxa"/>
                  <w:shd w:val="clear" w:color="auto" w:fill="FFFFFF"/>
                  <w:tcMar>
                    <w:top w:w="0" w:type="dxa"/>
                    <w:left w:w="0" w:type="dxa"/>
                    <w:bottom w:w="0" w:type="dxa"/>
                    <w:right w:w="0" w:type="dxa"/>
                  </w:tcMar>
                  <w:vAlign w:val="center"/>
                </w:tcPr>
                <w:p>
                  <w:pPr>
                    <w:pStyle w:val="33"/>
                    <w:bidi w:val="0"/>
                  </w:pPr>
                  <w:r>
                    <w:t>Y</w:t>
                  </w:r>
                </w:p>
              </w:tc>
              <w:tc>
                <w:tcPr>
                  <w:tcW w:w="350" w:type="dxa"/>
                  <w:shd w:val="clear" w:color="auto" w:fill="FFFFFF"/>
                  <w:tcMar>
                    <w:top w:w="0" w:type="dxa"/>
                    <w:left w:w="0" w:type="dxa"/>
                    <w:bottom w:w="0" w:type="dxa"/>
                    <w:right w:w="0" w:type="dxa"/>
                  </w:tcMar>
                  <w:vAlign w:val="center"/>
                </w:tcPr>
                <w:p>
                  <w:pPr>
                    <w:pStyle w:val="33"/>
                    <w:bidi w:val="0"/>
                  </w:pPr>
                  <w:r>
                    <w:t>Z</w:t>
                  </w:r>
                </w:p>
              </w:tc>
              <w:tc>
                <w:tcPr>
                  <w:tcW w:w="284" w:type="dxa"/>
                  <w:shd w:val="clear" w:color="auto" w:fill="FFFFFF"/>
                  <w:tcMar>
                    <w:top w:w="0" w:type="dxa"/>
                    <w:left w:w="0" w:type="dxa"/>
                    <w:bottom w:w="0" w:type="dxa"/>
                    <w:right w:w="0" w:type="dxa"/>
                  </w:tcMar>
                  <w:vAlign w:val="center"/>
                </w:tcPr>
                <w:p>
                  <w:pPr>
                    <w:pStyle w:val="33"/>
                    <w:bidi w:val="0"/>
                  </w:pPr>
                  <w:r>
                    <w:rPr>
                      <w:rFonts w:hint="eastAsia"/>
                      <w:lang w:val="en-US" w:eastAsia="zh-CN"/>
                    </w:rPr>
                    <w:t>东</w:t>
                  </w:r>
                </w:p>
              </w:tc>
              <w:tc>
                <w:tcPr>
                  <w:tcW w:w="283" w:type="dxa"/>
                  <w:shd w:val="clear" w:color="auto" w:fill="FFFFFF"/>
                  <w:tcMar>
                    <w:top w:w="0" w:type="dxa"/>
                    <w:left w:w="0" w:type="dxa"/>
                    <w:bottom w:w="0" w:type="dxa"/>
                    <w:right w:w="0" w:type="dxa"/>
                  </w:tcMar>
                  <w:vAlign w:val="center"/>
                </w:tcPr>
                <w:p>
                  <w:pPr>
                    <w:pStyle w:val="33"/>
                    <w:bidi w:val="0"/>
                  </w:pPr>
                  <w:r>
                    <w:rPr>
                      <w:rFonts w:hint="eastAsia"/>
                      <w:lang w:val="en-US" w:eastAsia="zh-CN"/>
                    </w:rPr>
                    <w:t>南</w:t>
                  </w:r>
                </w:p>
              </w:tc>
              <w:tc>
                <w:tcPr>
                  <w:tcW w:w="317" w:type="dxa"/>
                  <w:shd w:val="clear" w:color="auto" w:fill="FFFFFF"/>
                  <w:tcMar>
                    <w:top w:w="0" w:type="dxa"/>
                    <w:left w:w="0" w:type="dxa"/>
                    <w:bottom w:w="0" w:type="dxa"/>
                    <w:right w:w="0" w:type="dxa"/>
                  </w:tcMar>
                  <w:vAlign w:val="center"/>
                </w:tcPr>
                <w:p>
                  <w:pPr>
                    <w:pStyle w:val="33"/>
                    <w:bidi w:val="0"/>
                  </w:pPr>
                  <w:r>
                    <w:rPr>
                      <w:rFonts w:hint="eastAsia"/>
                      <w:lang w:val="en-US" w:eastAsia="zh-CN"/>
                    </w:rPr>
                    <w:t>西</w:t>
                  </w:r>
                </w:p>
              </w:tc>
              <w:tc>
                <w:tcPr>
                  <w:tcW w:w="316" w:type="dxa"/>
                  <w:shd w:val="clear" w:color="auto" w:fill="FFFFFF"/>
                  <w:tcMar>
                    <w:top w:w="0" w:type="dxa"/>
                    <w:left w:w="0" w:type="dxa"/>
                    <w:bottom w:w="0" w:type="dxa"/>
                    <w:right w:w="0" w:type="dxa"/>
                  </w:tcMar>
                  <w:vAlign w:val="center"/>
                </w:tcPr>
                <w:p>
                  <w:pPr>
                    <w:pStyle w:val="33"/>
                    <w:bidi w:val="0"/>
                  </w:pPr>
                  <w:r>
                    <w:rPr>
                      <w:rFonts w:hint="eastAsia"/>
                      <w:lang w:val="en-US" w:eastAsia="zh-CN"/>
                    </w:rPr>
                    <w:t>北</w:t>
                  </w:r>
                </w:p>
              </w:tc>
              <w:tc>
                <w:tcPr>
                  <w:tcW w:w="367" w:type="dxa"/>
                  <w:shd w:val="clear" w:color="auto" w:fill="FFFFFF"/>
                  <w:tcMar>
                    <w:top w:w="0" w:type="dxa"/>
                    <w:left w:w="0" w:type="dxa"/>
                    <w:bottom w:w="0" w:type="dxa"/>
                    <w:right w:w="0" w:type="dxa"/>
                  </w:tcMar>
                  <w:vAlign w:val="center"/>
                </w:tcPr>
                <w:p>
                  <w:pPr>
                    <w:pStyle w:val="33"/>
                    <w:bidi w:val="0"/>
                  </w:pPr>
                  <w:r>
                    <w:rPr>
                      <w:rFonts w:hint="eastAsia"/>
                      <w:lang w:val="en-US" w:eastAsia="zh-CN"/>
                    </w:rPr>
                    <w:t>东</w:t>
                  </w:r>
                </w:p>
              </w:tc>
              <w:tc>
                <w:tcPr>
                  <w:tcW w:w="350" w:type="dxa"/>
                  <w:shd w:val="clear" w:color="auto" w:fill="FFFFFF"/>
                  <w:tcMar>
                    <w:top w:w="0" w:type="dxa"/>
                    <w:left w:w="0" w:type="dxa"/>
                    <w:bottom w:w="0" w:type="dxa"/>
                    <w:right w:w="0" w:type="dxa"/>
                  </w:tcMar>
                  <w:vAlign w:val="center"/>
                </w:tcPr>
                <w:p>
                  <w:pPr>
                    <w:pStyle w:val="33"/>
                    <w:bidi w:val="0"/>
                  </w:pPr>
                  <w:r>
                    <w:rPr>
                      <w:rFonts w:hint="eastAsia"/>
                      <w:lang w:val="en-US" w:eastAsia="zh-CN"/>
                    </w:rPr>
                    <w:t>南</w:t>
                  </w:r>
                </w:p>
              </w:tc>
              <w:tc>
                <w:tcPr>
                  <w:tcW w:w="433" w:type="dxa"/>
                  <w:shd w:val="clear" w:color="auto" w:fill="FFFFFF"/>
                  <w:tcMar>
                    <w:top w:w="0" w:type="dxa"/>
                    <w:left w:w="0" w:type="dxa"/>
                    <w:bottom w:w="0" w:type="dxa"/>
                    <w:right w:w="0" w:type="dxa"/>
                  </w:tcMar>
                  <w:vAlign w:val="center"/>
                </w:tcPr>
                <w:p>
                  <w:pPr>
                    <w:pStyle w:val="33"/>
                    <w:bidi w:val="0"/>
                  </w:pPr>
                  <w:r>
                    <w:rPr>
                      <w:rFonts w:hint="eastAsia"/>
                      <w:lang w:val="en-US" w:eastAsia="zh-CN"/>
                    </w:rPr>
                    <w:t>西</w:t>
                  </w:r>
                </w:p>
              </w:tc>
              <w:tc>
                <w:tcPr>
                  <w:tcW w:w="400" w:type="dxa"/>
                  <w:shd w:val="clear" w:color="auto" w:fill="FFFFFF"/>
                  <w:tcMar>
                    <w:top w:w="0" w:type="dxa"/>
                    <w:left w:w="0" w:type="dxa"/>
                    <w:bottom w:w="0" w:type="dxa"/>
                    <w:right w:w="0" w:type="dxa"/>
                  </w:tcMar>
                  <w:vAlign w:val="center"/>
                </w:tcPr>
                <w:p>
                  <w:pPr>
                    <w:pStyle w:val="33"/>
                    <w:bidi w:val="0"/>
                  </w:pPr>
                  <w:r>
                    <w:rPr>
                      <w:rFonts w:hint="eastAsia"/>
                      <w:lang w:val="en-US" w:eastAsia="zh-CN"/>
                    </w:rPr>
                    <w:t>北</w:t>
                  </w:r>
                </w:p>
              </w:tc>
              <w:tc>
                <w:tcPr>
                  <w:tcW w:w="417" w:type="dxa"/>
                  <w:vMerge w:val="continue"/>
                  <w:shd w:val="clear" w:color="auto" w:fill="FFFFFF"/>
                  <w:tcMar>
                    <w:top w:w="0" w:type="dxa"/>
                    <w:left w:w="0" w:type="dxa"/>
                    <w:bottom w:w="0" w:type="dxa"/>
                    <w:right w:w="0" w:type="dxa"/>
                  </w:tcMar>
                  <w:vAlign w:val="center"/>
                </w:tcPr>
                <w:p>
                  <w:pPr>
                    <w:pStyle w:val="33"/>
                    <w:bidi w:val="0"/>
                  </w:pPr>
                </w:p>
              </w:tc>
              <w:tc>
                <w:tcPr>
                  <w:tcW w:w="417" w:type="dxa"/>
                  <w:shd w:val="clear" w:color="auto" w:fill="FFFFFF"/>
                  <w:tcMar>
                    <w:top w:w="0" w:type="dxa"/>
                    <w:left w:w="0" w:type="dxa"/>
                    <w:bottom w:w="0" w:type="dxa"/>
                    <w:right w:w="0" w:type="dxa"/>
                  </w:tcMar>
                  <w:vAlign w:val="center"/>
                </w:tcPr>
                <w:p>
                  <w:pPr>
                    <w:pStyle w:val="33"/>
                    <w:bidi w:val="0"/>
                  </w:pPr>
                  <w:r>
                    <w:rPr>
                      <w:rFonts w:hint="eastAsia"/>
                      <w:lang w:val="en-US" w:eastAsia="zh-CN"/>
                    </w:rPr>
                    <w:t>东</w:t>
                  </w:r>
                </w:p>
              </w:tc>
              <w:tc>
                <w:tcPr>
                  <w:tcW w:w="416" w:type="dxa"/>
                  <w:shd w:val="clear" w:color="auto" w:fill="FFFFFF"/>
                  <w:tcMar>
                    <w:top w:w="0" w:type="dxa"/>
                    <w:left w:w="0" w:type="dxa"/>
                    <w:bottom w:w="0" w:type="dxa"/>
                    <w:right w:w="0" w:type="dxa"/>
                  </w:tcMar>
                  <w:vAlign w:val="center"/>
                </w:tcPr>
                <w:p>
                  <w:pPr>
                    <w:pStyle w:val="33"/>
                    <w:bidi w:val="0"/>
                  </w:pPr>
                  <w:r>
                    <w:rPr>
                      <w:rFonts w:hint="eastAsia"/>
                      <w:lang w:val="en-US" w:eastAsia="zh-CN"/>
                    </w:rPr>
                    <w:t>南</w:t>
                  </w:r>
                </w:p>
              </w:tc>
              <w:tc>
                <w:tcPr>
                  <w:tcW w:w="384" w:type="dxa"/>
                  <w:shd w:val="clear" w:color="auto" w:fill="FFFFFF"/>
                  <w:tcMar>
                    <w:top w:w="0" w:type="dxa"/>
                    <w:left w:w="0" w:type="dxa"/>
                    <w:bottom w:w="0" w:type="dxa"/>
                    <w:right w:w="0" w:type="dxa"/>
                  </w:tcMar>
                  <w:vAlign w:val="center"/>
                </w:tcPr>
                <w:p>
                  <w:pPr>
                    <w:pStyle w:val="33"/>
                    <w:bidi w:val="0"/>
                  </w:pPr>
                  <w:r>
                    <w:rPr>
                      <w:rFonts w:hint="eastAsia"/>
                      <w:lang w:val="en-US" w:eastAsia="zh-CN"/>
                    </w:rPr>
                    <w:t>西</w:t>
                  </w:r>
                </w:p>
              </w:tc>
              <w:tc>
                <w:tcPr>
                  <w:tcW w:w="383" w:type="dxa"/>
                  <w:shd w:val="clear" w:color="auto" w:fill="FFFFFF"/>
                  <w:tcMar>
                    <w:top w:w="0" w:type="dxa"/>
                    <w:left w:w="0" w:type="dxa"/>
                    <w:bottom w:w="0" w:type="dxa"/>
                    <w:right w:w="0" w:type="dxa"/>
                  </w:tcMar>
                  <w:vAlign w:val="center"/>
                </w:tcPr>
                <w:p>
                  <w:pPr>
                    <w:pStyle w:val="33"/>
                    <w:bidi w:val="0"/>
                  </w:pPr>
                  <w:r>
                    <w:rPr>
                      <w:rFonts w:hint="eastAsia"/>
                      <w:lang w:val="en-US" w:eastAsia="zh-CN"/>
                    </w:rPr>
                    <w:t>北</w:t>
                  </w:r>
                </w:p>
              </w:tc>
              <w:tc>
                <w:tcPr>
                  <w:tcW w:w="383" w:type="dxa"/>
                  <w:shd w:val="clear" w:color="auto" w:fill="FFFFFF"/>
                  <w:tcMar>
                    <w:top w:w="0" w:type="dxa"/>
                    <w:left w:w="0" w:type="dxa"/>
                    <w:bottom w:w="0" w:type="dxa"/>
                    <w:right w:w="0" w:type="dxa"/>
                  </w:tcMar>
                  <w:vAlign w:val="center"/>
                </w:tcPr>
                <w:p>
                  <w:pPr>
                    <w:pStyle w:val="33"/>
                    <w:bidi w:val="0"/>
                  </w:pPr>
                  <w:r>
                    <w:rPr>
                      <w:rFonts w:hint="eastAsia"/>
                      <w:lang w:val="en-US" w:eastAsia="zh-CN"/>
                    </w:rPr>
                    <w:t>东</w:t>
                  </w:r>
                </w:p>
              </w:tc>
              <w:tc>
                <w:tcPr>
                  <w:tcW w:w="400" w:type="dxa"/>
                  <w:shd w:val="clear" w:color="auto" w:fill="FFFFFF"/>
                  <w:tcMar>
                    <w:top w:w="0" w:type="dxa"/>
                    <w:left w:w="0" w:type="dxa"/>
                    <w:bottom w:w="0" w:type="dxa"/>
                    <w:right w:w="0" w:type="dxa"/>
                  </w:tcMar>
                  <w:vAlign w:val="center"/>
                </w:tcPr>
                <w:p>
                  <w:pPr>
                    <w:pStyle w:val="33"/>
                    <w:bidi w:val="0"/>
                  </w:pPr>
                  <w:r>
                    <w:rPr>
                      <w:rFonts w:hint="eastAsia"/>
                      <w:lang w:val="en-US" w:eastAsia="zh-CN"/>
                    </w:rPr>
                    <w:t>南</w:t>
                  </w:r>
                </w:p>
              </w:tc>
              <w:tc>
                <w:tcPr>
                  <w:tcW w:w="384" w:type="dxa"/>
                  <w:shd w:val="clear" w:color="auto" w:fill="FFFFFF"/>
                  <w:tcMar>
                    <w:top w:w="0" w:type="dxa"/>
                    <w:left w:w="0" w:type="dxa"/>
                    <w:bottom w:w="0" w:type="dxa"/>
                    <w:right w:w="0" w:type="dxa"/>
                  </w:tcMar>
                  <w:vAlign w:val="center"/>
                </w:tcPr>
                <w:p>
                  <w:pPr>
                    <w:pStyle w:val="33"/>
                    <w:bidi w:val="0"/>
                  </w:pPr>
                  <w:r>
                    <w:rPr>
                      <w:rFonts w:hint="eastAsia"/>
                      <w:lang w:val="en-US" w:eastAsia="zh-CN"/>
                    </w:rPr>
                    <w:t>西</w:t>
                  </w:r>
                </w:p>
              </w:tc>
              <w:tc>
                <w:tcPr>
                  <w:tcW w:w="383" w:type="dxa"/>
                  <w:shd w:val="clear" w:color="auto" w:fill="FFFFFF"/>
                  <w:tcMar>
                    <w:top w:w="0" w:type="dxa"/>
                    <w:left w:w="0" w:type="dxa"/>
                    <w:bottom w:w="0" w:type="dxa"/>
                    <w:right w:w="0" w:type="dxa"/>
                  </w:tcMar>
                  <w:vAlign w:val="center"/>
                </w:tcPr>
                <w:p>
                  <w:pPr>
                    <w:pStyle w:val="33"/>
                    <w:bidi w:val="0"/>
                  </w:pPr>
                  <w:r>
                    <w:rPr>
                      <w:rFonts w:hint="eastAsia"/>
                      <w:lang w:val="en-US" w:eastAsia="zh-CN"/>
                    </w:rPr>
                    <w:t>北</w:t>
                  </w:r>
                </w:p>
              </w:tc>
              <w:tc>
                <w:tcPr>
                  <w:tcW w:w="303" w:type="dxa"/>
                  <w:shd w:val="clear" w:color="auto" w:fill="FFFFFF"/>
                  <w:tcMar>
                    <w:top w:w="0" w:type="dxa"/>
                    <w:left w:w="0" w:type="dxa"/>
                    <w:bottom w:w="0" w:type="dxa"/>
                    <w:right w:w="0" w:type="dxa"/>
                  </w:tcMar>
                  <w:vAlign w:val="center"/>
                </w:tcPr>
                <w:p>
                  <w:pPr>
                    <w:pStyle w:val="33"/>
                    <w:bidi w:val="0"/>
                  </w:pPr>
                  <w: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5" w:hRule="atLeast"/>
                <w:jc w:val="center"/>
              </w:trPr>
              <w:tc>
                <w:tcPr>
                  <w:tcW w:w="380" w:type="dxa"/>
                  <w:shd w:val="clear" w:color="auto" w:fill="FFFFFF"/>
                  <w:tcMar>
                    <w:top w:w="0" w:type="dxa"/>
                    <w:left w:w="0" w:type="dxa"/>
                    <w:bottom w:w="0" w:type="dxa"/>
                    <w:right w:w="0" w:type="dxa"/>
                  </w:tcMar>
                  <w:vAlign w:val="center"/>
                </w:tcPr>
                <w:p>
                  <w:pPr>
                    <w:pStyle w:val="33"/>
                    <w:bidi w:val="0"/>
                  </w:pPr>
                  <w:r>
                    <w:t>锅炉主机</w:t>
                  </w:r>
                </w:p>
              </w:tc>
              <w:tc>
                <w:tcPr>
                  <w:tcW w:w="366" w:type="dxa"/>
                  <w:shd w:val="clear" w:color="auto" w:fill="FFFFFF"/>
                  <w:tcMar>
                    <w:top w:w="0" w:type="dxa"/>
                    <w:left w:w="0" w:type="dxa"/>
                    <w:bottom w:w="0" w:type="dxa"/>
                    <w:right w:w="0" w:type="dxa"/>
                  </w:tcMar>
                  <w:vAlign w:val="center"/>
                </w:tcPr>
                <w:p>
                  <w:pPr>
                    <w:pStyle w:val="33"/>
                    <w:bidi w:val="0"/>
                  </w:pPr>
                  <w:r>
                    <w:t>95</w:t>
                  </w:r>
                </w:p>
              </w:tc>
              <w:tc>
                <w:tcPr>
                  <w:tcW w:w="367" w:type="dxa"/>
                  <w:vMerge w:val="restart"/>
                  <w:shd w:val="clear" w:color="auto" w:fill="FFFFFF"/>
                  <w:tcMar>
                    <w:top w:w="0" w:type="dxa"/>
                    <w:left w:w="0" w:type="dxa"/>
                    <w:bottom w:w="0" w:type="dxa"/>
                    <w:right w:w="0" w:type="dxa"/>
                  </w:tcMar>
                  <w:vAlign w:val="center"/>
                </w:tcPr>
                <w:p>
                  <w:pPr>
                    <w:pStyle w:val="33"/>
                    <w:bidi w:val="0"/>
                  </w:pPr>
                  <w:r>
                    <w:t>基础减振，厂房隔声</w:t>
                  </w:r>
                </w:p>
              </w:tc>
              <w:tc>
                <w:tcPr>
                  <w:tcW w:w="317" w:type="dxa"/>
                  <w:shd w:val="clear" w:color="auto" w:fill="FFFFFF"/>
                  <w:tcMar>
                    <w:top w:w="0" w:type="dxa"/>
                    <w:left w:w="0" w:type="dxa"/>
                    <w:bottom w:w="0" w:type="dxa"/>
                    <w:right w:w="0" w:type="dxa"/>
                  </w:tcMar>
                  <w:vAlign w:val="center"/>
                </w:tcPr>
                <w:p>
                  <w:pPr>
                    <w:pStyle w:val="33"/>
                    <w:bidi w:val="0"/>
                  </w:pPr>
                  <w:r>
                    <w:t>166</w:t>
                  </w:r>
                </w:p>
              </w:tc>
              <w:tc>
                <w:tcPr>
                  <w:tcW w:w="316" w:type="dxa"/>
                  <w:shd w:val="clear" w:color="auto" w:fill="FFFFFF"/>
                  <w:tcMar>
                    <w:top w:w="0" w:type="dxa"/>
                    <w:left w:w="0" w:type="dxa"/>
                    <w:bottom w:w="0" w:type="dxa"/>
                    <w:right w:w="0" w:type="dxa"/>
                  </w:tcMar>
                  <w:vAlign w:val="center"/>
                </w:tcPr>
                <w:p>
                  <w:pPr>
                    <w:pStyle w:val="33"/>
                    <w:bidi w:val="0"/>
                  </w:pPr>
                  <w:r>
                    <w:t>302.4</w:t>
                  </w:r>
                </w:p>
              </w:tc>
              <w:tc>
                <w:tcPr>
                  <w:tcW w:w="350" w:type="dxa"/>
                  <w:shd w:val="clear" w:color="auto" w:fill="FFFFFF"/>
                  <w:tcMar>
                    <w:top w:w="0" w:type="dxa"/>
                    <w:left w:w="0" w:type="dxa"/>
                    <w:bottom w:w="0" w:type="dxa"/>
                    <w:right w:w="0" w:type="dxa"/>
                  </w:tcMar>
                  <w:vAlign w:val="center"/>
                </w:tcPr>
                <w:p>
                  <w:pPr>
                    <w:pStyle w:val="33"/>
                    <w:bidi w:val="0"/>
                  </w:pPr>
                  <w:r>
                    <w:t>1.2</w:t>
                  </w:r>
                </w:p>
              </w:tc>
              <w:tc>
                <w:tcPr>
                  <w:tcW w:w="284" w:type="dxa"/>
                  <w:shd w:val="clear" w:color="auto" w:fill="FFFFFF"/>
                  <w:tcMar>
                    <w:top w:w="0" w:type="dxa"/>
                    <w:left w:w="0" w:type="dxa"/>
                    <w:bottom w:w="0" w:type="dxa"/>
                    <w:right w:w="0" w:type="dxa"/>
                  </w:tcMar>
                  <w:vAlign w:val="center"/>
                </w:tcPr>
                <w:p>
                  <w:pPr>
                    <w:pStyle w:val="33"/>
                    <w:bidi w:val="0"/>
                  </w:pPr>
                  <w:r>
                    <w:t>5.9</w:t>
                  </w:r>
                </w:p>
              </w:tc>
              <w:tc>
                <w:tcPr>
                  <w:tcW w:w="283" w:type="dxa"/>
                  <w:shd w:val="clear" w:color="auto" w:fill="FFFFFF"/>
                  <w:tcMar>
                    <w:top w:w="0" w:type="dxa"/>
                    <w:left w:w="0" w:type="dxa"/>
                    <w:bottom w:w="0" w:type="dxa"/>
                    <w:right w:w="0" w:type="dxa"/>
                  </w:tcMar>
                  <w:vAlign w:val="center"/>
                </w:tcPr>
                <w:p>
                  <w:pPr>
                    <w:pStyle w:val="33"/>
                    <w:bidi w:val="0"/>
                  </w:pPr>
                  <w:r>
                    <w:t>6.5</w:t>
                  </w:r>
                </w:p>
              </w:tc>
              <w:tc>
                <w:tcPr>
                  <w:tcW w:w="317" w:type="dxa"/>
                  <w:shd w:val="clear" w:color="auto" w:fill="FFFFFF"/>
                  <w:tcMar>
                    <w:top w:w="0" w:type="dxa"/>
                    <w:left w:w="0" w:type="dxa"/>
                    <w:bottom w:w="0" w:type="dxa"/>
                    <w:right w:w="0" w:type="dxa"/>
                  </w:tcMar>
                  <w:vAlign w:val="center"/>
                </w:tcPr>
                <w:p>
                  <w:pPr>
                    <w:pStyle w:val="33"/>
                    <w:bidi w:val="0"/>
                  </w:pPr>
                  <w:r>
                    <w:t>11.7</w:t>
                  </w:r>
                </w:p>
              </w:tc>
              <w:tc>
                <w:tcPr>
                  <w:tcW w:w="316" w:type="dxa"/>
                  <w:shd w:val="clear" w:color="auto" w:fill="FFFFFF"/>
                  <w:tcMar>
                    <w:top w:w="0" w:type="dxa"/>
                    <w:left w:w="0" w:type="dxa"/>
                    <w:bottom w:w="0" w:type="dxa"/>
                    <w:right w:w="0" w:type="dxa"/>
                  </w:tcMar>
                  <w:vAlign w:val="center"/>
                </w:tcPr>
                <w:p>
                  <w:pPr>
                    <w:pStyle w:val="33"/>
                    <w:bidi w:val="0"/>
                  </w:pPr>
                  <w:r>
                    <w:t>7.2</w:t>
                  </w:r>
                </w:p>
              </w:tc>
              <w:tc>
                <w:tcPr>
                  <w:tcW w:w="367" w:type="dxa"/>
                  <w:shd w:val="clear" w:color="auto" w:fill="FFFFFF"/>
                  <w:tcMar>
                    <w:top w:w="0" w:type="dxa"/>
                    <w:left w:w="0" w:type="dxa"/>
                    <w:bottom w:w="0" w:type="dxa"/>
                    <w:right w:w="0" w:type="dxa"/>
                  </w:tcMar>
                  <w:vAlign w:val="center"/>
                </w:tcPr>
                <w:p>
                  <w:pPr>
                    <w:pStyle w:val="33"/>
                    <w:bidi w:val="0"/>
                  </w:pPr>
                  <w:r>
                    <w:t>86.1</w:t>
                  </w:r>
                </w:p>
              </w:tc>
              <w:tc>
                <w:tcPr>
                  <w:tcW w:w="350" w:type="dxa"/>
                  <w:shd w:val="clear" w:color="auto" w:fill="FFFFFF"/>
                  <w:tcMar>
                    <w:top w:w="0" w:type="dxa"/>
                    <w:left w:w="0" w:type="dxa"/>
                    <w:bottom w:w="0" w:type="dxa"/>
                    <w:right w:w="0" w:type="dxa"/>
                  </w:tcMar>
                  <w:vAlign w:val="center"/>
                </w:tcPr>
                <w:p>
                  <w:pPr>
                    <w:pStyle w:val="33"/>
                    <w:bidi w:val="0"/>
                  </w:pPr>
                  <w:r>
                    <w:t>86.1</w:t>
                  </w:r>
                </w:p>
              </w:tc>
              <w:tc>
                <w:tcPr>
                  <w:tcW w:w="433" w:type="dxa"/>
                  <w:shd w:val="clear" w:color="auto" w:fill="FFFFFF"/>
                  <w:tcMar>
                    <w:top w:w="0" w:type="dxa"/>
                    <w:left w:w="0" w:type="dxa"/>
                    <w:bottom w:w="0" w:type="dxa"/>
                    <w:right w:w="0" w:type="dxa"/>
                  </w:tcMar>
                  <w:vAlign w:val="center"/>
                </w:tcPr>
                <w:p>
                  <w:pPr>
                    <w:pStyle w:val="33"/>
                    <w:bidi w:val="0"/>
                  </w:pPr>
                  <w:r>
                    <w:t>86.0</w:t>
                  </w:r>
                </w:p>
              </w:tc>
              <w:tc>
                <w:tcPr>
                  <w:tcW w:w="400" w:type="dxa"/>
                  <w:shd w:val="clear" w:color="auto" w:fill="FFFFFF"/>
                  <w:tcMar>
                    <w:top w:w="0" w:type="dxa"/>
                    <w:left w:w="0" w:type="dxa"/>
                    <w:bottom w:w="0" w:type="dxa"/>
                    <w:right w:w="0" w:type="dxa"/>
                  </w:tcMar>
                  <w:vAlign w:val="center"/>
                </w:tcPr>
                <w:p>
                  <w:pPr>
                    <w:pStyle w:val="33"/>
                    <w:bidi w:val="0"/>
                  </w:pPr>
                  <w:r>
                    <w:t>86.0</w:t>
                  </w:r>
                </w:p>
              </w:tc>
              <w:tc>
                <w:tcPr>
                  <w:tcW w:w="417" w:type="dxa"/>
                  <w:shd w:val="clear" w:color="auto" w:fill="FFFFFF"/>
                  <w:tcMar>
                    <w:top w:w="0" w:type="dxa"/>
                    <w:left w:w="0" w:type="dxa"/>
                    <w:bottom w:w="0" w:type="dxa"/>
                    <w:right w:w="0" w:type="dxa"/>
                  </w:tcMar>
                  <w:vAlign w:val="center"/>
                </w:tcPr>
                <w:p>
                  <w:pPr>
                    <w:pStyle w:val="33"/>
                    <w:bidi w:val="0"/>
                  </w:pPr>
                  <w:r>
                    <w:t>24.0</w:t>
                  </w:r>
                </w:p>
              </w:tc>
              <w:tc>
                <w:tcPr>
                  <w:tcW w:w="417" w:type="dxa"/>
                  <w:shd w:val="clear" w:color="auto" w:fill="FFFFFF"/>
                  <w:tcMar>
                    <w:top w:w="0" w:type="dxa"/>
                    <w:left w:w="0" w:type="dxa"/>
                    <w:bottom w:w="0" w:type="dxa"/>
                    <w:right w:w="0" w:type="dxa"/>
                  </w:tcMar>
                  <w:vAlign w:val="center"/>
                </w:tcPr>
                <w:p>
                  <w:pPr>
                    <w:pStyle w:val="33"/>
                    <w:bidi w:val="0"/>
                  </w:pPr>
                  <w:r>
                    <w:t>26.0</w:t>
                  </w:r>
                </w:p>
              </w:tc>
              <w:tc>
                <w:tcPr>
                  <w:tcW w:w="416" w:type="dxa"/>
                  <w:shd w:val="clear" w:color="auto" w:fill="FFFFFF"/>
                  <w:tcMar>
                    <w:top w:w="0" w:type="dxa"/>
                    <w:left w:w="0" w:type="dxa"/>
                    <w:bottom w:w="0" w:type="dxa"/>
                    <w:right w:w="0" w:type="dxa"/>
                  </w:tcMar>
                  <w:vAlign w:val="center"/>
                </w:tcPr>
                <w:p>
                  <w:pPr>
                    <w:pStyle w:val="33"/>
                    <w:bidi w:val="0"/>
                  </w:pPr>
                  <w:r>
                    <w:t>26.0</w:t>
                  </w:r>
                </w:p>
              </w:tc>
              <w:tc>
                <w:tcPr>
                  <w:tcW w:w="384" w:type="dxa"/>
                  <w:shd w:val="clear" w:color="auto" w:fill="FFFFFF"/>
                  <w:tcMar>
                    <w:top w:w="0" w:type="dxa"/>
                    <w:left w:w="0" w:type="dxa"/>
                    <w:bottom w:w="0" w:type="dxa"/>
                    <w:right w:w="0" w:type="dxa"/>
                  </w:tcMar>
                  <w:vAlign w:val="center"/>
                </w:tcPr>
                <w:p>
                  <w:pPr>
                    <w:pStyle w:val="33"/>
                    <w:bidi w:val="0"/>
                  </w:pPr>
                  <w:r>
                    <w:t>26.0</w:t>
                  </w:r>
                </w:p>
              </w:tc>
              <w:tc>
                <w:tcPr>
                  <w:tcW w:w="383" w:type="dxa"/>
                  <w:shd w:val="clear" w:color="auto" w:fill="FFFFFF"/>
                  <w:tcMar>
                    <w:top w:w="0" w:type="dxa"/>
                    <w:left w:w="0" w:type="dxa"/>
                    <w:bottom w:w="0" w:type="dxa"/>
                    <w:right w:w="0" w:type="dxa"/>
                  </w:tcMar>
                  <w:vAlign w:val="center"/>
                </w:tcPr>
                <w:p>
                  <w:pPr>
                    <w:pStyle w:val="33"/>
                    <w:bidi w:val="0"/>
                  </w:pPr>
                  <w:r>
                    <w:t>26.0</w:t>
                  </w:r>
                </w:p>
              </w:tc>
              <w:tc>
                <w:tcPr>
                  <w:tcW w:w="383" w:type="dxa"/>
                  <w:shd w:val="clear" w:color="auto" w:fill="FFFFFF"/>
                  <w:tcMar>
                    <w:top w:w="0" w:type="dxa"/>
                    <w:left w:w="0" w:type="dxa"/>
                    <w:bottom w:w="0" w:type="dxa"/>
                    <w:right w:w="0" w:type="dxa"/>
                  </w:tcMar>
                  <w:vAlign w:val="center"/>
                </w:tcPr>
                <w:p>
                  <w:pPr>
                    <w:pStyle w:val="33"/>
                    <w:bidi w:val="0"/>
                  </w:pPr>
                  <w:r>
                    <w:t>60.1</w:t>
                  </w:r>
                </w:p>
              </w:tc>
              <w:tc>
                <w:tcPr>
                  <w:tcW w:w="400" w:type="dxa"/>
                  <w:shd w:val="clear" w:color="auto" w:fill="FFFFFF"/>
                  <w:tcMar>
                    <w:top w:w="0" w:type="dxa"/>
                    <w:left w:w="0" w:type="dxa"/>
                    <w:bottom w:w="0" w:type="dxa"/>
                    <w:right w:w="0" w:type="dxa"/>
                  </w:tcMar>
                  <w:vAlign w:val="center"/>
                </w:tcPr>
                <w:p>
                  <w:pPr>
                    <w:pStyle w:val="33"/>
                    <w:bidi w:val="0"/>
                  </w:pPr>
                  <w:r>
                    <w:t>60.1</w:t>
                  </w:r>
                </w:p>
              </w:tc>
              <w:tc>
                <w:tcPr>
                  <w:tcW w:w="384" w:type="dxa"/>
                  <w:shd w:val="clear" w:color="auto" w:fill="FFFFFF"/>
                  <w:tcMar>
                    <w:top w:w="0" w:type="dxa"/>
                    <w:left w:w="0" w:type="dxa"/>
                    <w:bottom w:w="0" w:type="dxa"/>
                    <w:right w:w="0" w:type="dxa"/>
                  </w:tcMar>
                  <w:vAlign w:val="center"/>
                </w:tcPr>
                <w:p>
                  <w:pPr>
                    <w:pStyle w:val="33"/>
                    <w:bidi w:val="0"/>
                  </w:pPr>
                  <w:r>
                    <w:t>60.0</w:t>
                  </w:r>
                </w:p>
              </w:tc>
              <w:tc>
                <w:tcPr>
                  <w:tcW w:w="383" w:type="dxa"/>
                  <w:shd w:val="clear" w:color="auto" w:fill="FFFFFF"/>
                  <w:tcMar>
                    <w:top w:w="0" w:type="dxa"/>
                    <w:left w:w="0" w:type="dxa"/>
                    <w:bottom w:w="0" w:type="dxa"/>
                    <w:right w:w="0" w:type="dxa"/>
                  </w:tcMar>
                  <w:vAlign w:val="center"/>
                </w:tcPr>
                <w:p>
                  <w:pPr>
                    <w:pStyle w:val="33"/>
                    <w:bidi w:val="0"/>
                  </w:pPr>
                  <w:r>
                    <w:t>60.0</w:t>
                  </w:r>
                </w:p>
              </w:tc>
              <w:tc>
                <w:tcPr>
                  <w:tcW w:w="303" w:type="dxa"/>
                  <w:shd w:val="clear" w:color="auto" w:fill="FFFFFF"/>
                  <w:tcMar>
                    <w:top w:w="0" w:type="dxa"/>
                    <w:left w:w="0" w:type="dxa"/>
                    <w:bottom w:w="0" w:type="dxa"/>
                    <w:right w:w="0" w:type="dxa"/>
                  </w:tcMar>
                  <w:vAlign w:val="center"/>
                </w:tcPr>
                <w:p>
                  <w:pPr>
                    <w:pStyle w:val="33"/>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75" w:hRule="atLeast"/>
                <w:jc w:val="center"/>
              </w:trPr>
              <w:tc>
                <w:tcPr>
                  <w:tcW w:w="380" w:type="dxa"/>
                  <w:shd w:val="clear" w:color="auto" w:fill="FFFFFF"/>
                  <w:tcMar>
                    <w:top w:w="0" w:type="dxa"/>
                    <w:left w:w="0" w:type="dxa"/>
                    <w:bottom w:w="0" w:type="dxa"/>
                    <w:right w:w="0" w:type="dxa"/>
                  </w:tcMar>
                  <w:vAlign w:val="center"/>
                </w:tcPr>
                <w:p>
                  <w:pPr>
                    <w:pStyle w:val="33"/>
                    <w:bidi w:val="0"/>
                  </w:pPr>
                  <w:r>
                    <w:t>循环泵</w:t>
                  </w:r>
                </w:p>
              </w:tc>
              <w:tc>
                <w:tcPr>
                  <w:tcW w:w="366" w:type="dxa"/>
                  <w:shd w:val="clear" w:color="auto" w:fill="FFFFFF"/>
                  <w:tcMar>
                    <w:top w:w="0" w:type="dxa"/>
                    <w:left w:w="0" w:type="dxa"/>
                    <w:bottom w:w="0" w:type="dxa"/>
                    <w:right w:w="0" w:type="dxa"/>
                  </w:tcMar>
                  <w:vAlign w:val="center"/>
                </w:tcPr>
                <w:p>
                  <w:pPr>
                    <w:pStyle w:val="33"/>
                    <w:bidi w:val="0"/>
                  </w:pPr>
                  <w:r>
                    <w:t>90</w:t>
                  </w:r>
                </w:p>
              </w:tc>
              <w:tc>
                <w:tcPr>
                  <w:tcW w:w="367" w:type="dxa"/>
                  <w:vMerge w:val="continue"/>
                  <w:shd w:val="clear" w:color="auto" w:fill="FFFFFF"/>
                  <w:tcMar>
                    <w:top w:w="0" w:type="dxa"/>
                    <w:left w:w="0" w:type="dxa"/>
                    <w:bottom w:w="0" w:type="dxa"/>
                    <w:right w:w="0" w:type="dxa"/>
                  </w:tcMar>
                  <w:vAlign w:val="center"/>
                </w:tcPr>
                <w:p>
                  <w:pPr>
                    <w:pStyle w:val="33"/>
                    <w:bidi w:val="0"/>
                  </w:pPr>
                </w:p>
              </w:tc>
              <w:tc>
                <w:tcPr>
                  <w:tcW w:w="317" w:type="dxa"/>
                  <w:shd w:val="clear" w:color="auto" w:fill="FFFFFF"/>
                  <w:tcMar>
                    <w:top w:w="0" w:type="dxa"/>
                    <w:left w:w="0" w:type="dxa"/>
                    <w:bottom w:w="0" w:type="dxa"/>
                    <w:right w:w="0" w:type="dxa"/>
                  </w:tcMar>
                  <w:vAlign w:val="center"/>
                </w:tcPr>
                <w:p>
                  <w:pPr>
                    <w:pStyle w:val="33"/>
                    <w:bidi w:val="0"/>
                  </w:pPr>
                  <w:r>
                    <w:t>159.3</w:t>
                  </w:r>
                </w:p>
              </w:tc>
              <w:tc>
                <w:tcPr>
                  <w:tcW w:w="316" w:type="dxa"/>
                  <w:shd w:val="clear" w:color="auto" w:fill="FFFFFF"/>
                  <w:tcMar>
                    <w:top w:w="0" w:type="dxa"/>
                    <w:left w:w="0" w:type="dxa"/>
                    <w:bottom w:w="0" w:type="dxa"/>
                    <w:right w:w="0" w:type="dxa"/>
                  </w:tcMar>
                  <w:vAlign w:val="center"/>
                </w:tcPr>
                <w:p>
                  <w:pPr>
                    <w:pStyle w:val="33"/>
                    <w:bidi w:val="0"/>
                  </w:pPr>
                  <w:r>
                    <w:t>299.7</w:t>
                  </w:r>
                </w:p>
              </w:tc>
              <w:tc>
                <w:tcPr>
                  <w:tcW w:w="350" w:type="dxa"/>
                  <w:shd w:val="clear" w:color="auto" w:fill="FFFFFF"/>
                  <w:tcMar>
                    <w:top w:w="0" w:type="dxa"/>
                    <w:left w:w="0" w:type="dxa"/>
                    <w:bottom w:w="0" w:type="dxa"/>
                    <w:right w:w="0" w:type="dxa"/>
                  </w:tcMar>
                  <w:vAlign w:val="center"/>
                </w:tcPr>
                <w:p>
                  <w:pPr>
                    <w:pStyle w:val="33"/>
                    <w:bidi w:val="0"/>
                  </w:pPr>
                  <w:r>
                    <w:t>1.2</w:t>
                  </w:r>
                </w:p>
              </w:tc>
              <w:tc>
                <w:tcPr>
                  <w:tcW w:w="284" w:type="dxa"/>
                  <w:shd w:val="clear" w:color="auto" w:fill="FFFFFF"/>
                  <w:tcMar>
                    <w:top w:w="0" w:type="dxa"/>
                    <w:left w:w="0" w:type="dxa"/>
                    <w:bottom w:w="0" w:type="dxa"/>
                    <w:right w:w="0" w:type="dxa"/>
                  </w:tcMar>
                  <w:vAlign w:val="center"/>
                </w:tcPr>
                <w:p>
                  <w:pPr>
                    <w:pStyle w:val="33"/>
                    <w:bidi w:val="0"/>
                  </w:pPr>
                  <w:r>
                    <w:t>13.2</w:t>
                  </w:r>
                </w:p>
              </w:tc>
              <w:tc>
                <w:tcPr>
                  <w:tcW w:w="283" w:type="dxa"/>
                  <w:shd w:val="clear" w:color="auto" w:fill="FFFFFF"/>
                  <w:tcMar>
                    <w:top w:w="0" w:type="dxa"/>
                    <w:left w:w="0" w:type="dxa"/>
                    <w:bottom w:w="0" w:type="dxa"/>
                    <w:right w:w="0" w:type="dxa"/>
                  </w:tcMar>
                  <w:vAlign w:val="center"/>
                </w:tcPr>
                <w:p>
                  <w:pPr>
                    <w:pStyle w:val="33"/>
                    <w:bidi w:val="0"/>
                  </w:pPr>
                  <w:r>
                    <w:t>6.3</w:t>
                  </w:r>
                </w:p>
              </w:tc>
              <w:tc>
                <w:tcPr>
                  <w:tcW w:w="317" w:type="dxa"/>
                  <w:shd w:val="clear" w:color="auto" w:fill="FFFFFF"/>
                  <w:tcMar>
                    <w:top w:w="0" w:type="dxa"/>
                    <w:left w:w="0" w:type="dxa"/>
                    <w:bottom w:w="0" w:type="dxa"/>
                    <w:right w:w="0" w:type="dxa"/>
                  </w:tcMar>
                  <w:vAlign w:val="center"/>
                </w:tcPr>
                <w:p>
                  <w:pPr>
                    <w:pStyle w:val="33"/>
                    <w:bidi w:val="0"/>
                  </w:pPr>
                  <w:r>
                    <w:t>4.5</w:t>
                  </w:r>
                </w:p>
              </w:tc>
              <w:tc>
                <w:tcPr>
                  <w:tcW w:w="316" w:type="dxa"/>
                  <w:shd w:val="clear" w:color="auto" w:fill="FFFFFF"/>
                  <w:tcMar>
                    <w:top w:w="0" w:type="dxa"/>
                    <w:left w:w="0" w:type="dxa"/>
                    <w:bottom w:w="0" w:type="dxa"/>
                    <w:right w:w="0" w:type="dxa"/>
                  </w:tcMar>
                  <w:vAlign w:val="center"/>
                </w:tcPr>
                <w:p>
                  <w:pPr>
                    <w:pStyle w:val="33"/>
                    <w:bidi w:val="0"/>
                  </w:pPr>
                  <w:r>
                    <w:t>7.4</w:t>
                  </w:r>
                </w:p>
              </w:tc>
              <w:tc>
                <w:tcPr>
                  <w:tcW w:w="367" w:type="dxa"/>
                  <w:shd w:val="clear" w:color="auto" w:fill="FFFFFF"/>
                  <w:tcMar>
                    <w:top w:w="0" w:type="dxa"/>
                    <w:left w:w="0" w:type="dxa"/>
                    <w:bottom w:w="0" w:type="dxa"/>
                    <w:right w:w="0" w:type="dxa"/>
                  </w:tcMar>
                  <w:vAlign w:val="center"/>
                </w:tcPr>
                <w:p>
                  <w:pPr>
                    <w:pStyle w:val="33"/>
                    <w:bidi w:val="0"/>
                  </w:pPr>
                  <w:r>
                    <w:t>81.0</w:t>
                  </w:r>
                </w:p>
              </w:tc>
              <w:tc>
                <w:tcPr>
                  <w:tcW w:w="350" w:type="dxa"/>
                  <w:shd w:val="clear" w:color="auto" w:fill="FFFFFF"/>
                  <w:tcMar>
                    <w:top w:w="0" w:type="dxa"/>
                    <w:left w:w="0" w:type="dxa"/>
                    <w:bottom w:w="0" w:type="dxa"/>
                    <w:right w:w="0" w:type="dxa"/>
                  </w:tcMar>
                  <w:vAlign w:val="center"/>
                </w:tcPr>
                <w:p>
                  <w:pPr>
                    <w:pStyle w:val="33"/>
                    <w:bidi w:val="0"/>
                  </w:pPr>
                  <w:r>
                    <w:t>81.1</w:t>
                  </w:r>
                </w:p>
              </w:tc>
              <w:tc>
                <w:tcPr>
                  <w:tcW w:w="433" w:type="dxa"/>
                  <w:shd w:val="clear" w:color="auto" w:fill="FFFFFF"/>
                  <w:tcMar>
                    <w:top w:w="0" w:type="dxa"/>
                    <w:left w:w="0" w:type="dxa"/>
                    <w:bottom w:w="0" w:type="dxa"/>
                    <w:right w:w="0" w:type="dxa"/>
                  </w:tcMar>
                  <w:vAlign w:val="center"/>
                </w:tcPr>
                <w:p>
                  <w:pPr>
                    <w:pStyle w:val="33"/>
                    <w:bidi w:val="0"/>
                  </w:pPr>
                  <w:r>
                    <w:t>81.1</w:t>
                  </w:r>
                </w:p>
              </w:tc>
              <w:tc>
                <w:tcPr>
                  <w:tcW w:w="400" w:type="dxa"/>
                  <w:shd w:val="clear" w:color="auto" w:fill="FFFFFF"/>
                  <w:tcMar>
                    <w:top w:w="0" w:type="dxa"/>
                    <w:left w:w="0" w:type="dxa"/>
                    <w:bottom w:w="0" w:type="dxa"/>
                    <w:right w:w="0" w:type="dxa"/>
                  </w:tcMar>
                  <w:vAlign w:val="center"/>
                </w:tcPr>
                <w:p>
                  <w:pPr>
                    <w:pStyle w:val="33"/>
                    <w:bidi w:val="0"/>
                  </w:pPr>
                  <w:r>
                    <w:t>81.0</w:t>
                  </w:r>
                </w:p>
              </w:tc>
              <w:tc>
                <w:tcPr>
                  <w:tcW w:w="417" w:type="dxa"/>
                  <w:shd w:val="clear" w:color="auto" w:fill="FFFFFF"/>
                  <w:tcMar>
                    <w:top w:w="0" w:type="dxa"/>
                    <w:left w:w="0" w:type="dxa"/>
                    <w:bottom w:w="0" w:type="dxa"/>
                    <w:right w:w="0" w:type="dxa"/>
                  </w:tcMar>
                  <w:vAlign w:val="center"/>
                </w:tcPr>
                <w:p>
                  <w:pPr>
                    <w:pStyle w:val="33"/>
                    <w:bidi w:val="0"/>
                  </w:pPr>
                  <w:r>
                    <w:t>24.0</w:t>
                  </w:r>
                </w:p>
              </w:tc>
              <w:tc>
                <w:tcPr>
                  <w:tcW w:w="417" w:type="dxa"/>
                  <w:shd w:val="clear" w:color="auto" w:fill="FFFFFF"/>
                  <w:tcMar>
                    <w:top w:w="0" w:type="dxa"/>
                    <w:left w:w="0" w:type="dxa"/>
                    <w:bottom w:w="0" w:type="dxa"/>
                    <w:right w:w="0" w:type="dxa"/>
                  </w:tcMar>
                  <w:vAlign w:val="center"/>
                </w:tcPr>
                <w:p>
                  <w:pPr>
                    <w:pStyle w:val="33"/>
                    <w:bidi w:val="0"/>
                  </w:pPr>
                  <w:r>
                    <w:t>26.0</w:t>
                  </w:r>
                </w:p>
              </w:tc>
              <w:tc>
                <w:tcPr>
                  <w:tcW w:w="416" w:type="dxa"/>
                  <w:shd w:val="clear" w:color="auto" w:fill="FFFFFF"/>
                  <w:tcMar>
                    <w:top w:w="0" w:type="dxa"/>
                    <w:left w:w="0" w:type="dxa"/>
                    <w:bottom w:w="0" w:type="dxa"/>
                    <w:right w:w="0" w:type="dxa"/>
                  </w:tcMar>
                  <w:vAlign w:val="center"/>
                </w:tcPr>
                <w:p>
                  <w:pPr>
                    <w:pStyle w:val="33"/>
                    <w:bidi w:val="0"/>
                  </w:pPr>
                  <w:r>
                    <w:t>26.0</w:t>
                  </w:r>
                </w:p>
              </w:tc>
              <w:tc>
                <w:tcPr>
                  <w:tcW w:w="384" w:type="dxa"/>
                  <w:shd w:val="clear" w:color="auto" w:fill="FFFFFF"/>
                  <w:tcMar>
                    <w:top w:w="0" w:type="dxa"/>
                    <w:left w:w="0" w:type="dxa"/>
                    <w:bottom w:w="0" w:type="dxa"/>
                    <w:right w:w="0" w:type="dxa"/>
                  </w:tcMar>
                  <w:vAlign w:val="center"/>
                </w:tcPr>
                <w:p>
                  <w:pPr>
                    <w:pStyle w:val="33"/>
                    <w:bidi w:val="0"/>
                  </w:pPr>
                  <w:r>
                    <w:t>26.0</w:t>
                  </w:r>
                </w:p>
              </w:tc>
              <w:tc>
                <w:tcPr>
                  <w:tcW w:w="383" w:type="dxa"/>
                  <w:shd w:val="clear" w:color="auto" w:fill="FFFFFF"/>
                  <w:tcMar>
                    <w:top w:w="0" w:type="dxa"/>
                    <w:left w:w="0" w:type="dxa"/>
                    <w:bottom w:w="0" w:type="dxa"/>
                    <w:right w:w="0" w:type="dxa"/>
                  </w:tcMar>
                  <w:vAlign w:val="center"/>
                </w:tcPr>
                <w:p>
                  <w:pPr>
                    <w:pStyle w:val="33"/>
                    <w:bidi w:val="0"/>
                  </w:pPr>
                  <w:r>
                    <w:t>26.0</w:t>
                  </w:r>
                </w:p>
              </w:tc>
              <w:tc>
                <w:tcPr>
                  <w:tcW w:w="383" w:type="dxa"/>
                  <w:shd w:val="clear" w:color="auto" w:fill="FFFFFF"/>
                  <w:tcMar>
                    <w:top w:w="0" w:type="dxa"/>
                    <w:left w:w="0" w:type="dxa"/>
                    <w:bottom w:w="0" w:type="dxa"/>
                    <w:right w:w="0" w:type="dxa"/>
                  </w:tcMar>
                  <w:vAlign w:val="center"/>
                </w:tcPr>
                <w:p>
                  <w:pPr>
                    <w:pStyle w:val="33"/>
                    <w:bidi w:val="0"/>
                  </w:pPr>
                  <w:r>
                    <w:t>55.0</w:t>
                  </w:r>
                </w:p>
              </w:tc>
              <w:tc>
                <w:tcPr>
                  <w:tcW w:w="400" w:type="dxa"/>
                  <w:shd w:val="clear" w:color="auto" w:fill="FFFFFF"/>
                  <w:tcMar>
                    <w:top w:w="0" w:type="dxa"/>
                    <w:left w:w="0" w:type="dxa"/>
                    <w:bottom w:w="0" w:type="dxa"/>
                    <w:right w:w="0" w:type="dxa"/>
                  </w:tcMar>
                  <w:vAlign w:val="center"/>
                </w:tcPr>
                <w:p>
                  <w:pPr>
                    <w:pStyle w:val="33"/>
                    <w:bidi w:val="0"/>
                  </w:pPr>
                  <w:r>
                    <w:t>55.1</w:t>
                  </w:r>
                </w:p>
              </w:tc>
              <w:tc>
                <w:tcPr>
                  <w:tcW w:w="384" w:type="dxa"/>
                  <w:shd w:val="clear" w:color="auto" w:fill="FFFFFF"/>
                  <w:tcMar>
                    <w:top w:w="0" w:type="dxa"/>
                    <w:left w:w="0" w:type="dxa"/>
                    <w:bottom w:w="0" w:type="dxa"/>
                    <w:right w:w="0" w:type="dxa"/>
                  </w:tcMar>
                  <w:vAlign w:val="center"/>
                </w:tcPr>
                <w:p>
                  <w:pPr>
                    <w:pStyle w:val="33"/>
                    <w:bidi w:val="0"/>
                  </w:pPr>
                  <w:r>
                    <w:t>55.1</w:t>
                  </w:r>
                </w:p>
              </w:tc>
              <w:tc>
                <w:tcPr>
                  <w:tcW w:w="383" w:type="dxa"/>
                  <w:shd w:val="clear" w:color="auto" w:fill="FFFFFF"/>
                  <w:tcMar>
                    <w:top w:w="0" w:type="dxa"/>
                    <w:left w:w="0" w:type="dxa"/>
                    <w:bottom w:w="0" w:type="dxa"/>
                    <w:right w:w="0" w:type="dxa"/>
                  </w:tcMar>
                  <w:vAlign w:val="center"/>
                </w:tcPr>
                <w:p>
                  <w:pPr>
                    <w:pStyle w:val="33"/>
                    <w:bidi w:val="0"/>
                  </w:pPr>
                  <w:r>
                    <w:t>55.0</w:t>
                  </w:r>
                </w:p>
              </w:tc>
              <w:tc>
                <w:tcPr>
                  <w:tcW w:w="303" w:type="dxa"/>
                  <w:shd w:val="clear" w:color="auto" w:fill="FFFFFF"/>
                  <w:tcMar>
                    <w:top w:w="0" w:type="dxa"/>
                    <w:left w:w="0" w:type="dxa"/>
                    <w:bottom w:w="0" w:type="dxa"/>
                    <w:right w:w="0" w:type="dxa"/>
                  </w:tcMar>
                  <w:vAlign w:val="center"/>
                </w:tcPr>
                <w:p>
                  <w:pPr>
                    <w:pStyle w:val="33"/>
                    <w:bidi w:val="0"/>
                  </w:pPr>
                  <w:r>
                    <w:t>1</w:t>
                  </w:r>
                </w:p>
              </w:tc>
            </w:tr>
            <w:bookmarkEnd w:id="13"/>
          </w:tbl>
          <w:p>
            <w:pPr>
              <w:pStyle w:val="5"/>
              <w:rPr>
                <w:rFonts w:hint="default" w:eastAsia="宋体"/>
                <w:lang w:val="en-US" w:eastAsia="zh-CN"/>
              </w:rPr>
            </w:pPr>
            <w:r>
              <w:rPr>
                <w:rFonts w:hint="eastAsia"/>
                <w:lang w:val="en-US" w:eastAsia="zh-CN"/>
              </w:rPr>
              <w:t>4.2.3.2噪声预测模式</w:t>
            </w:r>
          </w:p>
          <w:p>
            <w:pPr>
              <w:ind w:firstLine="480"/>
              <w:rPr>
                <w:rFonts w:cs="Times New Roman"/>
              </w:rPr>
            </w:pPr>
            <w:r>
              <w:rPr>
                <w:rFonts w:cs="Times New Roman"/>
              </w:rPr>
              <w:t>为判定营运期厂界噪声达标情况，</w:t>
            </w:r>
            <w:r>
              <w:rPr>
                <w:rFonts w:ascii="Times New Roman" w:hAnsi="Times New Roman" w:cs="Times New Roman" w:eastAsiaTheme="minorEastAsia"/>
                <w:color w:val="302116"/>
                <w:sz w:val="24"/>
                <w:szCs w:val="24"/>
                <w:lang w:eastAsia="zh-CN"/>
              </w:rPr>
              <w:t>根据项目建设内容及《环境影响评价技术导则—声环境》（HJ2.4-2021）的要求，项目环评采用的模型为《环境影响评价技术导则 声环境》</w:t>
            </w:r>
            <w:r>
              <w:rPr>
                <w:rFonts w:hint="eastAsia" w:cs="Times New Roman" w:eastAsiaTheme="minorEastAsia"/>
                <w:color w:val="302116"/>
                <w:sz w:val="24"/>
                <w:szCs w:val="24"/>
                <w:lang w:eastAsia="zh-CN"/>
              </w:rPr>
              <w:t>（</w:t>
            </w:r>
            <w:r>
              <w:rPr>
                <w:rFonts w:ascii="Times New Roman" w:hAnsi="Times New Roman" w:cs="Times New Roman" w:eastAsiaTheme="minorEastAsia"/>
                <w:color w:val="302116"/>
                <w:sz w:val="24"/>
                <w:szCs w:val="24"/>
                <w:lang w:eastAsia="zh-CN"/>
              </w:rPr>
              <w:t>HJ2.4.2021</w:t>
            </w:r>
            <w:r>
              <w:rPr>
                <w:rFonts w:hint="eastAsia" w:cs="Times New Roman" w:eastAsiaTheme="minorEastAsia"/>
                <w:color w:val="302116"/>
                <w:sz w:val="24"/>
                <w:szCs w:val="24"/>
                <w:lang w:eastAsia="zh-CN"/>
              </w:rPr>
              <w:t>）</w:t>
            </w:r>
            <w:r>
              <w:rPr>
                <w:rFonts w:ascii="Times New Roman" w:hAnsi="Times New Roman" w:cs="Times New Roman" w:eastAsiaTheme="minorEastAsia"/>
                <w:color w:val="302116"/>
                <w:sz w:val="24"/>
                <w:szCs w:val="24"/>
                <w:lang w:eastAsia="zh-CN"/>
              </w:rPr>
              <w:t>附录A（规范性附录）户外声传播的衰减和附录B（规范性附录）中</w:t>
            </w:r>
            <w:r>
              <w:rPr>
                <w:rFonts w:hint="eastAsia" w:cs="Times New Roman" w:eastAsiaTheme="minorEastAsia"/>
                <w:color w:val="302116"/>
                <w:sz w:val="24"/>
                <w:szCs w:val="24"/>
                <w:lang w:eastAsia="zh-CN"/>
              </w:rPr>
              <w:t>“</w:t>
            </w:r>
            <w:r>
              <w:rPr>
                <w:rFonts w:ascii="Times New Roman" w:hAnsi="Times New Roman" w:cs="Times New Roman" w:eastAsiaTheme="minorEastAsia"/>
                <w:color w:val="302116"/>
                <w:sz w:val="24"/>
                <w:szCs w:val="24"/>
                <w:lang w:eastAsia="zh-CN"/>
              </w:rPr>
              <w:t>B.1工业噪声预测计算模型</w:t>
            </w:r>
            <w:r>
              <w:rPr>
                <w:rFonts w:hint="eastAsia" w:cs="Times New Roman" w:eastAsiaTheme="minorEastAsia"/>
                <w:color w:val="302116"/>
                <w:sz w:val="24"/>
                <w:szCs w:val="24"/>
                <w:lang w:eastAsia="zh-CN"/>
              </w:rPr>
              <w:t>”</w:t>
            </w:r>
            <w:r>
              <w:rPr>
                <w:rFonts w:cs="Times New Roman"/>
              </w:rPr>
              <w:t>。</w:t>
            </w:r>
          </w:p>
          <w:p>
            <w:pPr>
              <w:widowControl/>
              <w:ind w:firstLine="480"/>
              <w:jc w:val="left"/>
              <w:rPr>
                <w:rFonts w:cs="Times New Roman"/>
                <w:bCs/>
              </w:rPr>
            </w:pPr>
            <w:r>
              <w:rPr>
                <w:rFonts w:cs="Times New Roman"/>
                <w:bCs/>
              </w:rPr>
              <w:t>对室外噪声源主要考虑噪声的几何发散衰减及</w:t>
            </w:r>
            <w:bookmarkStart w:id="15" w:name="OLE_LINK4"/>
            <w:r>
              <w:rPr>
                <w:rFonts w:cs="Times New Roman"/>
                <w:bCs/>
              </w:rPr>
              <w:t>环境因</w:t>
            </w:r>
            <w:bookmarkEnd w:id="15"/>
            <w:r>
              <w:rPr>
                <w:rFonts w:cs="Times New Roman"/>
                <w:bCs/>
              </w:rPr>
              <w:t>素衰减：</w:t>
            </w:r>
          </w:p>
          <w:p>
            <w:pPr>
              <w:widowControl/>
              <w:ind w:firstLine="199" w:firstLineChars="83"/>
              <w:jc w:val="center"/>
              <w:rPr>
                <w:rFonts w:hint="eastAsia" w:eastAsia="宋体" w:cs="Times New Roman"/>
                <w:bCs/>
                <w:lang w:eastAsia="zh-CN"/>
              </w:rPr>
            </w:pPr>
            <w:r>
              <w:rPr>
                <w:rFonts w:cs="Times New Roman"/>
                <w:bCs/>
              </w:rPr>
              <w:t>L</w:t>
            </w:r>
            <w:r>
              <w:rPr>
                <w:rFonts w:cs="Times New Roman"/>
                <w:bCs/>
                <w:vertAlign w:val="subscript"/>
              </w:rPr>
              <w:t>A</w:t>
            </w:r>
            <w:r>
              <w:rPr>
                <w:rFonts w:hint="eastAsia" w:cs="Times New Roman"/>
                <w:bCs/>
                <w:lang w:eastAsia="zh-CN"/>
              </w:rPr>
              <w:t>（</w:t>
            </w:r>
            <w:r>
              <w:rPr>
                <w:rFonts w:cs="Times New Roman"/>
                <w:bCs/>
              </w:rPr>
              <w:t>r</w:t>
            </w:r>
            <w:r>
              <w:rPr>
                <w:rFonts w:hint="eastAsia" w:cs="Times New Roman"/>
                <w:bCs/>
                <w:lang w:eastAsia="zh-CN"/>
              </w:rPr>
              <w:t>）</w:t>
            </w:r>
            <w:r>
              <w:rPr>
                <w:rFonts w:cs="Times New Roman"/>
                <w:bCs/>
              </w:rPr>
              <w:t>=LA</w:t>
            </w:r>
            <w:r>
              <w:rPr>
                <w:rFonts w:hint="eastAsia" w:cs="Times New Roman"/>
                <w:bCs/>
                <w:lang w:eastAsia="zh-CN"/>
              </w:rPr>
              <w:t>（</w:t>
            </w:r>
            <w:r>
              <w:rPr>
                <w:rFonts w:cs="Times New Roman"/>
                <w:bCs/>
              </w:rPr>
              <w:t>r</w:t>
            </w:r>
            <w:r>
              <w:rPr>
                <w:rFonts w:cs="Times New Roman"/>
                <w:bCs/>
                <w:vertAlign w:val="subscript"/>
              </w:rPr>
              <w:t>0</w:t>
            </w:r>
            <w:r>
              <w:rPr>
                <w:rFonts w:hint="eastAsia" w:cs="Times New Roman"/>
                <w:bCs/>
                <w:lang w:eastAsia="zh-CN"/>
              </w:rPr>
              <w:t>）</w:t>
            </w:r>
            <w:r>
              <w:rPr>
                <w:rFonts w:cs="Times New Roman"/>
                <w:bCs/>
              </w:rPr>
              <w:t>-20lg</w:t>
            </w:r>
            <w:r>
              <w:rPr>
                <w:rFonts w:hint="eastAsia" w:cs="Times New Roman"/>
                <w:bCs/>
                <w:lang w:eastAsia="zh-CN"/>
              </w:rPr>
              <w:t>（</w:t>
            </w:r>
            <w:r>
              <w:rPr>
                <w:rFonts w:cs="Times New Roman"/>
                <w:bCs/>
              </w:rPr>
              <w:t>r/r</w:t>
            </w:r>
            <w:r>
              <w:rPr>
                <w:rFonts w:cs="Times New Roman"/>
                <w:bCs/>
                <w:vertAlign w:val="subscript"/>
              </w:rPr>
              <w:t>0</w:t>
            </w:r>
            <w:r>
              <w:rPr>
                <w:rFonts w:hint="eastAsia" w:cs="Times New Roman"/>
                <w:bCs/>
                <w:lang w:eastAsia="zh-CN"/>
              </w:rPr>
              <w:t>）</w:t>
            </w:r>
          </w:p>
          <w:p>
            <w:pPr>
              <w:widowControl/>
              <w:ind w:firstLine="480"/>
              <w:jc w:val="left"/>
              <w:rPr>
                <w:rFonts w:cs="Times New Roman"/>
                <w:bCs/>
              </w:rPr>
            </w:pPr>
            <w:r>
              <w:rPr>
                <w:rFonts w:cs="Times New Roman"/>
                <w:bCs/>
              </w:rPr>
              <w:t>式中：r，r</w:t>
            </w:r>
            <w:r>
              <w:rPr>
                <w:rFonts w:cs="Times New Roman"/>
                <w:bCs/>
                <w:vertAlign w:val="subscript"/>
              </w:rPr>
              <w:t>0</w:t>
            </w:r>
            <w:r>
              <w:rPr>
                <w:rFonts w:cs="Times New Roman"/>
                <w:bCs/>
              </w:rPr>
              <w:t>——</w:t>
            </w:r>
            <w:bookmarkStart w:id="16" w:name="OLE_LINK5"/>
            <w:r>
              <w:rPr>
                <w:rFonts w:cs="Times New Roman"/>
                <w:bCs/>
              </w:rPr>
              <w:t>分别为距声源的距离</w:t>
            </w:r>
            <w:bookmarkEnd w:id="16"/>
            <w:r>
              <w:rPr>
                <w:rFonts w:cs="Times New Roman"/>
                <w:bCs/>
              </w:rPr>
              <w:t>，m；</w:t>
            </w:r>
          </w:p>
          <w:p>
            <w:pPr>
              <w:widowControl/>
              <w:ind w:firstLine="480"/>
              <w:jc w:val="left"/>
              <w:rPr>
                <w:rFonts w:cs="Times New Roman"/>
                <w:bCs/>
              </w:rPr>
            </w:pPr>
            <w:r>
              <w:rPr>
                <w:rFonts w:cs="Times New Roman"/>
                <w:bCs/>
              </w:rPr>
              <w:t>L</w:t>
            </w:r>
            <w:r>
              <w:rPr>
                <w:rFonts w:hint="eastAsia" w:cs="Times New Roman"/>
                <w:bCs/>
                <w:lang w:eastAsia="zh-CN"/>
              </w:rPr>
              <w:t>（</w:t>
            </w:r>
            <w:r>
              <w:rPr>
                <w:rFonts w:cs="Times New Roman"/>
                <w:bCs/>
              </w:rPr>
              <w:t>r</w:t>
            </w:r>
            <w:r>
              <w:rPr>
                <w:rFonts w:hint="eastAsia" w:cs="Times New Roman"/>
                <w:bCs/>
                <w:lang w:eastAsia="zh-CN"/>
              </w:rPr>
              <w:t>）</w:t>
            </w:r>
            <w:r>
              <w:rPr>
                <w:rFonts w:cs="Times New Roman"/>
                <w:bCs/>
              </w:rPr>
              <w:t>，LA</w:t>
            </w:r>
            <w:r>
              <w:rPr>
                <w:rFonts w:hint="eastAsia" w:cs="Times New Roman"/>
                <w:bCs/>
                <w:lang w:eastAsia="zh-CN"/>
              </w:rPr>
              <w:t>（</w:t>
            </w:r>
            <w:r>
              <w:rPr>
                <w:rFonts w:cs="Times New Roman"/>
                <w:bCs/>
              </w:rPr>
              <w:t>r</w:t>
            </w:r>
            <w:r>
              <w:rPr>
                <w:rFonts w:cs="Times New Roman"/>
                <w:bCs/>
                <w:vertAlign w:val="subscript"/>
              </w:rPr>
              <w:t>0</w:t>
            </w:r>
            <w:r>
              <w:rPr>
                <w:rFonts w:hint="eastAsia" w:cs="Times New Roman"/>
                <w:bCs/>
                <w:lang w:eastAsia="zh-CN"/>
              </w:rPr>
              <w:t>）</w:t>
            </w:r>
            <w:r>
              <w:rPr>
                <w:rFonts w:cs="Times New Roman"/>
                <w:bCs/>
              </w:rPr>
              <w:t>——分别为r与r</w:t>
            </w:r>
            <w:r>
              <w:rPr>
                <w:rFonts w:cs="Times New Roman"/>
                <w:bCs/>
                <w:vertAlign w:val="subscript"/>
              </w:rPr>
              <w:t>0</w:t>
            </w:r>
            <w:r>
              <w:rPr>
                <w:rFonts w:cs="Times New Roman"/>
                <w:bCs/>
              </w:rPr>
              <w:t>处的等效声级，dB</w:t>
            </w:r>
            <w:r>
              <w:rPr>
                <w:rFonts w:hint="eastAsia" w:cs="Times New Roman"/>
                <w:bCs/>
                <w:lang w:eastAsia="zh-CN"/>
              </w:rPr>
              <w:t>（</w:t>
            </w:r>
            <w:r>
              <w:rPr>
                <w:rFonts w:cs="Times New Roman"/>
                <w:bCs/>
              </w:rPr>
              <w:t>A</w:t>
            </w:r>
            <w:r>
              <w:rPr>
                <w:rFonts w:hint="eastAsia" w:cs="Times New Roman"/>
                <w:bCs/>
                <w:lang w:eastAsia="zh-CN"/>
              </w:rPr>
              <w:t>）</w:t>
            </w:r>
            <w:r>
              <w:rPr>
                <w:rFonts w:cs="Times New Roman"/>
                <w:bCs/>
              </w:rPr>
              <w:t>。</w:t>
            </w:r>
          </w:p>
          <w:p>
            <w:pPr>
              <w:widowControl/>
              <w:ind w:firstLine="480"/>
              <w:jc w:val="left"/>
              <w:rPr>
                <w:rFonts w:cs="Times New Roman"/>
                <w:bCs/>
              </w:rPr>
            </w:pPr>
            <w:r>
              <w:rPr>
                <w:rFonts w:cs="Times New Roman"/>
                <w:bCs/>
              </w:rPr>
              <w:t>对室内噪声源采用室内声源噪声模式并换算成等效的室外声源：</w:t>
            </w:r>
          </w:p>
          <w:p>
            <w:pPr>
              <w:widowControl/>
              <w:ind w:left="420" w:firstLine="480"/>
              <w:jc w:val="both"/>
              <w:rPr>
                <w:rFonts w:cs="Times New Roman"/>
                <w:bCs/>
                <w:szCs w:val="21"/>
              </w:rPr>
            </w:pPr>
            <w:r>
              <w:rPr>
                <w:rFonts w:hint="eastAsia" w:cs="Times New Roman"/>
                <w:szCs w:val="21"/>
                <w:lang w:val="en-US" w:eastAsia="zh-CN"/>
              </w:rPr>
              <w:t xml:space="preserve">                 </w:t>
            </w:r>
            <w:r>
              <w:rPr>
                <w:rFonts w:cs="Times New Roman"/>
                <w:szCs w:val="21"/>
              </w:rPr>
              <w:drawing>
                <wp:inline distT="0" distB="0" distL="0" distR="0">
                  <wp:extent cx="1590675" cy="390525"/>
                  <wp:effectExtent l="0" t="0" r="9525"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90675" cy="390525"/>
                          </a:xfrm>
                          <a:prstGeom prst="rect">
                            <a:avLst/>
                          </a:prstGeom>
                          <a:noFill/>
                          <a:ln>
                            <a:noFill/>
                          </a:ln>
                        </pic:spPr>
                      </pic:pic>
                    </a:graphicData>
                  </a:graphic>
                </wp:inline>
              </w:drawing>
            </w:r>
          </w:p>
          <w:p>
            <w:pPr>
              <w:widowControl/>
              <w:ind w:firstLine="240" w:firstLineChars="100"/>
              <w:jc w:val="center"/>
              <w:rPr>
                <w:rFonts w:cs="Times New Roman"/>
                <w:bCs/>
                <w:szCs w:val="21"/>
              </w:rPr>
            </w:pPr>
            <w:r>
              <w:rPr>
                <w:rFonts w:cs="Times New Roman"/>
                <w:szCs w:val="21"/>
              </w:rPr>
              <w:drawing>
                <wp:inline distT="0" distB="0" distL="0" distR="0">
                  <wp:extent cx="1638300" cy="228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38300" cy="228600"/>
                          </a:xfrm>
                          <a:prstGeom prst="rect">
                            <a:avLst/>
                          </a:prstGeom>
                          <a:noFill/>
                          <a:ln>
                            <a:noFill/>
                          </a:ln>
                        </pic:spPr>
                      </pic:pic>
                    </a:graphicData>
                  </a:graphic>
                </wp:inline>
              </w:drawing>
            </w:r>
          </w:p>
          <w:p>
            <w:pPr>
              <w:widowControl/>
              <w:ind w:firstLine="480"/>
              <w:jc w:val="left"/>
              <w:rPr>
                <w:rFonts w:cs="Times New Roman"/>
                <w:bCs/>
              </w:rPr>
            </w:pPr>
            <w:r>
              <w:rPr>
                <w:rFonts w:cs="Times New Roman"/>
                <w:bCs/>
              </w:rPr>
              <w:t>式中：Ln——室内靠近围护结构处产生的声压级，dB；</w:t>
            </w:r>
          </w:p>
          <w:p>
            <w:pPr>
              <w:widowControl/>
              <w:ind w:firstLine="1200" w:firstLineChars="500"/>
              <w:jc w:val="left"/>
              <w:rPr>
                <w:rFonts w:cs="Times New Roman"/>
                <w:bCs/>
              </w:rPr>
            </w:pPr>
            <w:r>
              <w:rPr>
                <w:rFonts w:cs="Times New Roman"/>
                <w:bCs/>
              </w:rPr>
              <w:t>L</w:t>
            </w:r>
            <w:r>
              <w:rPr>
                <w:rFonts w:cs="Times New Roman"/>
                <w:bCs/>
                <w:vertAlign w:val="subscript"/>
              </w:rPr>
              <w:t>W</w:t>
            </w:r>
            <w:r>
              <w:rPr>
                <w:rFonts w:cs="Times New Roman"/>
                <w:bCs/>
              </w:rPr>
              <w:t>——室外靠近围护结构处产生的声压级，dB；</w:t>
            </w:r>
          </w:p>
          <w:p>
            <w:pPr>
              <w:widowControl/>
              <w:ind w:firstLine="1200" w:firstLineChars="500"/>
              <w:jc w:val="left"/>
              <w:rPr>
                <w:rFonts w:cs="Times New Roman"/>
                <w:bCs/>
              </w:rPr>
            </w:pPr>
            <w:r>
              <w:rPr>
                <w:rFonts w:cs="Times New Roman"/>
                <w:bCs/>
              </w:rPr>
              <w:t>Le——声源的声压级，dB</w:t>
            </w:r>
          </w:p>
          <w:p>
            <w:pPr>
              <w:widowControl/>
              <w:ind w:firstLine="1200" w:firstLineChars="500"/>
              <w:jc w:val="left"/>
              <w:rPr>
                <w:rFonts w:cs="Times New Roman"/>
                <w:bCs/>
              </w:rPr>
            </w:pPr>
            <w:r>
              <w:rPr>
                <w:rFonts w:cs="Times New Roman"/>
                <w:bCs/>
              </w:rPr>
              <w:t>r——声源与室内靠近围护结构处的距离，m；</w:t>
            </w:r>
          </w:p>
          <w:p>
            <w:pPr>
              <w:widowControl/>
              <w:ind w:firstLine="1200" w:firstLineChars="500"/>
              <w:jc w:val="left"/>
              <w:rPr>
                <w:rFonts w:cs="Times New Roman"/>
                <w:bCs/>
              </w:rPr>
            </w:pPr>
            <w:r>
              <w:rPr>
                <w:rFonts w:cs="Times New Roman"/>
                <w:bCs/>
              </w:rPr>
              <w:t>R——房间常数，m</w:t>
            </w:r>
            <w:r>
              <w:rPr>
                <w:rFonts w:cs="Times New Roman"/>
                <w:bCs/>
                <w:vertAlign w:val="superscript"/>
              </w:rPr>
              <w:t>2</w:t>
            </w:r>
            <w:r>
              <w:rPr>
                <w:rFonts w:cs="Times New Roman"/>
                <w:bCs/>
              </w:rPr>
              <w:t>；</w:t>
            </w:r>
          </w:p>
          <w:p>
            <w:pPr>
              <w:widowControl/>
              <w:ind w:firstLine="1200" w:firstLineChars="500"/>
              <w:jc w:val="left"/>
              <w:rPr>
                <w:rFonts w:cs="Times New Roman"/>
                <w:bCs/>
              </w:rPr>
            </w:pPr>
            <w:r>
              <w:rPr>
                <w:rFonts w:cs="Times New Roman"/>
                <w:bCs/>
              </w:rPr>
              <w:t>Q——方向性因子；</w:t>
            </w:r>
          </w:p>
          <w:p>
            <w:pPr>
              <w:widowControl/>
              <w:ind w:firstLine="1200" w:firstLineChars="500"/>
              <w:jc w:val="left"/>
              <w:rPr>
                <w:rFonts w:cs="Times New Roman"/>
                <w:bCs/>
              </w:rPr>
            </w:pPr>
            <w:r>
              <w:rPr>
                <w:rFonts w:cs="Times New Roman"/>
                <w:bCs/>
              </w:rPr>
              <w:t>TL——围护结构的传输损失，dB；</w:t>
            </w:r>
          </w:p>
          <w:p>
            <w:pPr>
              <w:widowControl/>
              <w:ind w:firstLine="1200" w:firstLineChars="500"/>
              <w:jc w:val="left"/>
              <w:rPr>
                <w:rFonts w:cs="Times New Roman"/>
                <w:snapToGrid w:val="0"/>
                <w:kern w:val="0"/>
              </w:rPr>
            </w:pPr>
            <w:r>
              <w:rPr>
                <w:rFonts w:cs="Times New Roman"/>
                <w:bCs/>
              </w:rPr>
              <w:t>S—</w:t>
            </w:r>
            <w:r>
              <w:rPr>
                <w:rFonts w:cs="Times New Roman"/>
                <w:snapToGrid w:val="0"/>
                <w:kern w:val="0"/>
              </w:rPr>
              <w:t>—透声面积，m</w:t>
            </w:r>
            <w:r>
              <w:rPr>
                <w:rFonts w:cs="Times New Roman"/>
                <w:snapToGrid w:val="0"/>
                <w:kern w:val="0"/>
                <w:vertAlign w:val="superscript"/>
              </w:rPr>
              <w:t>2</w:t>
            </w:r>
          </w:p>
          <w:p>
            <w:pPr>
              <w:ind w:firstLine="480"/>
              <w:rPr>
                <w:rFonts w:cs="Times New Roman"/>
                <w:snapToGrid w:val="0"/>
                <w:kern w:val="0"/>
              </w:rPr>
            </w:pPr>
            <w:r>
              <w:rPr>
                <w:rFonts w:cs="Times New Roman"/>
                <w:snapToGrid w:val="0"/>
                <w:kern w:val="0"/>
              </w:rPr>
              <w:t>对两个以上多个声源同时存在时，其预测点总声压级采用下面公式：</w:t>
            </w:r>
          </w:p>
          <w:p>
            <w:pPr>
              <w:ind w:firstLine="480"/>
              <w:jc w:val="center"/>
              <w:rPr>
                <w:rFonts w:hint="eastAsia" w:eastAsia="宋体" w:cs="Times New Roman"/>
                <w:snapToGrid w:val="0"/>
                <w:kern w:val="0"/>
                <w:lang w:eastAsia="zh-CN"/>
              </w:rPr>
            </w:pPr>
            <w:r>
              <w:rPr>
                <w:rFonts w:cs="Times New Roman"/>
                <w:snapToGrid w:val="0"/>
                <w:kern w:val="0"/>
              </w:rPr>
              <w:t>L</w:t>
            </w:r>
            <w:r>
              <w:rPr>
                <w:rFonts w:cs="Times New Roman"/>
                <w:snapToGrid w:val="0"/>
                <w:kern w:val="0"/>
                <w:vertAlign w:val="subscript"/>
              </w:rPr>
              <w:t>eq</w:t>
            </w:r>
            <w:r>
              <w:rPr>
                <w:rFonts w:cs="Times New Roman"/>
                <w:snapToGrid w:val="0"/>
                <w:kern w:val="0"/>
              </w:rPr>
              <w:t>=10lg</w:t>
            </w:r>
            <w:r>
              <w:rPr>
                <w:rFonts w:hint="eastAsia" w:cs="Times New Roman"/>
                <w:snapToGrid w:val="0"/>
                <w:kern w:val="0"/>
                <w:lang w:eastAsia="zh-CN"/>
              </w:rPr>
              <w:t>（</w:t>
            </w:r>
            <w:r>
              <w:rPr>
                <w:rFonts w:cs="Times New Roman"/>
                <w:snapToGrid w:val="0"/>
                <w:kern w:val="0"/>
              </w:rPr>
              <w:t>100.1Li</w:t>
            </w:r>
            <w:r>
              <w:rPr>
                <w:rFonts w:hint="eastAsia" w:cs="Times New Roman"/>
                <w:snapToGrid w:val="0"/>
                <w:kern w:val="0"/>
                <w:lang w:eastAsia="zh-CN"/>
              </w:rPr>
              <w:t>）</w:t>
            </w:r>
          </w:p>
          <w:p>
            <w:pPr>
              <w:ind w:firstLine="480"/>
              <w:rPr>
                <w:rFonts w:cs="Times New Roman"/>
                <w:snapToGrid w:val="0"/>
                <w:kern w:val="0"/>
              </w:rPr>
            </w:pPr>
            <w:r>
              <w:rPr>
                <w:rFonts w:cs="Times New Roman"/>
                <w:snapToGrid w:val="0"/>
                <w:kern w:val="0"/>
              </w:rPr>
              <w:t>式中：L</w:t>
            </w:r>
            <w:r>
              <w:rPr>
                <w:rFonts w:cs="Times New Roman"/>
                <w:snapToGrid w:val="0"/>
                <w:kern w:val="0"/>
                <w:vertAlign w:val="subscript"/>
              </w:rPr>
              <w:t>eq</w:t>
            </w:r>
            <w:r>
              <w:rPr>
                <w:rFonts w:cs="Times New Roman"/>
                <w:snapToGrid w:val="0"/>
                <w:kern w:val="0"/>
              </w:rPr>
              <w:t>-----预测点的总等效声级，dB</w:t>
            </w:r>
            <w:r>
              <w:rPr>
                <w:rFonts w:hint="eastAsia" w:cs="Times New Roman"/>
                <w:snapToGrid w:val="0"/>
                <w:kern w:val="0"/>
                <w:lang w:eastAsia="zh-CN"/>
              </w:rPr>
              <w:t>（</w:t>
            </w:r>
            <w:r>
              <w:rPr>
                <w:rFonts w:cs="Times New Roman"/>
                <w:snapToGrid w:val="0"/>
                <w:kern w:val="0"/>
              </w:rPr>
              <w:t>A</w:t>
            </w:r>
            <w:r>
              <w:rPr>
                <w:rFonts w:hint="eastAsia" w:cs="Times New Roman"/>
                <w:snapToGrid w:val="0"/>
                <w:kern w:val="0"/>
                <w:lang w:eastAsia="zh-CN"/>
              </w:rPr>
              <w:t>）</w:t>
            </w:r>
            <w:r>
              <w:rPr>
                <w:rFonts w:cs="Times New Roman"/>
                <w:snapToGrid w:val="0"/>
                <w:kern w:val="0"/>
              </w:rPr>
              <w:t>；</w:t>
            </w:r>
          </w:p>
          <w:p>
            <w:pPr>
              <w:ind w:firstLine="1200" w:firstLineChars="500"/>
              <w:rPr>
                <w:rFonts w:cs="Times New Roman"/>
                <w:snapToGrid w:val="0"/>
                <w:kern w:val="0"/>
              </w:rPr>
            </w:pPr>
            <w:r>
              <w:rPr>
                <w:rFonts w:cs="Times New Roman"/>
                <w:snapToGrid w:val="0"/>
                <w:kern w:val="0"/>
              </w:rPr>
              <w:t>Li-----第i个声源对预测点的声级影响，dB</w:t>
            </w:r>
            <w:r>
              <w:rPr>
                <w:rFonts w:hint="eastAsia" w:cs="Times New Roman"/>
                <w:snapToGrid w:val="0"/>
                <w:kern w:val="0"/>
                <w:lang w:eastAsia="zh-CN"/>
              </w:rPr>
              <w:t>（</w:t>
            </w:r>
            <w:r>
              <w:rPr>
                <w:rFonts w:cs="Times New Roman"/>
                <w:snapToGrid w:val="0"/>
                <w:kern w:val="0"/>
              </w:rPr>
              <w:t>A</w:t>
            </w:r>
            <w:r>
              <w:rPr>
                <w:rFonts w:hint="eastAsia" w:cs="Times New Roman"/>
                <w:snapToGrid w:val="0"/>
                <w:kern w:val="0"/>
                <w:lang w:eastAsia="zh-CN"/>
              </w:rPr>
              <w:t>）</w:t>
            </w:r>
            <w:r>
              <w:rPr>
                <w:rFonts w:cs="Times New Roman"/>
                <w:snapToGrid w:val="0"/>
                <w:kern w:val="0"/>
              </w:rPr>
              <w:t>。</w:t>
            </w:r>
          </w:p>
          <w:p>
            <w:pPr>
              <w:ind w:firstLine="480"/>
              <w:rPr>
                <w:rFonts w:cs="Times New Roman"/>
                <w:snapToGrid w:val="0"/>
                <w:kern w:val="0"/>
              </w:rPr>
            </w:pPr>
            <w:r>
              <w:rPr>
                <w:rFonts w:cs="Times New Roman"/>
                <w:snapToGrid w:val="0"/>
                <w:kern w:val="0"/>
              </w:rPr>
              <w:t>根据预测模式，分析本项目噪声对项目附近声环境质量的影响程度和范围。</w:t>
            </w:r>
          </w:p>
          <w:p>
            <w:pPr>
              <w:pStyle w:val="5"/>
              <w:rPr>
                <w:rFonts w:hint="default" w:cs="Times New Roman"/>
                <w:snapToGrid w:val="0"/>
                <w:kern w:val="0"/>
                <w:lang w:val="en-US"/>
              </w:rPr>
            </w:pPr>
            <w:r>
              <w:rPr>
                <w:rFonts w:hint="eastAsia"/>
                <w:lang w:val="en-US" w:eastAsia="zh-CN"/>
              </w:rPr>
              <w:t>4.2.3.3噪声预测结果</w:t>
            </w:r>
          </w:p>
          <w:p>
            <w:pPr>
              <w:ind w:firstLine="480"/>
              <w:rPr>
                <w:rFonts w:hint="eastAsia"/>
                <w:color w:val="000000" w:themeColor="text1"/>
                <w14:textFill>
                  <w14:solidFill>
                    <w14:schemeClr w14:val="tx1"/>
                  </w14:solidFill>
                </w14:textFill>
              </w:rPr>
            </w:pPr>
            <w:r>
              <w:rPr>
                <w:rFonts w:cs="Times New Roman"/>
                <w:snapToGrid w:val="0"/>
                <w:kern w:val="0"/>
              </w:rPr>
              <w:t>本次对项目边界噪声作预测，</w:t>
            </w:r>
            <w:r>
              <w:rPr>
                <w:rFonts w:hint="eastAsia" w:cs="Times New Roman"/>
                <w:snapToGrid w:val="0"/>
                <w:kern w:val="0"/>
                <w:lang w:val="en-US" w:eastAsia="zh-CN"/>
              </w:rPr>
              <w:t>本项目产噪设备叠加厂区主体工程噪声贡献值后</w:t>
            </w:r>
            <w:r>
              <w:rPr>
                <w:rFonts w:cs="Times New Roman"/>
                <w:snapToGrid w:val="0"/>
                <w:kern w:val="0"/>
              </w:rPr>
              <w:t>预测结果见</w:t>
            </w:r>
            <w:r>
              <w:rPr>
                <w:rFonts w:hint="eastAsia" w:cs="Times New Roman"/>
                <w:snapToGrid w:val="0"/>
                <w:kern w:val="0"/>
                <w:lang w:val="en-US" w:eastAsia="zh-CN"/>
              </w:rPr>
              <w:t>下</w:t>
            </w:r>
            <w:r>
              <w:rPr>
                <w:rFonts w:cs="Times New Roman"/>
                <w:snapToGrid w:val="0"/>
                <w:kern w:val="0"/>
              </w:rPr>
              <w:t>表</w:t>
            </w:r>
            <w:r>
              <w:rPr>
                <w:rFonts w:hint="eastAsia"/>
                <w:color w:val="000000" w:themeColor="text1"/>
                <w14:textFill>
                  <w14:solidFill>
                    <w14:schemeClr w14:val="tx1"/>
                  </w14:solidFill>
                </w14:textFill>
              </w:rPr>
              <w:t>。</w:t>
            </w:r>
          </w:p>
          <w:p>
            <w:pPr>
              <w:pStyle w:val="34"/>
              <w:bidi w:val="0"/>
              <w:rPr>
                <w:rFonts w:hint="eastAsia"/>
              </w:rPr>
            </w:pPr>
            <w:r>
              <w:rPr>
                <w:rFonts w:hint="eastAsia"/>
              </w:rPr>
              <w:t>表4</w:t>
            </w:r>
            <w:r>
              <w:t>-</w:t>
            </w:r>
            <w:r>
              <w:rPr>
                <w:rFonts w:hint="eastAsia"/>
                <w:lang w:val="en-US" w:eastAsia="zh-CN"/>
              </w:rPr>
              <w:t>5</w:t>
            </w:r>
            <w:r>
              <w:t xml:space="preserve">  </w:t>
            </w:r>
            <w:r>
              <w:rPr>
                <w:rFonts w:hint="eastAsia"/>
              </w:rPr>
              <w:t>声环境预测结果</w:t>
            </w:r>
            <w:r>
              <w:t xml:space="preserve">  </w:t>
            </w:r>
            <w:r>
              <w:rPr>
                <w:rFonts w:hint="eastAsia"/>
              </w:rPr>
              <w:t>单位：</w:t>
            </w:r>
            <w:r>
              <w:t>dB</w:t>
            </w:r>
            <w:r>
              <w:rPr>
                <w:rFonts w:hint="eastAsia"/>
              </w:rPr>
              <w:t>（</w:t>
            </w:r>
            <w:r>
              <w:t>A</w:t>
            </w:r>
            <w:r>
              <w:rPr>
                <w:rFonts w:hint="eastAsia"/>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734"/>
              <w:gridCol w:w="766"/>
              <w:gridCol w:w="567"/>
              <w:gridCol w:w="667"/>
              <w:gridCol w:w="1066"/>
              <w:gridCol w:w="984"/>
              <w:gridCol w:w="1183"/>
              <w:gridCol w:w="1100"/>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701" w:type="dxa"/>
                  <w:vMerge w:val="restart"/>
                  <w:vAlign w:val="center"/>
                </w:tcPr>
                <w:p>
                  <w:pPr>
                    <w:pStyle w:val="33"/>
                    <w:bidi w:val="0"/>
                  </w:pPr>
                  <w:r>
                    <w:t>预测方位</w:t>
                  </w:r>
                </w:p>
              </w:tc>
              <w:tc>
                <w:tcPr>
                  <w:tcW w:w="2067" w:type="dxa"/>
                  <w:gridSpan w:val="3"/>
                  <w:vAlign w:val="center"/>
                </w:tcPr>
                <w:p>
                  <w:pPr>
                    <w:pStyle w:val="33"/>
                    <w:bidi w:val="0"/>
                  </w:pPr>
                  <w:r>
                    <w:rPr>
                      <w:rFonts w:hint="eastAsia"/>
                      <w:lang w:val="en-US" w:eastAsia="zh-CN"/>
                    </w:rPr>
                    <w:t>最大值点</w:t>
                  </w:r>
                  <w:r>
                    <w:t>空间相对位置/m</w:t>
                  </w:r>
                </w:p>
              </w:tc>
              <w:tc>
                <w:tcPr>
                  <w:tcW w:w="667" w:type="dxa"/>
                  <w:vMerge w:val="restart"/>
                  <w:vAlign w:val="center"/>
                </w:tcPr>
                <w:p>
                  <w:pPr>
                    <w:pStyle w:val="33"/>
                    <w:bidi w:val="0"/>
                  </w:pPr>
                  <w:r>
                    <w:t>时段</w:t>
                  </w:r>
                </w:p>
              </w:tc>
              <w:tc>
                <w:tcPr>
                  <w:tcW w:w="1066" w:type="dxa"/>
                  <w:vMerge w:val="restart"/>
                  <w:vAlign w:val="center"/>
                </w:tcPr>
                <w:p>
                  <w:pPr>
                    <w:pStyle w:val="33"/>
                    <w:bidi w:val="0"/>
                  </w:pPr>
                  <w:r>
                    <w:rPr>
                      <w:rFonts w:hint="eastAsia"/>
                      <w:lang w:val="en-US" w:eastAsia="zh-CN"/>
                    </w:rPr>
                    <w:t>主体工程</w:t>
                  </w:r>
                  <w:r>
                    <w:rPr>
                      <w:rFonts w:hint="eastAsia"/>
                    </w:rPr>
                    <w:t>贡献值</w:t>
                  </w:r>
                  <w:r>
                    <w:t>（dB(A)）</w:t>
                  </w:r>
                </w:p>
              </w:tc>
              <w:tc>
                <w:tcPr>
                  <w:tcW w:w="984" w:type="dxa"/>
                  <w:vMerge w:val="restart"/>
                  <w:vAlign w:val="center"/>
                </w:tcPr>
                <w:p>
                  <w:pPr>
                    <w:pStyle w:val="33"/>
                    <w:bidi w:val="0"/>
                    <w:ind w:firstLine="0" w:firstLineChars="0"/>
                    <w:rPr>
                      <w:rFonts w:hint="eastAsia"/>
                    </w:rPr>
                  </w:pPr>
                  <w:r>
                    <w:rPr>
                      <w:rFonts w:hint="eastAsia"/>
                      <w:lang w:val="en-US" w:eastAsia="zh-CN"/>
                    </w:rPr>
                    <w:t>本项目</w:t>
                  </w:r>
                  <w:r>
                    <w:rPr>
                      <w:rFonts w:hint="eastAsia"/>
                    </w:rPr>
                    <w:t>贡献值</w:t>
                  </w:r>
                  <w:r>
                    <w:t>（dB(A)）</w:t>
                  </w:r>
                </w:p>
              </w:tc>
              <w:tc>
                <w:tcPr>
                  <w:tcW w:w="1183" w:type="dxa"/>
                  <w:vMerge w:val="restart"/>
                  <w:vAlign w:val="center"/>
                </w:tcPr>
                <w:p>
                  <w:pPr>
                    <w:pStyle w:val="33"/>
                    <w:bidi w:val="0"/>
                    <w:ind w:firstLine="0" w:firstLineChars="0"/>
                    <w:rPr>
                      <w:rFonts w:hint="default" w:eastAsia="宋体"/>
                      <w:lang w:val="en-US" w:eastAsia="zh-CN"/>
                    </w:rPr>
                  </w:pPr>
                  <w:r>
                    <w:rPr>
                      <w:rFonts w:hint="eastAsia"/>
                      <w:lang w:val="en-US" w:eastAsia="zh-CN"/>
                    </w:rPr>
                    <w:t>噪声叠加后贡献值</w:t>
                  </w:r>
                  <w:r>
                    <w:t>（dB(A)）</w:t>
                  </w:r>
                </w:p>
              </w:tc>
              <w:tc>
                <w:tcPr>
                  <w:tcW w:w="1100" w:type="dxa"/>
                  <w:vMerge w:val="restart"/>
                  <w:vAlign w:val="center"/>
                </w:tcPr>
                <w:p>
                  <w:pPr>
                    <w:pStyle w:val="33"/>
                    <w:bidi w:val="0"/>
                  </w:pPr>
                  <w:r>
                    <w:t>标准限值（dB(A)）</w:t>
                  </w:r>
                </w:p>
              </w:tc>
              <w:tc>
                <w:tcPr>
                  <w:tcW w:w="758" w:type="dxa"/>
                  <w:vMerge w:val="restart"/>
                  <w:vAlign w:val="center"/>
                </w:tcPr>
                <w:p>
                  <w:pPr>
                    <w:pStyle w:val="33"/>
                    <w:bidi w:val="0"/>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01" w:type="dxa"/>
                  <w:vMerge w:val="continue"/>
                  <w:shd w:val="clear" w:color="auto" w:fill="FFFFFF"/>
                  <w:vAlign w:val="center"/>
                </w:tcPr>
                <w:p>
                  <w:pPr>
                    <w:pStyle w:val="33"/>
                    <w:bidi w:val="0"/>
                  </w:pPr>
                </w:p>
              </w:tc>
              <w:tc>
                <w:tcPr>
                  <w:tcW w:w="734" w:type="dxa"/>
                  <w:shd w:val="clear" w:color="auto" w:fill="FFFFFF"/>
                  <w:vAlign w:val="center"/>
                </w:tcPr>
                <w:p>
                  <w:pPr>
                    <w:pStyle w:val="33"/>
                    <w:bidi w:val="0"/>
                  </w:pPr>
                  <w:r>
                    <w:t>X</w:t>
                  </w:r>
                </w:p>
              </w:tc>
              <w:tc>
                <w:tcPr>
                  <w:tcW w:w="766" w:type="dxa"/>
                  <w:shd w:val="clear" w:color="auto" w:fill="FFFFFF"/>
                  <w:vAlign w:val="center"/>
                </w:tcPr>
                <w:p>
                  <w:pPr>
                    <w:pStyle w:val="33"/>
                    <w:bidi w:val="0"/>
                  </w:pPr>
                  <w:r>
                    <w:t>Y</w:t>
                  </w:r>
                </w:p>
              </w:tc>
              <w:tc>
                <w:tcPr>
                  <w:tcW w:w="567" w:type="dxa"/>
                  <w:shd w:val="clear" w:color="auto" w:fill="FFFFFF"/>
                  <w:vAlign w:val="center"/>
                </w:tcPr>
                <w:p>
                  <w:pPr>
                    <w:pStyle w:val="33"/>
                    <w:bidi w:val="0"/>
                  </w:pPr>
                  <w:r>
                    <w:t>Z</w:t>
                  </w:r>
                </w:p>
              </w:tc>
              <w:tc>
                <w:tcPr>
                  <w:tcW w:w="667" w:type="dxa"/>
                  <w:vMerge w:val="continue"/>
                  <w:shd w:val="clear" w:color="auto" w:fill="FFFFFF"/>
                  <w:vAlign w:val="center"/>
                </w:tcPr>
                <w:p>
                  <w:pPr>
                    <w:pStyle w:val="33"/>
                    <w:bidi w:val="0"/>
                  </w:pPr>
                </w:p>
              </w:tc>
              <w:tc>
                <w:tcPr>
                  <w:tcW w:w="1066" w:type="dxa"/>
                  <w:vMerge w:val="continue"/>
                  <w:shd w:val="clear" w:color="auto" w:fill="FFFFFF"/>
                  <w:vAlign w:val="center"/>
                </w:tcPr>
                <w:p>
                  <w:pPr>
                    <w:pStyle w:val="33"/>
                    <w:bidi w:val="0"/>
                  </w:pPr>
                </w:p>
              </w:tc>
              <w:tc>
                <w:tcPr>
                  <w:tcW w:w="984" w:type="dxa"/>
                  <w:vMerge w:val="continue"/>
                  <w:shd w:val="clear" w:color="auto" w:fill="FFFFFF"/>
                  <w:vAlign w:val="center"/>
                </w:tcPr>
                <w:p>
                  <w:pPr>
                    <w:pStyle w:val="33"/>
                    <w:bidi w:val="0"/>
                    <w:ind w:firstLine="0" w:firstLineChars="0"/>
                  </w:pPr>
                </w:p>
              </w:tc>
              <w:tc>
                <w:tcPr>
                  <w:tcW w:w="1183" w:type="dxa"/>
                  <w:vMerge w:val="continue"/>
                  <w:shd w:val="clear" w:color="auto" w:fill="FFFFFF"/>
                  <w:vAlign w:val="center"/>
                </w:tcPr>
                <w:p>
                  <w:pPr>
                    <w:pStyle w:val="33"/>
                    <w:bidi w:val="0"/>
                    <w:ind w:firstLine="0" w:firstLineChars="0"/>
                  </w:pPr>
                </w:p>
              </w:tc>
              <w:tc>
                <w:tcPr>
                  <w:tcW w:w="1100" w:type="dxa"/>
                  <w:vMerge w:val="continue"/>
                  <w:shd w:val="clear" w:color="auto" w:fill="FFFFFF"/>
                  <w:vAlign w:val="center"/>
                </w:tcPr>
                <w:p>
                  <w:pPr>
                    <w:pStyle w:val="33"/>
                    <w:bidi w:val="0"/>
                  </w:pPr>
                </w:p>
              </w:tc>
              <w:tc>
                <w:tcPr>
                  <w:tcW w:w="758" w:type="dxa"/>
                  <w:vMerge w:val="continue"/>
                  <w:shd w:val="clear" w:color="auto" w:fill="FFFFFF"/>
                  <w:vAlign w:val="center"/>
                </w:tcPr>
                <w:p>
                  <w:pPr>
                    <w:pStyle w:val="33"/>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restart"/>
                  <w:shd w:val="clear" w:color="auto" w:fill="FFFFFF"/>
                  <w:vAlign w:val="center"/>
                </w:tcPr>
                <w:p>
                  <w:pPr>
                    <w:pStyle w:val="33"/>
                    <w:bidi w:val="0"/>
                  </w:pPr>
                  <w:r>
                    <w:t>东侧</w:t>
                  </w:r>
                </w:p>
              </w:tc>
              <w:tc>
                <w:tcPr>
                  <w:tcW w:w="734" w:type="dxa"/>
                  <w:shd w:val="clear" w:color="auto" w:fill="FFFFFF"/>
                  <w:vAlign w:val="center"/>
                </w:tcPr>
                <w:p>
                  <w:pPr>
                    <w:pStyle w:val="33"/>
                    <w:bidi w:val="0"/>
                  </w:pPr>
                  <w:r>
                    <w:t>276</w:t>
                  </w:r>
                </w:p>
              </w:tc>
              <w:tc>
                <w:tcPr>
                  <w:tcW w:w="766" w:type="dxa"/>
                  <w:shd w:val="clear" w:color="auto" w:fill="FFFFFF"/>
                  <w:vAlign w:val="center"/>
                </w:tcPr>
                <w:p>
                  <w:pPr>
                    <w:pStyle w:val="33"/>
                    <w:bidi w:val="0"/>
                  </w:pPr>
                  <w:r>
                    <w:t>257.7</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昼间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37</w:t>
                  </w:r>
                </w:p>
              </w:tc>
              <w:tc>
                <w:tcPr>
                  <w:tcW w:w="984" w:type="dxa"/>
                  <w:shd w:val="clear" w:color="auto" w:fill="FFFFFF"/>
                  <w:vAlign w:val="center"/>
                </w:tcPr>
                <w:p>
                  <w:pPr>
                    <w:pStyle w:val="33"/>
                    <w:bidi w:val="0"/>
                    <w:ind w:firstLine="0" w:firstLineChars="0"/>
                  </w:pPr>
                  <w:r>
                    <w:t>19.6</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56.6</w:t>
                  </w:r>
                </w:p>
              </w:tc>
              <w:tc>
                <w:tcPr>
                  <w:tcW w:w="1100" w:type="dxa"/>
                  <w:shd w:val="clear" w:color="auto" w:fill="FFFFFF"/>
                  <w:vAlign w:val="center"/>
                </w:tcPr>
                <w:p>
                  <w:pPr>
                    <w:pStyle w:val="33"/>
                    <w:bidi w:val="0"/>
                  </w:pPr>
                  <w:r>
                    <w:t>65</w:t>
                  </w:r>
                </w:p>
              </w:tc>
              <w:tc>
                <w:tcPr>
                  <w:tcW w:w="758" w:type="dxa"/>
                  <w:shd w:val="clear" w:color="auto" w:fill="FFFFFF"/>
                  <w:vAlign w:val="center"/>
                </w:tcPr>
                <w:p>
                  <w:pPr>
                    <w:pStyle w:val="33"/>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continue"/>
                  <w:shd w:val="clear" w:color="auto" w:fill="FFFFFF"/>
                  <w:vAlign w:val="center"/>
                </w:tcPr>
                <w:p>
                  <w:pPr>
                    <w:pStyle w:val="33"/>
                    <w:bidi w:val="0"/>
                  </w:pPr>
                </w:p>
              </w:tc>
              <w:tc>
                <w:tcPr>
                  <w:tcW w:w="734" w:type="dxa"/>
                  <w:shd w:val="clear" w:color="auto" w:fill="FFFFFF"/>
                  <w:vAlign w:val="center"/>
                </w:tcPr>
                <w:p>
                  <w:pPr>
                    <w:pStyle w:val="33"/>
                    <w:bidi w:val="0"/>
                  </w:pPr>
                  <w:r>
                    <w:t>276</w:t>
                  </w:r>
                </w:p>
              </w:tc>
              <w:tc>
                <w:tcPr>
                  <w:tcW w:w="766" w:type="dxa"/>
                  <w:shd w:val="clear" w:color="auto" w:fill="FFFFFF"/>
                  <w:vAlign w:val="center"/>
                </w:tcPr>
                <w:p>
                  <w:pPr>
                    <w:pStyle w:val="33"/>
                    <w:bidi w:val="0"/>
                  </w:pPr>
                  <w:r>
                    <w:t>257.7</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夜间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25</w:t>
                  </w:r>
                </w:p>
              </w:tc>
              <w:tc>
                <w:tcPr>
                  <w:tcW w:w="984" w:type="dxa"/>
                  <w:shd w:val="clear" w:color="auto" w:fill="FFFFFF"/>
                  <w:vAlign w:val="center"/>
                </w:tcPr>
                <w:p>
                  <w:pPr>
                    <w:pStyle w:val="33"/>
                    <w:bidi w:val="0"/>
                    <w:ind w:firstLine="0" w:firstLineChars="0"/>
                  </w:pPr>
                  <w:r>
                    <w:t>19.6</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44.6</w:t>
                  </w:r>
                </w:p>
              </w:tc>
              <w:tc>
                <w:tcPr>
                  <w:tcW w:w="1100" w:type="dxa"/>
                  <w:shd w:val="clear" w:color="auto" w:fill="FFFFFF"/>
                  <w:vAlign w:val="center"/>
                </w:tcPr>
                <w:p>
                  <w:pPr>
                    <w:pStyle w:val="33"/>
                    <w:bidi w:val="0"/>
                  </w:pPr>
                  <w:r>
                    <w:t>55</w:t>
                  </w:r>
                </w:p>
              </w:tc>
              <w:tc>
                <w:tcPr>
                  <w:tcW w:w="758" w:type="dxa"/>
                  <w:shd w:val="clear" w:color="auto" w:fill="FFFFFF"/>
                  <w:vAlign w:val="center"/>
                </w:tcPr>
                <w:p>
                  <w:pPr>
                    <w:pStyle w:val="33"/>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restart"/>
                  <w:shd w:val="clear" w:color="auto" w:fill="FFFFFF"/>
                  <w:vAlign w:val="center"/>
                </w:tcPr>
                <w:p>
                  <w:pPr>
                    <w:pStyle w:val="33"/>
                    <w:bidi w:val="0"/>
                  </w:pPr>
                  <w:r>
                    <w:t>南侧</w:t>
                  </w:r>
                </w:p>
              </w:tc>
              <w:tc>
                <w:tcPr>
                  <w:tcW w:w="734" w:type="dxa"/>
                  <w:shd w:val="clear" w:color="auto" w:fill="FFFFFF"/>
                  <w:vAlign w:val="center"/>
                </w:tcPr>
                <w:p>
                  <w:pPr>
                    <w:pStyle w:val="33"/>
                    <w:bidi w:val="0"/>
                  </w:pPr>
                  <w:r>
                    <w:t>145</w:t>
                  </w:r>
                </w:p>
              </w:tc>
              <w:tc>
                <w:tcPr>
                  <w:tcW w:w="766" w:type="dxa"/>
                  <w:shd w:val="clear" w:color="auto" w:fill="FFFFFF"/>
                  <w:vAlign w:val="center"/>
                </w:tcPr>
                <w:p>
                  <w:pPr>
                    <w:pStyle w:val="33"/>
                    <w:bidi w:val="0"/>
                  </w:pPr>
                  <w:r>
                    <w:t>-316.4</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昼间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45</w:t>
                  </w:r>
                </w:p>
              </w:tc>
              <w:tc>
                <w:tcPr>
                  <w:tcW w:w="984" w:type="dxa"/>
                  <w:shd w:val="clear" w:color="auto" w:fill="FFFFFF"/>
                  <w:vAlign w:val="center"/>
                </w:tcPr>
                <w:p>
                  <w:pPr>
                    <w:pStyle w:val="33"/>
                    <w:bidi w:val="0"/>
                    <w:ind w:firstLine="0" w:firstLineChars="0"/>
                  </w:pPr>
                  <w:r>
                    <w:t>0</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45</w:t>
                  </w:r>
                </w:p>
              </w:tc>
              <w:tc>
                <w:tcPr>
                  <w:tcW w:w="1100" w:type="dxa"/>
                  <w:shd w:val="clear" w:color="auto" w:fill="FFFFFF"/>
                  <w:vAlign w:val="center"/>
                </w:tcPr>
                <w:p>
                  <w:pPr>
                    <w:pStyle w:val="33"/>
                    <w:bidi w:val="0"/>
                  </w:pPr>
                  <w:r>
                    <w:t>65</w:t>
                  </w:r>
                </w:p>
              </w:tc>
              <w:tc>
                <w:tcPr>
                  <w:tcW w:w="758" w:type="dxa"/>
                  <w:shd w:val="clear" w:color="auto" w:fill="FFFFFF"/>
                  <w:vAlign w:val="center"/>
                </w:tcPr>
                <w:p>
                  <w:pPr>
                    <w:pStyle w:val="33"/>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continue"/>
                  <w:shd w:val="clear" w:color="auto" w:fill="FFFFFF"/>
                  <w:vAlign w:val="center"/>
                </w:tcPr>
                <w:p>
                  <w:pPr>
                    <w:pStyle w:val="33"/>
                    <w:bidi w:val="0"/>
                  </w:pPr>
                </w:p>
              </w:tc>
              <w:tc>
                <w:tcPr>
                  <w:tcW w:w="734" w:type="dxa"/>
                  <w:shd w:val="clear" w:color="auto" w:fill="FFFFFF"/>
                  <w:vAlign w:val="center"/>
                </w:tcPr>
                <w:p>
                  <w:pPr>
                    <w:pStyle w:val="33"/>
                    <w:bidi w:val="0"/>
                  </w:pPr>
                  <w:r>
                    <w:t>145</w:t>
                  </w:r>
                </w:p>
              </w:tc>
              <w:tc>
                <w:tcPr>
                  <w:tcW w:w="766" w:type="dxa"/>
                  <w:shd w:val="clear" w:color="auto" w:fill="FFFFFF"/>
                  <w:vAlign w:val="center"/>
                </w:tcPr>
                <w:p>
                  <w:pPr>
                    <w:pStyle w:val="33"/>
                    <w:bidi w:val="0"/>
                  </w:pPr>
                  <w:r>
                    <w:t>-316.4</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夜间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30</w:t>
                  </w:r>
                </w:p>
              </w:tc>
              <w:tc>
                <w:tcPr>
                  <w:tcW w:w="984" w:type="dxa"/>
                  <w:shd w:val="clear" w:color="auto" w:fill="FFFFFF"/>
                  <w:vAlign w:val="center"/>
                </w:tcPr>
                <w:p>
                  <w:pPr>
                    <w:pStyle w:val="33"/>
                    <w:bidi w:val="0"/>
                    <w:ind w:firstLine="0" w:firstLineChars="0"/>
                  </w:pPr>
                  <w:r>
                    <w:t>0</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30</w:t>
                  </w:r>
                </w:p>
              </w:tc>
              <w:tc>
                <w:tcPr>
                  <w:tcW w:w="1100" w:type="dxa"/>
                  <w:shd w:val="clear" w:color="auto" w:fill="FFFFFF"/>
                  <w:vAlign w:val="center"/>
                </w:tcPr>
                <w:p>
                  <w:pPr>
                    <w:pStyle w:val="33"/>
                    <w:bidi w:val="0"/>
                  </w:pPr>
                  <w:r>
                    <w:t>55</w:t>
                  </w:r>
                </w:p>
              </w:tc>
              <w:tc>
                <w:tcPr>
                  <w:tcW w:w="758" w:type="dxa"/>
                  <w:shd w:val="clear" w:color="auto" w:fill="FFFFFF"/>
                  <w:vAlign w:val="center"/>
                </w:tcPr>
                <w:p>
                  <w:pPr>
                    <w:pStyle w:val="33"/>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restart"/>
                  <w:shd w:val="clear" w:color="auto" w:fill="FFFFFF"/>
                  <w:vAlign w:val="center"/>
                </w:tcPr>
                <w:p>
                  <w:pPr>
                    <w:pStyle w:val="33"/>
                    <w:bidi w:val="0"/>
                  </w:pPr>
                  <w:r>
                    <w:t>西侧</w:t>
                  </w:r>
                </w:p>
              </w:tc>
              <w:tc>
                <w:tcPr>
                  <w:tcW w:w="734" w:type="dxa"/>
                  <w:shd w:val="clear" w:color="auto" w:fill="FFFFFF"/>
                  <w:vAlign w:val="center"/>
                </w:tcPr>
                <w:p>
                  <w:pPr>
                    <w:pStyle w:val="33"/>
                    <w:bidi w:val="0"/>
                  </w:pPr>
                  <w:r>
                    <w:t>-2.5</w:t>
                  </w:r>
                </w:p>
              </w:tc>
              <w:tc>
                <w:tcPr>
                  <w:tcW w:w="766" w:type="dxa"/>
                  <w:shd w:val="clear" w:color="auto" w:fill="FFFFFF"/>
                  <w:vAlign w:val="center"/>
                </w:tcPr>
                <w:p>
                  <w:pPr>
                    <w:pStyle w:val="33"/>
                    <w:bidi w:val="0"/>
                  </w:pPr>
                  <w:r>
                    <w:t>1.1</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昼间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45</w:t>
                  </w:r>
                </w:p>
              </w:tc>
              <w:tc>
                <w:tcPr>
                  <w:tcW w:w="984" w:type="dxa"/>
                  <w:shd w:val="clear" w:color="auto" w:fill="FFFFFF"/>
                  <w:vAlign w:val="center"/>
                </w:tcPr>
                <w:p>
                  <w:pPr>
                    <w:pStyle w:val="33"/>
                    <w:bidi w:val="0"/>
                    <w:ind w:firstLine="0" w:firstLineChars="0"/>
                  </w:pPr>
                  <w:r>
                    <w:t>0</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45</w:t>
                  </w:r>
                </w:p>
              </w:tc>
              <w:tc>
                <w:tcPr>
                  <w:tcW w:w="1100" w:type="dxa"/>
                  <w:shd w:val="clear" w:color="auto" w:fill="FFFFFF"/>
                  <w:vAlign w:val="center"/>
                </w:tcPr>
                <w:p>
                  <w:pPr>
                    <w:pStyle w:val="33"/>
                    <w:bidi w:val="0"/>
                  </w:pPr>
                  <w:r>
                    <w:t>65</w:t>
                  </w:r>
                </w:p>
              </w:tc>
              <w:tc>
                <w:tcPr>
                  <w:tcW w:w="758" w:type="dxa"/>
                  <w:shd w:val="clear" w:color="auto" w:fill="FFFFFF"/>
                  <w:vAlign w:val="center"/>
                </w:tcPr>
                <w:p>
                  <w:pPr>
                    <w:pStyle w:val="33"/>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continue"/>
                  <w:shd w:val="clear" w:color="auto" w:fill="FFFFFF"/>
                  <w:vAlign w:val="center"/>
                </w:tcPr>
                <w:p>
                  <w:pPr>
                    <w:pStyle w:val="33"/>
                    <w:bidi w:val="0"/>
                  </w:pPr>
                </w:p>
              </w:tc>
              <w:tc>
                <w:tcPr>
                  <w:tcW w:w="734" w:type="dxa"/>
                  <w:shd w:val="clear" w:color="auto" w:fill="FFFFFF"/>
                  <w:vAlign w:val="center"/>
                </w:tcPr>
                <w:p>
                  <w:pPr>
                    <w:pStyle w:val="33"/>
                    <w:bidi w:val="0"/>
                  </w:pPr>
                  <w:r>
                    <w:t>-2.5</w:t>
                  </w:r>
                </w:p>
              </w:tc>
              <w:tc>
                <w:tcPr>
                  <w:tcW w:w="766" w:type="dxa"/>
                  <w:shd w:val="clear" w:color="auto" w:fill="FFFFFF"/>
                  <w:vAlign w:val="center"/>
                </w:tcPr>
                <w:p>
                  <w:pPr>
                    <w:pStyle w:val="33"/>
                    <w:bidi w:val="0"/>
                  </w:pPr>
                  <w:r>
                    <w:t>1.1</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夜间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35</w:t>
                  </w:r>
                </w:p>
              </w:tc>
              <w:tc>
                <w:tcPr>
                  <w:tcW w:w="984" w:type="dxa"/>
                  <w:shd w:val="clear" w:color="auto" w:fill="FFFFFF"/>
                  <w:vAlign w:val="center"/>
                </w:tcPr>
                <w:p>
                  <w:pPr>
                    <w:pStyle w:val="33"/>
                    <w:bidi w:val="0"/>
                    <w:ind w:firstLine="0" w:firstLineChars="0"/>
                  </w:pPr>
                  <w:r>
                    <w:t>0</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35</w:t>
                  </w:r>
                </w:p>
              </w:tc>
              <w:tc>
                <w:tcPr>
                  <w:tcW w:w="1100" w:type="dxa"/>
                  <w:shd w:val="clear" w:color="auto" w:fill="FFFFFF"/>
                  <w:vAlign w:val="center"/>
                </w:tcPr>
                <w:p>
                  <w:pPr>
                    <w:pStyle w:val="33"/>
                    <w:bidi w:val="0"/>
                  </w:pPr>
                  <w:r>
                    <w:t>55</w:t>
                  </w:r>
                </w:p>
              </w:tc>
              <w:tc>
                <w:tcPr>
                  <w:tcW w:w="758" w:type="dxa"/>
                  <w:shd w:val="clear" w:color="auto" w:fill="FFFFFF"/>
                  <w:vAlign w:val="center"/>
                </w:tcPr>
                <w:p>
                  <w:pPr>
                    <w:pStyle w:val="33"/>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restart"/>
                  <w:shd w:val="clear" w:color="auto" w:fill="FFFFFF"/>
                  <w:vAlign w:val="center"/>
                </w:tcPr>
                <w:p>
                  <w:pPr>
                    <w:pStyle w:val="33"/>
                    <w:bidi w:val="0"/>
                  </w:pPr>
                  <w:r>
                    <w:t>北侧</w:t>
                  </w:r>
                </w:p>
              </w:tc>
              <w:tc>
                <w:tcPr>
                  <w:tcW w:w="734" w:type="dxa"/>
                  <w:shd w:val="clear" w:color="auto" w:fill="FFFFFF"/>
                  <w:vAlign w:val="center"/>
                </w:tcPr>
                <w:p>
                  <w:pPr>
                    <w:pStyle w:val="33"/>
                    <w:bidi w:val="0"/>
                  </w:pPr>
                  <w:r>
                    <w:t>145.2</w:t>
                  </w:r>
                </w:p>
              </w:tc>
              <w:tc>
                <w:tcPr>
                  <w:tcW w:w="766" w:type="dxa"/>
                  <w:shd w:val="clear" w:color="auto" w:fill="FFFFFF"/>
                  <w:vAlign w:val="center"/>
                </w:tcPr>
                <w:p>
                  <w:pPr>
                    <w:pStyle w:val="33"/>
                    <w:bidi w:val="0"/>
                  </w:pPr>
                  <w:r>
                    <w:t>339.3</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昼间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32</w:t>
                  </w:r>
                </w:p>
              </w:tc>
              <w:tc>
                <w:tcPr>
                  <w:tcW w:w="984" w:type="dxa"/>
                  <w:shd w:val="clear" w:color="auto" w:fill="FFFFFF"/>
                  <w:vAlign w:val="center"/>
                </w:tcPr>
                <w:p>
                  <w:pPr>
                    <w:pStyle w:val="33"/>
                    <w:bidi w:val="0"/>
                    <w:ind w:firstLine="0" w:firstLineChars="0"/>
                  </w:pPr>
                  <w:r>
                    <w:t>31.9</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63.9</w:t>
                  </w:r>
                </w:p>
              </w:tc>
              <w:tc>
                <w:tcPr>
                  <w:tcW w:w="1100" w:type="dxa"/>
                  <w:shd w:val="clear" w:color="auto" w:fill="FFFFFF"/>
                  <w:vAlign w:val="center"/>
                </w:tcPr>
                <w:p>
                  <w:pPr>
                    <w:pStyle w:val="33"/>
                    <w:bidi w:val="0"/>
                  </w:pPr>
                  <w:r>
                    <w:t>65</w:t>
                  </w:r>
                </w:p>
              </w:tc>
              <w:tc>
                <w:tcPr>
                  <w:tcW w:w="758" w:type="dxa"/>
                  <w:shd w:val="clear" w:color="auto" w:fill="FFFFFF"/>
                  <w:vAlign w:val="center"/>
                </w:tcPr>
                <w:p>
                  <w:pPr>
                    <w:pStyle w:val="33"/>
                    <w:bidi w:val="0"/>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701" w:type="dxa"/>
                  <w:vMerge w:val="continue"/>
                  <w:shd w:val="clear" w:color="auto" w:fill="FFFFFF"/>
                  <w:vAlign w:val="center"/>
                </w:tcPr>
                <w:p>
                  <w:pPr>
                    <w:pStyle w:val="33"/>
                    <w:bidi w:val="0"/>
                  </w:pPr>
                </w:p>
              </w:tc>
              <w:tc>
                <w:tcPr>
                  <w:tcW w:w="734" w:type="dxa"/>
                  <w:shd w:val="clear" w:color="auto" w:fill="FFFFFF"/>
                  <w:vAlign w:val="center"/>
                </w:tcPr>
                <w:p>
                  <w:pPr>
                    <w:pStyle w:val="33"/>
                    <w:bidi w:val="0"/>
                  </w:pPr>
                  <w:r>
                    <w:t>145.2</w:t>
                  </w:r>
                </w:p>
              </w:tc>
              <w:tc>
                <w:tcPr>
                  <w:tcW w:w="766" w:type="dxa"/>
                  <w:shd w:val="clear" w:color="auto" w:fill="FFFFFF"/>
                  <w:vAlign w:val="center"/>
                </w:tcPr>
                <w:p>
                  <w:pPr>
                    <w:pStyle w:val="33"/>
                    <w:bidi w:val="0"/>
                  </w:pPr>
                  <w:r>
                    <w:t>339.3</w:t>
                  </w:r>
                </w:p>
              </w:tc>
              <w:tc>
                <w:tcPr>
                  <w:tcW w:w="567" w:type="dxa"/>
                  <w:shd w:val="clear" w:color="auto" w:fill="FFFFFF"/>
                  <w:vAlign w:val="center"/>
                </w:tcPr>
                <w:p>
                  <w:pPr>
                    <w:pStyle w:val="33"/>
                    <w:bidi w:val="0"/>
                  </w:pPr>
                  <w:r>
                    <w:t>1.2</w:t>
                  </w:r>
                </w:p>
              </w:tc>
              <w:tc>
                <w:tcPr>
                  <w:tcW w:w="667" w:type="dxa"/>
                  <w:shd w:val="clear" w:color="auto" w:fill="FFFFFF"/>
                  <w:vAlign w:val="center"/>
                </w:tcPr>
                <w:p>
                  <w:pPr>
                    <w:pStyle w:val="33"/>
                    <w:bidi w:val="0"/>
                  </w:pPr>
                  <w:r>
                    <w:t>夜间</w:t>
                  </w:r>
                </w:p>
              </w:tc>
              <w:tc>
                <w:tcPr>
                  <w:tcW w:w="1066" w:type="dxa"/>
                  <w:shd w:val="clear" w:color="auto" w:fill="FFFFFF"/>
                  <w:vAlign w:val="center"/>
                </w:tcPr>
                <w:p>
                  <w:pPr>
                    <w:pStyle w:val="33"/>
                    <w:bidi w:val="0"/>
                    <w:rPr>
                      <w:rFonts w:hint="default" w:eastAsia="宋体"/>
                      <w:lang w:val="en-US" w:eastAsia="zh-CN"/>
                    </w:rPr>
                  </w:pPr>
                  <w:r>
                    <w:rPr>
                      <w:rFonts w:hint="eastAsia"/>
                      <w:lang w:val="en-US" w:eastAsia="zh-CN"/>
                    </w:rPr>
                    <w:t>22</w:t>
                  </w:r>
                </w:p>
              </w:tc>
              <w:tc>
                <w:tcPr>
                  <w:tcW w:w="984" w:type="dxa"/>
                  <w:shd w:val="clear" w:color="auto" w:fill="FFFFFF"/>
                  <w:vAlign w:val="center"/>
                </w:tcPr>
                <w:p>
                  <w:pPr>
                    <w:pStyle w:val="33"/>
                    <w:bidi w:val="0"/>
                    <w:ind w:firstLine="0" w:firstLineChars="0"/>
                  </w:pPr>
                  <w:r>
                    <w:t>31.9</w:t>
                  </w:r>
                </w:p>
              </w:tc>
              <w:tc>
                <w:tcPr>
                  <w:tcW w:w="1183" w:type="dxa"/>
                  <w:shd w:val="clear" w:color="auto" w:fill="FFFFFF"/>
                  <w:vAlign w:val="center"/>
                </w:tcPr>
                <w:p>
                  <w:pPr>
                    <w:pStyle w:val="33"/>
                    <w:bidi w:val="0"/>
                    <w:ind w:firstLine="0" w:firstLineChars="0"/>
                    <w:rPr>
                      <w:rFonts w:hint="default" w:eastAsia="宋体"/>
                      <w:lang w:val="en-US" w:eastAsia="zh-CN"/>
                    </w:rPr>
                  </w:pPr>
                  <w:r>
                    <w:rPr>
                      <w:rFonts w:hint="eastAsia"/>
                      <w:lang w:val="en-US" w:eastAsia="zh-CN"/>
                    </w:rPr>
                    <w:t>53.9</w:t>
                  </w:r>
                </w:p>
              </w:tc>
              <w:tc>
                <w:tcPr>
                  <w:tcW w:w="1100" w:type="dxa"/>
                  <w:shd w:val="clear" w:color="auto" w:fill="FFFFFF"/>
                  <w:vAlign w:val="center"/>
                </w:tcPr>
                <w:p>
                  <w:pPr>
                    <w:pStyle w:val="33"/>
                    <w:bidi w:val="0"/>
                  </w:pPr>
                  <w:r>
                    <w:t>55</w:t>
                  </w:r>
                </w:p>
              </w:tc>
              <w:tc>
                <w:tcPr>
                  <w:tcW w:w="758" w:type="dxa"/>
                  <w:shd w:val="clear" w:color="auto" w:fill="FFFFFF"/>
                  <w:vAlign w:val="center"/>
                </w:tcPr>
                <w:p>
                  <w:pPr>
                    <w:pStyle w:val="33"/>
                    <w:bidi w:val="0"/>
                  </w:pPr>
                  <w:r>
                    <w:t>达标</w:t>
                  </w:r>
                </w:p>
              </w:tc>
            </w:tr>
          </w:tbl>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根据上表可知，本项目设备噪声在距离衰减情况下</w:t>
            </w:r>
            <w:r>
              <w:rPr>
                <w:rFonts w:hint="eastAsia"/>
                <w:color w:val="000000" w:themeColor="text1"/>
                <w:lang w:eastAsia="zh-CN"/>
                <w14:textFill>
                  <w14:solidFill>
                    <w14:schemeClr w14:val="tx1"/>
                  </w14:solidFill>
                </w14:textFill>
              </w:rPr>
              <w:t>，</w:t>
            </w:r>
            <w:r>
              <w:rPr>
                <w:rFonts w:hint="eastAsia" w:cs="Times New Roman"/>
                <w:snapToGrid w:val="0"/>
                <w:kern w:val="0"/>
                <w:lang w:val="en-US" w:eastAsia="zh-CN"/>
              </w:rPr>
              <w:t>叠加厂区主体工程噪声贡献值后</w:t>
            </w:r>
            <w:r>
              <w:rPr>
                <w:rFonts w:hint="eastAsia"/>
                <w:color w:val="000000" w:themeColor="text1"/>
                <w14:textFill>
                  <w14:solidFill>
                    <w14:schemeClr w14:val="tx1"/>
                  </w14:solidFill>
                </w14:textFill>
              </w:rPr>
              <w:t>四周厂界可满足《工业企业厂界环境噪声排放标准》（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类昼间标准</w:t>
            </w:r>
            <w:r>
              <w:rPr>
                <w:rFonts w:hint="eastAsia"/>
                <w:color w:val="000000" w:themeColor="text1"/>
                <w:lang w:eastAsia="zh-CN"/>
                <w14:textFill>
                  <w14:solidFill>
                    <w14:schemeClr w14:val="tx1"/>
                  </w14:solidFill>
                </w14:textFill>
              </w:rPr>
              <w:t>，</w:t>
            </w:r>
            <w:r>
              <w:rPr>
                <w:rFonts w:hint="eastAsia" w:ascii="Times New Roman" w:hAnsi="Times New Roman" w:eastAsia="宋体" w:cs="Times New Roman"/>
                <w:b w:val="0"/>
                <w:snapToGrid w:val="0"/>
                <w:kern w:val="0"/>
                <w:sz w:val="24"/>
                <w:szCs w:val="24"/>
                <w:lang w:val="en-US" w:eastAsia="zh-CN" w:bidi="ar-SA"/>
              </w:rPr>
              <w:t>不会对周围环境产生较大的影响。</w:t>
            </w:r>
          </w:p>
          <w:p>
            <w:pPr>
              <w:ind w:left="0" w:leftChars="0" w:firstLine="0" w:firstLineChars="0"/>
              <w:rPr>
                <w:rFonts w:hint="eastAsia"/>
                <w:b/>
                <w:bCs/>
              </w:rPr>
            </w:pPr>
            <w:r>
              <w:rPr>
                <w:rFonts w:hint="eastAsia"/>
                <w:b/>
                <w:bCs/>
              </w:rPr>
              <w:t>4</w:t>
            </w:r>
            <w:r>
              <w:rPr>
                <w:b/>
                <w:bCs/>
              </w:rPr>
              <w:t>.2.</w:t>
            </w:r>
            <w:r>
              <w:rPr>
                <w:rFonts w:hint="eastAsia"/>
                <w:b/>
                <w:bCs/>
              </w:rPr>
              <w:t>4固体废物影响与评价</w:t>
            </w:r>
          </w:p>
          <w:p>
            <w:pPr>
              <w:bidi w:val="0"/>
              <w:rPr>
                <w:rFonts w:hint="default"/>
                <w:lang w:val="en-US" w:eastAsia="zh-CN"/>
              </w:rPr>
            </w:pPr>
            <w:bookmarkStart w:id="17" w:name="OLE_LINK17"/>
            <w:r>
              <w:rPr>
                <w:rFonts w:hint="eastAsia"/>
              </w:rPr>
              <w:t>本项目</w:t>
            </w:r>
            <w:r>
              <w:rPr>
                <w:rFonts w:hint="eastAsia"/>
                <w:lang w:val="en-US" w:eastAsia="zh-CN"/>
              </w:rPr>
              <w:t>锅炉</w:t>
            </w:r>
            <w:r>
              <w:rPr>
                <w:rFonts w:hint="default"/>
                <w:lang w:val="en-US" w:eastAsia="zh-CN"/>
              </w:rPr>
              <w:t>软化水</w:t>
            </w:r>
            <w:r>
              <w:rPr>
                <w:rFonts w:hint="default"/>
              </w:rPr>
              <w:t>装置</w:t>
            </w:r>
            <w:r>
              <w:rPr>
                <w:rFonts w:hint="eastAsia"/>
              </w:rPr>
              <w:t>产生</w:t>
            </w:r>
            <w:r>
              <w:rPr>
                <w:rFonts w:hint="eastAsia"/>
                <w:lang w:val="en-US" w:eastAsia="zh-CN"/>
              </w:rPr>
              <w:t>的离子交换树脂由厂家进行定期更换回收，不在厂区内贮存。</w:t>
            </w:r>
          </w:p>
          <w:p>
            <w:pPr>
              <w:bidi w:val="0"/>
              <w:rPr>
                <w:rFonts w:hint="eastAsia"/>
                <w:lang w:val="en-US" w:eastAsia="zh-CN"/>
              </w:rPr>
            </w:pPr>
            <w:r>
              <w:rPr>
                <w:rFonts w:hint="eastAsia"/>
                <w:lang w:val="en-US" w:eastAsia="zh-CN"/>
              </w:rPr>
              <w:t>企业</w:t>
            </w:r>
            <w:r>
              <w:rPr>
                <w:rFonts w:hint="default"/>
                <w:lang w:val="en-US" w:eastAsia="zh-CN"/>
              </w:rPr>
              <w:t>应当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bookmarkEnd w:id="17"/>
          <w:p>
            <w:pPr>
              <w:pStyle w:val="34"/>
              <w:bidi w:val="0"/>
            </w:pPr>
            <w:r>
              <w:rPr>
                <w:rFonts w:hint="eastAsia"/>
              </w:rPr>
              <w:t>表4</w:t>
            </w:r>
            <w:r>
              <w:t>-</w:t>
            </w:r>
            <w:r>
              <w:rPr>
                <w:rFonts w:hint="eastAsia"/>
                <w:lang w:val="en-US" w:eastAsia="zh-CN"/>
              </w:rPr>
              <w:t>6</w:t>
            </w:r>
            <w:r>
              <w:t xml:space="preserve">  </w:t>
            </w:r>
            <w:r>
              <w:rPr>
                <w:rFonts w:hint="eastAsia"/>
              </w:rPr>
              <w:t>固体废物产生情况一览表</w:t>
            </w:r>
          </w:p>
          <w:tbl>
            <w:tblPr>
              <w:tblStyle w:val="21"/>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7"/>
              <w:gridCol w:w="976"/>
              <w:gridCol w:w="884"/>
              <w:gridCol w:w="875"/>
              <w:gridCol w:w="631"/>
              <w:gridCol w:w="1014"/>
              <w:gridCol w:w="1293"/>
              <w:gridCol w:w="1070"/>
              <w:gridCol w:w="12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332" w:type="pct"/>
                  <w:vAlign w:val="center"/>
                </w:tcPr>
                <w:p>
                  <w:pPr>
                    <w:pStyle w:val="33"/>
                    <w:bidi w:val="0"/>
                    <w:rPr>
                      <w:rFonts w:hint="default"/>
                    </w:rPr>
                  </w:pPr>
                  <w:r>
                    <w:rPr>
                      <w:rFonts w:hint="default"/>
                    </w:rPr>
                    <w:t>序号</w:t>
                  </w:r>
                </w:p>
              </w:tc>
              <w:tc>
                <w:tcPr>
                  <w:tcW w:w="572" w:type="pct"/>
                  <w:vAlign w:val="center"/>
                </w:tcPr>
                <w:p>
                  <w:pPr>
                    <w:pStyle w:val="33"/>
                    <w:bidi w:val="0"/>
                    <w:rPr>
                      <w:rFonts w:hint="default"/>
                    </w:rPr>
                  </w:pPr>
                  <w:r>
                    <w:rPr>
                      <w:rFonts w:hint="default"/>
                    </w:rPr>
                    <w:t>固体废物名称</w:t>
                  </w:r>
                </w:p>
              </w:tc>
              <w:tc>
                <w:tcPr>
                  <w:tcW w:w="518" w:type="pct"/>
                  <w:vAlign w:val="center"/>
                </w:tcPr>
                <w:p>
                  <w:pPr>
                    <w:pStyle w:val="33"/>
                    <w:bidi w:val="0"/>
                    <w:rPr>
                      <w:rFonts w:hint="default"/>
                    </w:rPr>
                  </w:pPr>
                  <w:r>
                    <w:rPr>
                      <w:rFonts w:hint="default"/>
                    </w:rPr>
                    <w:t>产污环节</w:t>
                  </w:r>
                </w:p>
              </w:tc>
              <w:tc>
                <w:tcPr>
                  <w:tcW w:w="512" w:type="pct"/>
                  <w:vAlign w:val="center"/>
                </w:tcPr>
                <w:p>
                  <w:pPr>
                    <w:pStyle w:val="33"/>
                    <w:bidi w:val="0"/>
                    <w:rPr>
                      <w:rFonts w:hint="default"/>
                    </w:rPr>
                  </w:pPr>
                  <w:r>
                    <w:rPr>
                      <w:rFonts w:hint="default"/>
                    </w:rPr>
                    <w:t>属性</w:t>
                  </w:r>
                </w:p>
              </w:tc>
              <w:tc>
                <w:tcPr>
                  <w:tcW w:w="369" w:type="pct"/>
                  <w:vAlign w:val="center"/>
                </w:tcPr>
                <w:p>
                  <w:pPr>
                    <w:pStyle w:val="33"/>
                    <w:bidi w:val="0"/>
                    <w:rPr>
                      <w:rFonts w:hint="default"/>
                    </w:rPr>
                  </w:pPr>
                  <w:r>
                    <w:rPr>
                      <w:rFonts w:hint="default"/>
                    </w:rPr>
                    <w:t>物理性状</w:t>
                  </w:r>
                </w:p>
              </w:tc>
              <w:tc>
                <w:tcPr>
                  <w:tcW w:w="594" w:type="pct"/>
                  <w:vAlign w:val="center"/>
                </w:tcPr>
                <w:p>
                  <w:pPr>
                    <w:pStyle w:val="33"/>
                    <w:bidi w:val="0"/>
                    <w:rPr>
                      <w:rFonts w:hint="default"/>
                    </w:rPr>
                  </w:pPr>
                  <w:r>
                    <w:rPr>
                      <w:rFonts w:hint="default"/>
                    </w:rPr>
                    <w:t>主要有毒有害物质名称</w:t>
                  </w:r>
                </w:p>
              </w:tc>
              <w:tc>
                <w:tcPr>
                  <w:tcW w:w="757" w:type="pct"/>
                  <w:vAlign w:val="center"/>
                </w:tcPr>
                <w:p>
                  <w:pPr>
                    <w:pStyle w:val="33"/>
                    <w:bidi w:val="0"/>
                    <w:rPr>
                      <w:rFonts w:hint="default"/>
                    </w:rPr>
                  </w:pPr>
                  <w:r>
                    <w:rPr>
                      <w:rFonts w:hint="default"/>
                    </w:rPr>
                    <w:t>固体废物编码</w:t>
                  </w:r>
                </w:p>
              </w:tc>
              <w:tc>
                <w:tcPr>
                  <w:tcW w:w="627" w:type="pct"/>
                  <w:vAlign w:val="center"/>
                </w:tcPr>
                <w:p>
                  <w:pPr>
                    <w:pStyle w:val="33"/>
                    <w:bidi w:val="0"/>
                    <w:rPr>
                      <w:rFonts w:hint="default"/>
                    </w:rPr>
                  </w:pPr>
                  <w:r>
                    <w:rPr>
                      <w:rFonts w:hint="default"/>
                    </w:rPr>
                    <w:t>环境危险特性</w:t>
                  </w:r>
                </w:p>
              </w:tc>
              <w:tc>
                <w:tcPr>
                  <w:tcW w:w="715" w:type="pct"/>
                  <w:vAlign w:val="center"/>
                </w:tcPr>
                <w:p>
                  <w:pPr>
                    <w:pStyle w:val="33"/>
                    <w:bidi w:val="0"/>
                    <w:rPr>
                      <w:rFonts w:hint="default"/>
                    </w:rPr>
                  </w:pPr>
                  <w:r>
                    <w:rPr>
                      <w:rFonts w:hint="default"/>
                    </w:rPr>
                    <w:t>年度产生量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2" w:type="pct"/>
                  <w:vAlign w:val="center"/>
                </w:tcPr>
                <w:p>
                  <w:pPr>
                    <w:pStyle w:val="33"/>
                    <w:bidi w:val="0"/>
                    <w:rPr>
                      <w:rFonts w:hint="default"/>
                    </w:rPr>
                  </w:pPr>
                  <w:r>
                    <w:rPr>
                      <w:rFonts w:hint="default"/>
                    </w:rPr>
                    <w:t>1</w:t>
                  </w:r>
                </w:p>
              </w:tc>
              <w:tc>
                <w:tcPr>
                  <w:tcW w:w="572" w:type="pct"/>
                  <w:vAlign w:val="center"/>
                </w:tcPr>
                <w:p>
                  <w:pPr>
                    <w:pStyle w:val="33"/>
                    <w:bidi w:val="0"/>
                    <w:rPr>
                      <w:rFonts w:hint="default"/>
                    </w:rPr>
                  </w:pPr>
                  <w:r>
                    <w:rPr>
                      <w:rFonts w:hint="eastAsia"/>
                      <w:lang w:val="en-US" w:eastAsia="zh-CN"/>
                    </w:rPr>
                    <w:t>离子交换树脂</w:t>
                  </w:r>
                </w:p>
              </w:tc>
              <w:tc>
                <w:tcPr>
                  <w:tcW w:w="518" w:type="pct"/>
                  <w:vAlign w:val="center"/>
                </w:tcPr>
                <w:p>
                  <w:pPr>
                    <w:pStyle w:val="33"/>
                    <w:bidi w:val="0"/>
                    <w:rPr>
                      <w:rFonts w:hint="default"/>
                      <w:lang w:val="en-US" w:eastAsia="zh-CN"/>
                    </w:rPr>
                  </w:pPr>
                  <w:r>
                    <w:rPr>
                      <w:rFonts w:hint="eastAsia"/>
                      <w:lang w:val="en-US" w:eastAsia="zh-CN"/>
                    </w:rPr>
                    <w:t>锅炉软化水装置</w:t>
                  </w:r>
                </w:p>
              </w:tc>
              <w:tc>
                <w:tcPr>
                  <w:tcW w:w="512" w:type="pct"/>
                  <w:vAlign w:val="center"/>
                </w:tcPr>
                <w:p>
                  <w:pPr>
                    <w:pStyle w:val="33"/>
                    <w:bidi w:val="0"/>
                    <w:rPr>
                      <w:rFonts w:hint="eastAsia" w:eastAsia="宋体"/>
                      <w:lang w:eastAsia="zh-CN"/>
                    </w:rPr>
                  </w:pPr>
                  <w:r>
                    <w:rPr>
                      <w:rFonts w:hint="eastAsia"/>
                      <w:lang w:val="en-US" w:eastAsia="zh-CN"/>
                    </w:rPr>
                    <w:t>一般固体废物</w:t>
                  </w:r>
                </w:p>
              </w:tc>
              <w:tc>
                <w:tcPr>
                  <w:tcW w:w="369" w:type="pct"/>
                  <w:vAlign w:val="center"/>
                </w:tcPr>
                <w:p>
                  <w:pPr>
                    <w:pStyle w:val="33"/>
                    <w:bidi w:val="0"/>
                    <w:rPr>
                      <w:rFonts w:hint="default"/>
                    </w:rPr>
                  </w:pPr>
                  <w:r>
                    <w:rPr>
                      <w:rFonts w:hint="default"/>
                    </w:rPr>
                    <w:t>固态</w:t>
                  </w:r>
                </w:p>
              </w:tc>
              <w:tc>
                <w:tcPr>
                  <w:tcW w:w="594" w:type="pct"/>
                  <w:vAlign w:val="center"/>
                </w:tcPr>
                <w:p>
                  <w:pPr>
                    <w:pStyle w:val="33"/>
                    <w:bidi w:val="0"/>
                    <w:rPr>
                      <w:rFonts w:hint="default"/>
                    </w:rPr>
                  </w:pPr>
                  <w:r>
                    <w:rPr>
                      <w:rFonts w:hint="default"/>
                    </w:rPr>
                    <w:t>/</w:t>
                  </w:r>
                </w:p>
              </w:tc>
              <w:tc>
                <w:tcPr>
                  <w:tcW w:w="757" w:type="pct"/>
                  <w:vAlign w:val="center"/>
                </w:tcPr>
                <w:p>
                  <w:pPr>
                    <w:pStyle w:val="33"/>
                    <w:bidi w:val="0"/>
                    <w:rPr>
                      <w:rFonts w:hint="default"/>
                      <w:lang w:val="en-US" w:eastAsia="zh-CN"/>
                    </w:rPr>
                  </w:pPr>
                  <w:r>
                    <w:rPr>
                      <w:rFonts w:hint="default"/>
                    </w:rPr>
                    <w:t>900-0</w:t>
                  </w:r>
                  <w:r>
                    <w:rPr>
                      <w:rFonts w:hint="eastAsia"/>
                      <w:lang w:val="en-US" w:eastAsia="zh-CN"/>
                    </w:rPr>
                    <w:t>08</w:t>
                  </w:r>
                  <w:r>
                    <w:rPr>
                      <w:rFonts w:hint="default"/>
                    </w:rPr>
                    <w:t>-S</w:t>
                  </w:r>
                  <w:r>
                    <w:rPr>
                      <w:rFonts w:hint="eastAsia"/>
                      <w:lang w:val="en-US" w:eastAsia="zh-CN"/>
                    </w:rPr>
                    <w:t>59</w:t>
                  </w:r>
                </w:p>
              </w:tc>
              <w:tc>
                <w:tcPr>
                  <w:tcW w:w="627" w:type="pct"/>
                  <w:vAlign w:val="center"/>
                </w:tcPr>
                <w:p>
                  <w:pPr>
                    <w:pStyle w:val="33"/>
                    <w:bidi w:val="0"/>
                    <w:rPr>
                      <w:rFonts w:hint="default"/>
                    </w:rPr>
                  </w:pPr>
                  <w:r>
                    <w:rPr>
                      <w:rFonts w:hint="default"/>
                    </w:rPr>
                    <w:t>/</w:t>
                  </w:r>
                </w:p>
              </w:tc>
              <w:tc>
                <w:tcPr>
                  <w:tcW w:w="715" w:type="pct"/>
                  <w:vAlign w:val="center"/>
                </w:tcPr>
                <w:p>
                  <w:pPr>
                    <w:pStyle w:val="33"/>
                    <w:bidi w:val="0"/>
                    <w:rPr>
                      <w:rFonts w:hint="default"/>
                    </w:rPr>
                  </w:pPr>
                  <w:r>
                    <w:rPr>
                      <w:rFonts w:hint="eastAsia"/>
                      <w:lang w:val="en-US" w:eastAsia="zh-CN"/>
                    </w:rPr>
                    <w:t>0.05</w:t>
                  </w:r>
                  <w:r>
                    <w:rPr>
                      <w:rFonts w:hint="default"/>
                    </w:rPr>
                    <w:t>t</w:t>
                  </w:r>
                </w:p>
              </w:tc>
            </w:tr>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项目对</w:t>
            </w:r>
            <w:r>
              <w:rPr>
                <w:rFonts w:hint="eastAsia"/>
                <w:color w:val="000000" w:themeColor="text1"/>
                <w:lang w:val="en-US" w:eastAsia="zh-CN"/>
                <w14:textFill>
                  <w14:solidFill>
                    <w14:schemeClr w14:val="tx1"/>
                  </w14:solidFill>
                </w14:textFill>
              </w:rPr>
              <w:t>土壤、</w:t>
            </w:r>
            <w:r>
              <w:rPr>
                <w:rFonts w:hint="eastAsia"/>
                <w:color w:val="000000" w:themeColor="text1"/>
                <w:lang w:eastAsia="zh-CN"/>
                <w14:textFill>
                  <w14:solidFill>
                    <w14:schemeClr w14:val="tx1"/>
                  </w14:solidFill>
                </w14:textFill>
              </w:rPr>
              <w:t>地下水</w:t>
            </w:r>
            <w:r>
              <w:rPr>
                <w:rFonts w:hint="eastAsia"/>
                <w:color w:val="000000" w:themeColor="text1"/>
                <w14:textFill>
                  <w14:solidFill>
                    <w14:schemeClr w14:val="tx1"/>
                  </w14:solidFill>
                </w14:textFill>
              </w:rPr>
              <w:t>的影响分析</w:t>
            </w:r>
          </w:p>
          <w:p>
            <w:pPr>
              <w:widowControl/>
              <w:ind w:firstLine="480"/>
              <w:jc w:val="left"/>
              <w:rPr>
                <w:rFonts w:ascii="宋体" w:hAnsi="宋体" w:eastAsia="宋体" w:cs="宋体"/>
                <w:sz w:val="24"/>
                <w:szCs w:val="24"/>
              </w:rPr>
            </w:pPr>
            <w:r>
              <w:rPr>
                <w:rFonts w:hint="eastAsia"/>
              </w:rPr>
              <w:t>本项目</w:t>
            </w:r>
            <w:r>
              <w:rPr>
                <w:rFonts w:hint="eastAsia"/>
                <w:lang w:val="en-US" w:eastAsia="zh-CN"/>
              </w:rPr>
              <w:t>产生的废水主要包括</w:t>
            </w:r>
            <w:r>
              <w:t>锅炉</w:t>
            </w:r>
            <w:r>
              <w:rPr>
                <w:rFonts w:hint="eastAsia"/>
                <w:lang w:val="en-US" w:eastAsia="zh-CN"/>
              </w:rPr>
              <w:t>废</w:t>
            </w:r>
            <w:r>
              <w:t>水</w:t>
            </w:r>
            <w:r>
              <w:rPr>
                <w:rFonts w:hint="eastAsia"/>
                <w:lang w:val="en-US" w:eastAsia="zh-CN"/>
              </w:rPr>
              <w:t>和锅炉软化水装置产生的浓水</w:t>
            </w:r>
            <w:r>
              <w:rPr>
                <w:rFonts w:hint="eastAsia"/>
                <w:lang w:eastAsia="zh-CN"/>
              </w:rPr>
              <w:t>，</w:t>
            </w:r>
            <w:r>
              <w:rPr>
                <w:rFonts w:hint="eastAsia"/>
                <w:kern w:val="0"/>
                <w:szCs w:val="21"/>
              </w:rPr>
              <w:t>排入园区污水管网，进入园区污水处理厂处置</w:t>
            </w:r>
            <w:r>
              <w:rPr>
                <w:rFonts w:hint="eastAsia"/>
                <w:lang w:eastAsia="zh-CN"/>
              </w:rPr>
              <w:t>。</w:t>
            </w:r>
            <w:r>
              <w:rPr>
                <w:rFonts w:hint="eastAsia"/>
                <w:lang w:val="en-US" w:eastAsia="zh-CN"/>
              </w:rPr>
              <w:t>本项目不使用或产生有毒有害化学品，固体废物不在厂区内暂存</w:t>
            </w:r>
            <w:r>
              <w:rPr>
                <w:rFonts w:hint="eastAsia"/>
              </w:rPr>
              <w:t>。</w:t>
            </w:r>
            <w:r>
              <w:rPr>
                <w:rFonts w:hint="eastAsia"/>
                <w:lang w:val="en-US" w:eastAsia="zh-CN"/>
              </w:rPr>
              <w:t>因此，正常</w:t>
            </w:r>
            <w:r>
              <w:rPr>
                <w:rFonts w:hint="eastAsia"/>
              </w:rPr>
              <w:t>情况下营运期</w:t>
            </w:r>
            <w:r>
              <w:rPr>
                <w:rFonts w:hint="eastAsia"/>
                <w:lang w:val="en-US" w:eastAsia="zh-CN"/>
              </w:rPr>
              <w:t>锅炉房</w:t>
            </w:r>
            <w:r>
              <w:rPr>
                <w:rFonts w:hint="eastAsia"/>
              </w:rPr>
              <w:t>采取严格的防渗漏措施，不会对土壤造成地面漫流、垂直入渗影响，对周边土壤环境影响较小。非正常情况下，若发生</w:t>
            </w:r>
            <w:r>
              <w:rPr>
                <w:rFonts w:hint="eastAsia"/>
                <w:lang w:val="en-US" w:eastAsia="zh-CN"/>
              </w:rPr>
              <w:t>排水</w:t>
            </w:r>
            <w:r>
              <w:rPr>
                <w:rFonts w:hint="eastAsia"/>
              </w:rPr>
              <w:t>管道事故破损等情况（即事故情况）出现，</w:t>
            </w:r>
            <w:r>
              <w:rPr>
                <w:rFonts w:hint="eastAsia"/>
                <w:lang w:val="en-US" w:eastAsia="zh-CN"/>
              </w:rPr>
              <w:t>废水可能</w:t>
            </w:r>
            <w:r>
              <w:rPr>
                <w:rFonts w:hint="eastAsia"/>
              </w:rPr>
              <w:t>对</w:t>
            </w:r>
            <w:r>
              <w:rPr>
                <w:rFonts w:hint="eastAsia"/>
                <w:lang w:eastAsia="zh-CN"/>
              </w:rPr>
              <w:t>地下水</w:t>
            </w:r>
            <w:r>
              <w:rPr>
                <w:rFonts w:hint="eastAsia"/>
              </w:rPr>
              <w:t>环境和土壤环境造成影响。因此，本项目建设单位必须做好防渗漏措施，杜绝非正常情况的发生。</w:t>
            </w:r>
          </w:p>
          <w:p>
            <w:pPr>
              <w:ind w:firstLine="480"/>
              <w:rPr>
                <w:rFonts w:hint="eastAsia" w:ascii="Times New Roman" w:hAnsi="Times New Roman" w:eastAsia="宋体" w:cs="Times New Roman"/>
                <w:bCs/>
                <w:szCs w:val="24"/>
              </w:rPr>
            </w:pPr>
            <w:r>
              <w:rPr>
                <w:rFonts w:hint="eastAsia" w:cs="Times New Roman"/>
                <w:bCs/>
                <w:szCs w:val="24"/>
                <w:lang w:val="en-US" w:eastAsia="zh-CN"/>
              </w:rPr>
              <w:t>锅炉房地面防渗：</w:t>
            </w:r>
            <w:r>
              <w:rPr>
                <w:rFonts w:hint="eastAsia" w:ascii="Times New Roman" w:hAnsi="Times New Roman" w:eastAsia="宋体" w:cs="Times New Roman"/>
                <w:bCs/>
                <w:szCs w:val="24"/>
              </w:rPr>
              <w:t>在抗渗混凝土面层</w:t>
            </w:r>
            <w:r>
              <w:rPr>
                <w:rFonts w:hint="eastAsia" w:cs="Times New Roman"/>
                <w:bCs/>
                <w:szCs w:val="24"/>
                <w:lang w:eastAsia="zh-CN"/>
              </w:rPr>
              <w:t>（</w:t>
            </w:r>
            <w:r>
              <w:rPr>
                <w:rFonts w:hint="eastAsia" w:ascii="Times New Roman" w:hAnsi="Times New Roman" w:eastAsia="宋体" w:cs="Times New Roman"/>
                <w:bCs/>
                <w:szCs w:val="24"/>
              </w:rPr>
              <w:t>包括钢筋混凝土、钢纤维混凝土</w:t>
            </w:r>
            <w:r>
              <w:rPr>
                <w:rFonts w:hint="eastAsia" w:cs="Times New Roman"/>
                <w:bCs/>
                <w:szCs w:val="24"/>
                <w:lang w:eastAsia="zh-CN"/>
              </w:rPr>
              <w:t>）</w:t>
            </w:r>
            <w:r>
              <w:rPr>
                <w:rFonts w:hint="eastAsia" w:ascii="Times New Roman" w:hAnsi="Times New Roman" w:eastAsia="宋体" w:cs="Times New Roman"/>
                <w:bCs/>
                <w:szCs w:val="24"/>
              </w:rPr>
              <w:t>中掺水泥基渗透结晶型防水剂，其下铺砌砂石基层，原土夯实达到防渗的目的。对于混凝土中间的伸缩缝和实体基础的缝隙，通过填充柔性材料达到防渗目的。一般防渗区等效黏土防渗层渗透系数k≤1×10</w:t>
            </w:r>
            <w:r>
              <w:rPr>
                <w:rFonts w:hint="eastAsia" w:ascii="Times New Roman" w:hAnsi="Times New Roman" w:eastAsia="宋体" w:cs="Times New Roman"/>
                <w:bCs/>
                <w:szCs w:val="24"/>
                <w:vertAlign w:val="superscript"/>
              </w:rPr>
              <w:t>-7</w:t>
            </w:r>
            <w:r>
              <w:rPr>
                <w:rFonts w:hint="eastAsia" w:ascii="Times New Roman" w:hAnsi="Times New Roman" w:eastAsia="宋体" w:cs="Times New Roman"/>
                <w:bCs/>
                <w:szCs w:val="24"/>
              </w:rPr>
              <w:t>cm/s，与《环境影响评价技术导则</w:t>
            </w:r>
            <w:r>
              <w:rPr>
                <w:rFonts w:hint="eastAsia" w:cs="Times New Roman"/>
                <w:bCs/>
                <w:szCs w:val="24"/>
                <w:lang w:eastAsia="zh-CN"/>
              </w:rPr>
              <w:t>地下水</w:t>
            </w:r>
            <w:r>
              <w:rPr>
                <w:rFonts w:hint="eastAsia" w:ascii="Times New Roman" w:hAnsi="Times New Roman" w:eastAsia="宋体" w:cs="Times New Roman"/>
                <w:bCs/>
                <w:szCs w:val="24"/>
              </w:rPr>
              <w:t>环境》（HJ610-2016）中的防渗技术要求相符。</w:t>
            </w:r>
          </w:p>
          <w:p>
            <w:pPr>
              <w:ind w:firstLine="0" w:firstLineChars="0"/>
              <w:rPr>
                <w:b/>
                <w:bCs/>
              </w:rPr>
            </w:pPr>
            <w:r>
              <w:rPr>
                <w:rFonts w:hint="eastAsia"/>
                <w:b/>
                <w:bCs/>
              </w:rPr>
              <w:t>4</w:t>
            </w:r>
            <w:r>
              <w:rPr>
                <w:b/>
                <w:bCs/>
              </w:rPr>
              <w:t>.</w:t>
            </w:r>
            <w:r>
              <w:rPr>
                <w:rFonts w:hint="eastAsia"/>
                <w:b/>
                <w:bCs/>
                <w:lang w:val="en-US" w:eastAsia="zh-CN"/>
              </w:rPr>
              <w:t>4</w:t>
            </w:r>
            <w:r>
              <w:rPr>
                <w:rFonts w:hint="eastAsia"/>
                <w:b/>
                <w:bCs/>
              </w:rPr>
              <w:t>排污许可管理</w:t>
            </w:r>
          </w:p>
          <w:p>
            <w:pPr>
              <w:bidi w:val="0"/>
              <w:rPr>
                <w:rFonts w:hint="eastAsia"/>
              </w:rPr>
            </w:pPr>
            <w:r>
              <w:rPr>
                <w:rFonts w:hint="eastAsia"/>
              </w:rPr>
              <w:t>根据《固定污染源排污许可分类管理名录》，本项目属于</w:t>
            </w:r>
            <w:r>
              <w:rPr>
                <w:rFonts w:hint="eastAsia"/>
                <w:lang w:eastAsia="zh-CN"/>
              </w:rPr>
              <w:t>“</w:t>
            </w:r>
            <w:r>
              <w:rPr>
                <w:rFonts w:hint="eastAsia"/>
                <w:lang w:val="en-US" w:eastAsia="zh-CN"/>
              </w:rPr>
              <w:t>五十一</w:t>
            </w:r>
            <w:r>
              <w:rPr>
                <w:rFonts w:hint="eastAsia"/>
              </w:rPr>
              <w:t>、</w:t>
            </w:r>
            <w:r>
              <w:rPr>
                <w:rFonts w:hint="eastAsia"/>
                <w:lang w:val="en-US" w:eastAsia="zh-CN"/>
              </w:rPr>
              <w:t>通用工序</w:t>
            </w:r>
            <w:r>
              <w:rPr>
                <w:rFonts w:hint="eastAsia"/>
                <w:lang w:eastAsia="zh-CN"/>
              </w:rPr>
              <w:t>”</w:t>
            </w:r>
            <w:r>
              <w:rPr>
                <w:rFonts w:hint="eastAsia"/>
              </w:rPr>
              <w:t>中的</w:t>
            </w:r>
            <w:r>
              <w:rPr>
                <w:rFonts w:hint="eastAsia"/>
                <w:lang w:eastAsia="zh-CN"/>
              </w:rPr>
              <w:t>“</w:t>
            </w:r>
            <w:r>
              <w:rPr>
                <w:rFonts w:hint="eastAsia"/>
              </w:rPr>
              <w:t>除纳入重点排污单位名录的，单台且合计出力20吨/小时（14兆瓦）以下的锅炉（不含电热锅炉）</w:t>
            </w:r>
            <w:r>
              <w:rPr>
                <w:rFonts w:hint="eastAsia"/>
                <w:lang w:eastAsia="zh-CN"/>
              </w:rPr>
              <w:t>”</w:t>
            </w:r>
            <w:r>
              <w:rPr>
                <w:rFonts w:hint="eastAsia"/>
              </w:rPr>
              <w:t>类别，属于</w:t>
            </w:r>
            <w:r>
              <w:rPr>
                <w:rFonts w:hint="eastAsia"/>
                <w:lang w:val="en-US" w:eastAsia="zh-CN"/>
              </w:rPr>
              <w:t>登记</w:t>
            </w:r>
            <w:r>
              <w:rPr>
                <w:rFonts w:hint="eastAsia"/>
              </w:rPr>
              <w:t>管理。</w:t>
            </w:r>
          </w:p>
          <w:p>
            <w:pPr>
              <w:bidi w:val="0"/>
            </w:pPr>
            <w:r>
              <w:rPr>
                <w:rFonts w:hint="eastAsia"/>
                <w:lang w:eastAsia="zh-CN"/>
              </w:rPr>
              <w:t>巴州鸿源石油装备器材有限公司</w:t>
            </w:r>
            <w:r>
              <w:rPr>
                <w:rFonts w:hint="eastAsia"/>
                <w:lang w:val="en-US" w:eastAsia="zh-CN"/>
              </w:rPr>
              <w:t>已按排污许可管理规定进行排污许可登记，登记编号：91652822689579824T001Y，</w:t>
            </w:r>
            <w:r>
              <w:rPr>
                <w:rFonts w:hint="eastAsia" w:cs="Times New Roman"/>
                <w:lang w:val="en-US" w:eastAsia="zh-CN"/>
              </w:rPr>
              <w:t>有效期为2020-11-26至2025-11-25，在本项目实际排污前，应</w:t>
            </w:r>
            <w:r>
              <w:rPr>
                <w:rFonts w:hint="eastAsia"/>
                <w:color w:val="auto"/>
                <w:lang w:val="en-US" w:eastAsia="zh-CN"/>
              </w:rPr>
              <w:t>及时补充本次环评相关排污信息，根据厂区实际排污情况进行变更、延续</w:t>
            </w:r>
            <w:r>
              <w:rPr>
                <w:rFonts w:hint="eastAsia" w:cs="Times New Roman"/>
                <w:lang w:val="en-US" w:eastAsia="zh-CN"/>
              </w:rPr>
              <w:t>排污许可登记信息</w:t>
            </w:r>
            <w:r>
              <w:t>。</w:t>
            </w:r>
          </w:p>
          <w:p>
            <w:pPr>
              <w:pStyle w:val="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环境风险</w:t>
            </w:r>
          </w:p>
          <w:p>
            <w:pPr>
              <w:pStyle w:val="5"/>
              <w:rPr>
                <w:highlight w:val="none"/>
              </w:rPr>
            </w:pPr>
            <w:r>
              <w:rPr>
                <w:rFonts w:hint="eastAsia"/>
                <w:highlight w:val="none"/>
              </w:rPr>
              <w:t>4.</w:t>
            </w:r>
            <w:r>
              <w:rPr>
                <w:rFonts w:hint="eastAsia"/>
                <w:highlight w:val="none"/>
                <w:lang w:val="en-US" w:eastAsia="zh-CN"/>
              </w:rPr>
              <w:t>5</w:t>
            </w:r>
            <w:r>
              <w:rPr>
                <w:rFonts w:hint="eastAsia"/>
                <w:highlight w:val="none"/>
              </w:rPr>
              <w:t>.1风险调查</w:t>
            </w:r>
          </w:p>
          <w:p>
            <w:pPr>
              <w:ind w:firstLine="480"/>
            </w:pPr>
            <w:r>
              <w:rPr>
                <w:rFonts w:hint="eastAsia"/>
                <w:highlight w:val="none"/>
              </w:rPr>
              <w:t>（1）</w:t>
            </w:r>
            <w:r>
              <w:rPr>
                <w:rFonts w:hint="eastAsia"/>
              </w:rPr>
              <w:t>风险源调查</w:t>
            </w:r>
          </w:p>
          <w:p>
            <w:pPr>
              <w:ind w:firstLine="480"/>
              <w:rPr>
                <w:rFonts w:hint="eastAsia"/>
              </w:rPr>
            </w:pPr>
            <w:r>
              <w:rPr>
                <w:rFonts w:hint="eastAsia" w:ascii="宋体" w:hAnsi="宋体" w:eastAsia="宋体" w:cs="宋体"/>
                <w:color w:val="000000"/>
                <w:kern w:val="0"/>
                <w:sz w:val="24"/>
                <w:szCs w:val="24"/>
                <w:lang w:val="en-US" w:eastAsia="zh-CN" w:bidi="ar"/>
              </w:rPr>
              <w:t>根据《建设项目环境风险评价技术导则》（</w:t>
            </w:r>
            <w:r>
              <w:rPr>
                <w:rFonts w:hint="default" w:ascii="Times New Roman" w:hAnsi="Times New Roman" w:eastAsia="宋体" w:cs="Times New Roman"/>
                <w:color w:val="000000"/>
                <w:kern w:val="0"/>
                <w:sz w:val="24"/>
                <w:szCs w:val="24"/>
                <w:lang w:val="en-US" w:eastAsia="zh-CN" w:bidi="ar"/>
              </w:rPr>
              <w:t>HJ 169-2018</w:t>
            </w:r>
            <w:r>
              <w:rPr>
                <w:rFonts w:hint="eastAsia" w:ascii="宋体" w:hAnsi="宋体" w:eastAsia="宋体" w:cs="宋体"/>
                <w:color w:val="000000"/>
                <w:kern w:val="0"/>
                <w:sz w:val="24"/>
                <w:szCs w:val="24"/>
                <w:lang w:val="en-US" w:eastAsia="zh-CN" w:bidi="ar"/>
              </w:rPr>
              <w:t>）对项目主要物料的毒性及其风险危害特性进行识别。项目危险化学品重大危险源辨识为天然气，其主要成分为甲烷。本项目存在的风险主要是天然气使用过程可能发生的火灾对大气环境、水环境，以及工作人员引起的危害和影响</w:t>
            </w:r>
            <w:r>
              <w:rPr>
                <w:rFonts w:hint="eastAsia"/>
              </w:rPr>
              <w:t>。</w:t>
            </w:r>
          </w:p>
          <w:p>
            <w:pPr>
              <w:ind w:firstLine="480"/>
            </w:pPr>
            <w:r>
              <w:rPr>
                <w:rFonts w:hint="eastAsia"/>
              </w:rPr>
              <w:t>（2）环境敏感目标调查</w:t>
            </w:r>
          </w:p>
          <w:p>
            <w:pPr>
              <w:ind w:firstLine="480"/>
            </w:pPr>
            <w:r>
              <w:rPr>
                <w:rFonts w:hint="eastAsia"/>
              </w:rPr>
              <w:t>本项目</w:t>
            </w:r>
            <w:r>
              <w:rPr>
                <w:rFonts w:hint="eastAsia"/>
                <w:lang w:val="en-US" w:eastAsia="zh-CN"/>
              </w:rPr>
              <w:t>位于</w:t>
            </w:r>
            <w:r>
              <w:rPr>
                <w:rFonts w:hint="eastAsia"/>
              </w:rPr>
              <w:t>轮台县</w:t>
            </w:r>
            <w:r>
              <w:rPr>
                <w:rFonts w:hint="eastAsia"/>
                <w:lang w:eastAsia="zh-CN"/>
              </w:rPr>
              <w:t>红桥石油服务区，</w:t>
            </w:r>
            <w:r>
              <w:rPr>
                <w:rFonts w:hint="eastAsia"/>
              </w:rPr>
              <w:t>范围内无自然保护区、风景名胜区、水源地等环境风险敏感目标。</w:t>
            </w:r>
          </w:p>
          <w:p>
            <w:pPr>
              <w:pStyle w:val="5"/>
            </w:pPr>
            <w:r>
              <w:rPr>
                <w:rFonts w:hint="eastAsia"/>
              </w:rPr>
              <w:t>4.</w:t>
            </w:r>
            <w:r>
              <w:rPr>
                <w:rFonts w:hint="eastAsia"/>
                <w:lang w:val="en-US" w:eastAsia="zh-CN"/>
              </w:rPr>
              <w:t>5</w:t>
            </w:r>
            <w:r>
              <w:rPr>
                <w:rFonts w:hint="eastAsia"/>
              </w:rPr>
              <w:t>.2环境风险评价等级</w:t>
            </w:r>
          </w:p>
          <w:p>
            <w:pPr>
              <w:pStyle w:val="5"/>
              <w:spacing w:before="0" w:after="0" w:line="360" w:lineRule="auto"/>
              <w:ind w:firstLine="480" w:firstLineChars="200"/>
              <w:rPr>
                <w:rFonts w:hint="eastAsia" w:ascii="Times New Roman" w:hAnsi="Times New Roman" w:cstheme="minorBidi"/>
                <w:b w:val="0"/>
                <w:bCs w:val="0"/>
                <w:szCs w:val="22"/>
              </w:rPr>
            </w:pPr>
            <w:r>
              <w:rPr>
                <w:rFonts w:hint="eastAsia" w:cstheme="minorBidi"/>
                <w:b w:val="0"/>
                <w:bCs w:val="0"/>
                <w:szCs w:val="22"/>
              </w:rPr>
              <w:t>根据《建设项目环境风险评价技术导则》</w:t>
            </w:r>
            <w:r>
              <w:rPr>
                <w:rFonts w:hint="eastAsia" w:cstheme="minorBidi"/>
                <w:b w:val="0"/>
                <w:bCs w:val="0"/>
                <w:szCs w:val="22"/>
                <w:lang w:eastAsia="zh-CN"/>
              </w:rPr>
              <w:t>（</w:t>
            </w:r>
            <w:r>
              <w:rPr>
                <w:rFonts w:hint="eastAsia" w:cstheme="minorBidi"/>
                <w:b w:val="0"/>
                <w:bCs w:val="0"/>
                <w:szCs w:val="22"/>
              </w:rPr>
              <w:t>HJ169-2018</w:t>
            </w:r>
            <w:r>
              <w:rPr>
                <w:rFonts w:hint="eastAsia" w:cstheme="minorBidi"/>
                <w:b w:val="0"/>
                <w:bCs w:val="0"/>
                <w:szCs w:val="22"/>
                <w:lang w:eastAsia="zh-CN"/>
              </w:rPr>
              <w:t>）</w:t>
            </w:r>
            <w:r>
              <w:rPr>
                <w:rFonts w:hint="eastAsia" w:cstheme="minorBidi"/>
                <w:b w:val="0"/>
                <w:bCs w:val="0"/>
                <w:szCs w:val="22"/>
                <w:lang w:val="en-US" w:eastAsia="zh-CN"/>
              </w:rPr>
              <w:t>以及《危险化学品重大危险源辨识》（GB18218-2018）</w:t>
            </w:r>
            <w:r>
              <w:rPr>
                <w:rFonts w:hint="eastAsia" w:cstheme="minorBidi"/>
                <w:b w:val="0"/>
                <w:bCs w:val="0"/>
                <w:szCs w:val="22"/>
              </w:rPr>
              <w:t>，</w:t>
            </w:r>
            <w:r>
              <w:rPr>
                <w:rFonts w:hint="eastAsia" w:cstheme="minorBidi"/>
                <w:b w:val="0"/>
                <w:bCs w:val="0"/>
                <w:szCs w:val="22"/>
                <w:lang w:val="en-US" w:eastAsia="zh-CN"/>
              </w:rPr>
              <w:t>本</w:t>
            </w:r>
            <w:r>
              <w:rPr>
                <w:rFonts w:hint="eastAsia" w:cstheme="minorBidi"/>
                <w:b w:val="0"/>
                <w:bCs w:val="0"/>
                <w:szCs w:val="22"/>
              </w:rPr>
              <w:t>项</w:t>
            </w:r>
            <w:r>
              <w:rPr>
                <w:rFonts w:hint="eastAsia" w:ascii="Times New Roman" w:hAnsi="Times New Roman" w:cstheme="minorBidi"/>
                <w:b w:val="0"/>
                <w:bCs w:val="0"/>
                <w:szCs w:val="22"/>
              </w:rPr>
              <w:t>目风险物质为</w:t>
            </w:r>
            <w:r>
              <w:rPr>
                <w:rFonts w:hint="eastAsia" w:ascii="Times New Roman" w:hAnsi="Times New Roman" w:cstheme="minorBidi"/>
                <w:b w:val="0"/>
                <w:bCs w:val="0"/>
                <w:szCs w:val="22"/>
                <w:lang w:val="en-US" w:eastAsia="zh-CN"/>
              </w:rPr>
              <w:t>天然气，其主要成分为甲烷</w:t>
            </w:r>
            <w:r>
              <w:rPr>
                <w:rFonts w:hint="eastAsia" w:ascii="Times New Roman" w:hAnsi="Times New Roman" w:cstheme="minorBidi"/>
                <w:b w:val="0"/>
                <w:bCs w:val="0"/>
                <w:szCs w:val="22"/>
              </w:rPr>
              <w:t>。</w:t>
            </w:r>
          </w:p>
          <w:p>
            <w:r>
              <w:rPr>
                <w:rFonts w:hint="eastAsia" w:ascii="宋体" w:hAnsi="宋体" w:eastAsia="宋体" w:cs="宋体"/>
                <w:color w:val="000000"/>
                <w:kern w:val="0"/>
                <w:sz w:val="24"/>
                <w:szCs w:val="24"/>
                <w:lang w:val="en-US" w:eastAsia="zh-CN" w:bidi="ar"/>
              </w:rPr>
              <w:t>本项目天然气不在厂内储存，直接通过燃气管道进入厂区后供应至燃气锅炉，根据《建设项目环境风险评价技术导则》</w:t>
            </w:r>
            <w:r>
              <w:rPr>
                <w:rFonts w:hint="default" w:ascii="Times New Roman" w:hAnsi="Times New Roman" w:eastAsia="宋体" w:cs="Times New Roman"/>
                <w:color w:val="000000"/>
                <w:kern w:val="0"/>
                <w:sz w:val="24"/>
                <w:szCs w:val="24"/>
                <w:lang w:val="en-US" w:eastAsia="zh-CN" w:bidi="ar"/>
              </w:rPr>
              <w:t>HJ169-2018</w:t>
            </w:r>
            <w:r>
              <w:rPr>
                <w:rFonts w:hint="eastAsia" w:ascii="宋体" w:hAnsi="宋体" w:eastAsia="宋体" w:cs="宋体"/>
                <w:color w:val="000000"/>
                <w:kern w:val="0"/>
                <w:sz w:val="24"/>
                <w:szCs w:val="24"/>
                <w:lang w:val="en-US" w:eastAsia="zh-CN" w:bidi="ar"/>
              </w:rPr>
              <w:t>）有关要求，估算厂内天然气管道中的天然气存在量，与临界量比值（</w:t>
            </w:r>
            <w:r>
              <w:rPr>
                <w:rFonts w:hint="default" w:ascii="Times New Roman" w:hAnsi="Times New Roman" w:eastAsia="宋体" w:cs="Times New Roman"/>
                <w:color w:val="000000"/>
                <w:kern w:val="0"/>
                <w:sz w:val="24"/>
                <w:szCs w:val="24"/>
                <w:lang w:val="en-US" w:eastAsia="zh-CN" w:bidi="ar"/>
              </w:rPr>
              <w:t>Q</w:t>
            </w:r>
            <w:r>
              <w:rPr>
                <w:rFonts w:hint="eastAsia" w:ascii="宋体" w:hAnsi="宋体" w:eastAsia="宋体" w:cs="宋体"/>
                <w:color w:val="000000"/>
                <w:kern w:val="0"/>
                <w:sz w:val="24"/>
                <w:szCs w:val="24"/>
                <w:lang w:val="en-US" w:eastAsia="zh-CN" w:bidi="ar"/>
              </w:rPr>
              <w:t>），天然气厂内管线长度</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，管道内径</w:t>
            </w:r>
            <w:r>
              <w:rPr>
                <w:rFonts w:hint="default" w:ascii="Times New Roman" w:hAnsi="Times New Roman" w:eastAsia="宋体" w:cs="Times New Roman"/>
                <w:color w:val="000000"/>
                <w:kern w:val="0"/>
                <w:sz w:val="24"/>
                <w:szCs w:val="24"/>
                <w:lang w:val="en-US" w:eastAsia="zh-CN" w:bidi="ar"/>
              </w:rPr>
              <w:t>100mm</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管径体积约为0.196</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本项目天然气密度为</w:t>
            </w:r>
            <w:r>
              <w:rPr>
                <w:rFonts w:hint="default" w:ascii="Times New Roman" w:hAnsi="Times New Roman" w:eastAsia="宋体" w:cs="Times New Roman"/>
                <w:color w:val="000000"/>
                <w:kern w:val="0"/>
                <w:sz w:val="24"/>
                <w:szCs w:val="24"/>
                <w:lang w:val="en-US" w:eastAsia="zh-CN" w:bidi="ar"/>
              </w:rPr>
              <w:t>0.809kg/m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，经计算，厂区内管道内储存的天然气量为</w:t>
            </w:r>
            <w:r>
              <w:rPr>
                <w:rFonts w:hint="eastAsia" w:cs="Times New Roman"/>
                <w:color w:val="000000"/>
                <w:kern w:val="0"/>
                <w:sz w:val="24"/>
                <w:szCs w:val="24"/>
                <w:lang w:val="en-US" w:eastAsia="zh-CN" w:bidi="ar"/>
              </w:rPr>
              <w:t>0.159</w:t>
            </w:r>
            <w:r>
              <w:rPr>
                <w:rFonts w:hint="default" w:ascii="Times New Roman" w:hAnsi="Times New Roman" w:eastAsia="宋体" w:cs="Times New Roman"/>
                <w:color w:val="000000"/>
                <w:kern w:val="0"/>
                <w:sz w:val="24"/>
                <w:szCs w:val="24"/>
                <w:lang w:val="en-US" w:eastAsia="zh-CN" w:bidi="ar"/>
              </w:rPr>
              <w:t>kg</w:t>
            </w:r>
            <w:r>
              <w:rPr>
                <w:rFonts w:hint="eastAsia" w:ascii="宋体" w:hAnsi="宋体" w:eastAsia="宋体" w:cs="宋体"/>
                <w:color w:val="000000"/>
                <w:kern w:val="0"/>
                <w:sz w:val="24"/>
                <w:szCs w:val="24"/>
                <w:lang w:val="en-US" w:eastAsia="zh-CN" w:bidi="ar"/>
              </w:rPr>
              <w:t>，天然气中甲烷占比为</w:t>
            </w:r>
            <w:r>
              <w:rPr>
                <w:rFonts w:hint="default" w:ascii="Times New Roman" w:hAnsi="Times New Roman" w:eastAsia="宋体" w:cs="Times New Roman"/>
                <w:color w:val="000000"/>
                <w:kern w:val="0"/>
                <w:sz w:val="24"/>
                <w:szCs w:val="24"/>
                <w:lang w:val="en-US" w:eastAsia="zh-CN" w:bidi="ar"/>
              </w:rPr>
              <w:t>87%</w:t>
            </w:r>
            <w:r>
              <w:rPr>
                <w:rFonts w:hint="eastAsia" w:ascii="宋体" w:hAnsi="宋体" w:eastAsia="宋体" w:cs="宋体"/>
                <w:color w:val="000000"/>
                <w:kern w:val="0"/>
                <w:sz w:val="24"/>
                <w:szCs w:val="24"/>
                <w:lang w:val="en-US" w:eastAsia="zh-CN" w:bidi="ar"/>
              </w:rPr>
              <w:t>，则本项目甲烷最大储存量为</w:t>
            </w:r>
            <w:r>
              <w:rPr>
                <w:rFonts w:hint="eastAsia" w:cs="Times New Roman"/>
                <w:color w:val="000000"/>
                <w:kern w:val="0"/>
                <w:sz w:val="24"/>
                <w:szCs w:val="24"/>
                <w:lang w:val="en-US" w:eastAsia="zh-CN" w:bidi="ar"/>
              </w:rPr>
              <w:t>1.38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eastAsia="宋体" w:cs="Times New Roman"/>
                <w:color w:val="000000"/>
                <w:kern w:val="0"/>
                <w:sz w:val="24"/>
                <w:szCs w:val="24"/>
                <w:vertAlign w:val="superscript"/>
                <w:lang w:val="en-US" w:eastAsia="zh-CN" w:bidi="ar"/>
              </w:rPr>
              <w:t>-</w:t>
            </w:r>
            <w:r>
              <w:rPr>
                <w:rFonts w:hint="eastAsia" w:cs="Times New Roman"/>
                <w:color w:val="000000"/>
                <w:kern w:val="0"/>
                <w:sz w:val="24"/>
                <w:szCs w:val="24"/>
                <w:vertAlign w:val="superscript"/>
                <w:lang w:val="en-US" w:eastAsia="zh-CN" w:bidi="ar"/>
              </w:rPr>
              <w:t>4</w:t>
            </w:r>
            <w:r>
              <w:rPr>
                <w:rFonts w:hint="default" w:ascii="Times New Roman" w:hAnsi="Times New Roman" w:eastAsia="宋体" w:cs="Times New Roman"/>
                <w:color w:val="000000"/>
                <w:kern w:val="0"/>
                <w:sz w:val="24"/>
                <w:szCs w:val="24"/>
                <w:lang w:val="en-US" w:eastAsia="zh-CN" w:bidi="ar"/>
              </w:rPr>
              <w:t>t</w:t>
            </w:r>
          </w:p>
          <w:p>
            <w:pPr>
              <w:ind w:firstLine="240" w:firstLineChars="100"/>
              <w:jc w:val="left"/>
              <w:textAlignment w:val="auto"/>
            </w:pPr>
            <w:r>
              <w:rPr>
                <w:rFonts w:hint="eastAsia"/>
              </w:rPr>
              <w:t>风险源情况详见下表4-</w:t>
            </w:r>
            <w:r>
              <w:rPr>
                <w:rFonts w:hint="eastAsia"/>
                <w:lang w:val="en-US" w:eastAsia="zh-CN"/>
              </w:rPr>
              <w:t>7</w:t>
            </w:r>
            <w:r>
              <w:rPr>
                <w:rFonts w:hint="eastAsia"/>
              </w:rPr>
              <w:t>。</w:t>
            </w:r>
          </w:p>
          <w:p>
            <w:pPr>
              <w:pStyle w:val="34"/>
              <w:bidi w:val="0"/>
            </w:pPr>
            <w:r>
              <w:rPr>
                <w:rFonts w:hint="eastAsia"/>
              </w:rPr>
              <w:t>表4-</w:t>
            </w:r>
            <w:r>
              <w:rPr>
                <w:rFonts w:hint="eastAsia"/>
                <w:lang w:val="en-US" w:eastAsia="zh-CN"/>
              </w:rPr>
              <w:t>7</w:t>
            </w:r>
            <w:r>
              <w:rPr>
                <w:rFonts w:hint="eastAsia"/>
              </w:rPr>
              <w:t xml:space="preserve">  危险化学品临界量一览表</w:t>
            </w:r>
          </w:p>
          <w:tbl>
            <w:tblPr>
              <w:tblStyle w:val="21"/>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4"/>
              <w:gridCol w:w="1506"/>
              <w:gridCol w:w="2428"/>
              <w:gridCol w:w="1595"/>
              <w:gridCol w:w="21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28" w:hRule="exact"/>
                <w:jc w:val="center"/>
              </w:trPr>
              <w:tc>
                <w:tcPr>
                  <w:tcW w:w="477" w:type="pct"/>
                  <w:vAlign w:val="center"/>
                </w:tcPr>
                <w:p>
                  <w:pPr>
                    <w:spacing w:line="240" w:lineRule="auto"/>
                    <w:ind w:firstLine="0" w:firstLineChars="0"/>
                    <w:jc w:val="center"/>
                    <w:textAlignment w:val="auto"/>
                    <w:rPr>
                      <w:sz w:val="21"/>
                      <w:szCs w:val="21"/>
                    </w:rPr>
                  </w:pPr>
                  <w:r>
                    <w:rPr>
                      <w:rFonts w:hint="eastAsia"/>
                      <w:sz w:val="21"/>
                      <w:szCs w:val="21"/>
                    </w:rPr>
                    <w:t>序号</w:t>
                  </w:r>
                </w:p>
              </w:tc>
              <w:tc>
                <w:tcPr>
                  <w:tcW w:w="884" w:type="pct"/>
                  <w:vAlign w:val="center"/>
                </w:tcPr>
                <w:p>
                  <w:pPr>
                    <w:spacing w:line="240" w:lineRule="auto"/>
                    <w:ind w:firstLine="0" w:firstLineChars="0"/>
                    <w:jc w:val="center"/>
                    <w:textAlignment w:val="auto"/>
                    <w:rPr>
                      <w:sz w:val="21"/>
                      <w:szCs w:val="21"/>
                    </w:rPr>
                  </w:pPr>
                  <w:r>
                    <w:rPr>
                      <w:rFonts w:hint="eastAsia"/>
                      <w:sz w:val="21"/>
                      <w:szCs w:val="21"/>
                    </w:rPr>
                    <w:t>环境风险物质</w:t>
                  </w:r>
                </w:p>
              </w:tc>
              <w:tc>
                <w:tcPr>
                  <w:tcW w:w="1425" w:type="pct"/>
                  <w:vAlign w:val="center"/>
                </w:tcPr>
                <w:p>
                  <w:pPr>
                    <w:spacing w:line="240" w:lineRule="auto"/>
                    <w:ind w:firstLine="0" w:firstLineChars="0"/>
                    <w:jc w:val="center"/>
                    <w:textAlignment w:val="auto"/>
                    <w:rPr>
                      <w:sz w:val="21"/>
                      <w:szCs w:val="21"/>
                    </w:rPr>
                  </w:pPr>
                  <w:r>
                    <w:rPr>
                      <w:rFonts w:hint="eastAsia"/>
                      <w:sz w:val="21"/>
                      <w:szCs w:val="21"/>
                    </w:rPr>
                    <w:t>储存量（q）</w:t>
                  </w:r>
                </w:p>
              </w:tc>
              <w:tc>
                <w:tcPr>
                  <w:tcW w:w="936" w:type="pct"/>
                  <w:vAlign w:val="center"/>
                </w:tcPr>
                <w:p>
                  <w:pPr>
                    <w:spacing w:line="240" w:lineRule="auto"/>
                    <w:ind w:firstLine="0" w:firstLineChars="0"/>
                    <w:jc w:val="center"/>
                    <w:textAlignment w:val="auto"/>
                    <w:rPr>
                      <w:sz w:val="21"/>
                      <w:szCs w:val="21"/>
                    </w:rPr>
                  </w:pPr>
                  <w:r>
                    <w:rPr>
                      <w:rFonts w:hint="eastAsia"/>
                      <w:sz w:val="21"/>
                      <w:szCs w:val="21"/>
                    </w:rPr>
                    <w:t>临界量（Q）</w:t>
                  </w:r>
                </w:p>
              </w:tc>
              <w:tc>
                <w:tcPr>
                  <w:tcW w:w="1276" w:type="pct"/>
                  <w:vAlign w:val="center"/>
                </w:tcPr>
                <w:p>
                  <w:pPr>
                    <w:spacing w:line="240" w:lineRule="auto"/>
                    <w:ind w:firstLine="0" w:firstLineChars="0"/>
                    <w:jc w:val="center"/>
                    <w:textAlignment w:val="auto"/>
                    <w:rPr>
                      <w:sz w:val="21"/>
                      <w:szCs w:val="21"/>
                    </w:rPr>
                  </w:pPr>
                  <w:r>
                    <w:rPr>
                      <w:rFonts w:hint="eastAsia"/>
                      <w:sz w:val="21"/>
                      <w:szCs w:val="21"/>
                    </w:rPr>
                    <w:t>q比值（Q）</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exact"/>
                <w:jc w:val="center"/>
              </w:trPr>
              <w:tc>
                <w:tcPr>
                  <w:tcW w:w="477" w:type="pct"/>
                  <w:vAlign w:val="center"/>
                </w:tcPr>
                <w:p>
                  <w:pPr>
                    <w:spacing w:line="240" w:lineRule="auto"/>
                    <w:ind w:firstLine="0" w:firstLineChars="0"/>
                    <w:jc w:val="center"/>
                    <w:textAlignment w:val="auto"/>
                    <w:rPr>
                      <w:sz w:val="21"/>
                      <w:szCs w:val="21"/>
                    </w:rPr>
                  </w:pPr>
                  <w:r>
                    <w:rPr>
                      <w:sz w:val="21"/>
                      <w:szCs w:val="21"/>
                    </w:rPr>
                    <w:t>1</w:t>
                  </w:r>
                </w:p>
              </w:tc>
              <w:tc>
                <w:tcPr>
                  <w:tcW w:w="884" w:type="pct"/>
                  <w:vAlign w:val="center"/>
                </w:tcPr>
                <w:p>
                  <w:pPr>
                    <w:spacing w:line="240" w:lineRule="auto"/>
                    <w:ind w:firstLine="0" w:firstLineChars="0"/>
                    <w:jc w:val="center"/>
                    <w:textAlignment w:val="auto"/>
                    <w:rPr>
                      <w:rFonts w:hint="eastAsia" w:eastAsia="宋体"/>
                      <w:sz w:val="21"/>
                      <w:szCs w:val="21"/>
                      <w:lang w:eastAsia="zh-CN"/>
                    </w:rPr>
                  </w:pPr>
                  <w:r>
                    <w:rPr>
                      <w:rFonts w:hint="eastAsia"/>
                      <w:sz w:val="21"/>
                      <w:szCs w:val="21"/>
                      <w:lang w:val="en-US" w:eastAsia="zh-CN"/>
                    </w:rPr>
                    <w:t>甲烷</w:t>
                  </w:r>
                </w:p>
              </w:tc>
              <w:tc>
                <w:tcPr>
                  <w:tcW w:w="1425" w:type="pct"/>
                  <w:vAlign w:val="center"/>
                </w:tcPr>
                <w:p>
                  <w:pPr>
                    <w:spacing w:line="240" w:lineRule="auto"/>
                    <w:ind w:firstLine="0" w:firstLineChars="0"/>
                    <w:jc w:val="center"/>
                    <w:textAlignment w:val="auto"/>
                    <w:rPr>
                      <w:sz w:val="21"/>
                      <w:szCs w:val="21"/>
                    </w:rPr>
                  </w:pPr>
                  <w:r>
                    <w:rPr>
                      <w:rFonts w:hint="eastAsia"/>
                      <w:sz w:val="21"/>
                      <w:szCs w:val="21"/>
                    </w:rPr>
                    <w:t>0</w:t>
                  </w:r>
                  <w:r>
                    <w:rPr>
                      <w:rFonts w:hint="eastAsia"/>
                      <w:sz w:val="21"/>
                      <w:szCs w:val="21"/>
                      <w:lang w:val="en-US" w:eastAsia="zh-CN"/>
                    </w:rPr>
                    <w:t>.000138</w:t>
                  </w:r>
                  <w:r>
                    <w:rPr>
                      <w:rFonts w:hint="eastAsia"/>
                      <w:sz w:val="21"/>
                      <w:szCs w:val="21"/>
                    </w:rPr>
                    <w:t>t</w:t>
                  </w:r>
                </w:p>
              </w:tc>
              <w:tc>
                <w:tcPr>
                  <w:tcW w:w="936" w:type="pct"/>
                  <w:vAlign w:val="center"/>
                </w:tcPr>
                <w:p>
                  <w:pPr>
                    <w:spacing w:line="240" w:lineRule="auto"/>
                    <w:ind w:firstLine="0" w:firstLineChars="0"/>
                    <w:jc w:val="center"/>
                    <w:textAlignment w:val="auto"/>
                    <w:rPr>
                      <w:sz w:val="21"/>
                      <w:szCs w:val="21"/>
                    </w:rPr>
                  </w:pPr>
                  <w:r>
                    <w:rPr>
                      <w:rFonts w:hint="eastAsia"/>
                      <w:sz w:val="21"/>
                      <w:szCs w:val="21"/>
                    </w:rPr>
                    <w:t>10t</w:t>
                  </w:r>
                </w:p>
              </w:tc>
              <w:tc>
                <w:tcPr>
                  <w:tcW w:w="1276" w:type="pct"/>
                  <w:vAlign w:val="center"/>
                </w:tcPr>
                <w:p>
                  <w:pPr>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0.0000138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exact"/>
                <w:jc w:val="center"/>
              </w:trPr>
              <w:tc>
                <w:tcPr>
                  <w:tcW w:w="3723" w:type="pct"/>
                  <w:gridSpan w:val="4"/>
                  <w:vAlign w:val="center"/>
                </w:tcPr>
                <w:p>
                  <w:pPr>
                    <w:spacing w:line="240" w:lineRule="auto"/>
                    <w:ind w:firstLine="0" w:firstLineChars="0"/>
                    <w:jc w:val="center"/>
                    <w:textAlignment w:val="auto"/>
                    <w:rPr>
                      <w:sz w:val="21"/>
                      <w:szCs w:val="21"/>
                    </w:rPr>
                  </w:pPr>
                  <w:r>
                    <w:rPr>
                      <w:rFonts w:hint="eastAsia"/>
                      <w:sz w:val="21"/>
                      <w:szCs w:val="21"/>
                    </w:rPr>
                    <w:t>合计</w:t>
                  </w:r>
                </w:p>
              </w:tc>
              <w:tc>
                <w:tcPr>
                  <w:tcW w:w="1276" w:type="pct"/>
                  <w:vAlign w:val="center"/>
                </w:tcPr>
                <w:p>
                  <w:pPr>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0.0000138</w:t>
                  </w:r>
                </w:p>
              </w:tc>
            </w:tr>
          </w:tbl>
          <w:p>
            <w:pPr>
              <w:ind w:firstLine="480"/>
              <w:textAlignment w:val="auto"/>
              <w:rPr>
                <w:rFonts w:cs="Times New Roman"/>
              </w:rPr>
            </w:pPr>
            <w:r>
              <w:rPr>
                <w:rFonts w:cs="Times New Roman"/>
              </w:rPr>
              <w:t>根据危险物质数量与临界量比</w:t>
            </w:r>
            <w:r>
              <w:rPr>
                <w:rFonts w:ascii="Times New Roman" w:hAnsi="Times New Roman" w:cs="Times New Roman"/>
              </w:rPr>
              <w:t>值，确定Q=</w:t>
            </w:r>
            <w:r>
              <w:rPr>
                <w:rFonts w:hint="eastAsia" w:ascii="Times New Roman" w:hAnsi="Times New Roman" w:cs="Times New Roman"/>
                <w:lang w:val="en-US" w:eastAsia="zh-CN"/>
              </w:rPr>
              <w:t>0.000</w:t>
            </w:r>
            <w:r>
              <w:rPr>
                <w:rFonts w:hint="eastAsia" w:cs="Times New Roman"/>
                <w:lang w:val="en-US" w:eastAsia="zh-CN"/>
              </w:rPr>
              <w:t>0</w:t>
            </w:r>
            <w:r>
              <w:rPr>
                <w:rFonts w:hint="eastAsia" w:ascii="Times New Roman" w:hAnsi="Times New Roman" w:cs="Times New Roman"/>
                <w:lang w:val="en-US" w:eastAsia="zh-CN"/>
              </w:rPr>
              <w:t>1</w:t>
            </w:r>
            <w:r>
              <w:rPr>
                <w:rFonts w:hint="eastAsia" w:cs="Times New Roman"/>
                <w:lang w:val="en-US" w:eastAsia="zh-CN"/>
              </w:rPr>
              <w:t>38</w:t>
            </w:r>
            <w:r>
              <w:rPr>
                <w:rFonts w:ascii="Times New Roman" w:hAnsi="Times New Roman" w:cs="Times New Roman"/>
              </w:rPr>
              <w:t>＜1。当Q＜1时</w:t>
            </w:r>
            <w:r>
              <w:rPr>
                <w:rFonts w:cs="Times New Roman"/>
              </w:rPr>
              <w:t>，该项目风险期潜势为Ⅰ，风险期潜势为Ⅰ时，环境风险评价工作等级为简单分析。</w:t>
            </w:r>
          </w:p>
          <w:p>
            <w:pPr>
              <w:pStyle w:val="5"/>
            </w:pPr>
            <w:r>
              <w:rPr>
                <w:rFonts w:hint="eastAsia"/>
              </w:rPr>
              <w:t>4.</w:t>
            </w:r>
            <w:r>
              <w:rPr>
                <w:rFonts w:hint="eastAsia"/>
                <w:lang w:val="en-US" w:eastAsia="zh-CN"/>
              </w:rPr>
              <w:t>5</w:t>
            </w:r>
            <w:r>
              <w:rPr>
                <w:rFonts w:hint="eastAsia"/>
              </w:rPr>
              <w:t>.3环境风险影响分析</w:t>
            </w:r>
          </w:p>
          <w:p>
            <w:pPr>
              <w:ind w:firstLine="480"/>
            </w:pPr>
            <w:r>
              <w:rPr>
                <w:rFonts w:hint="eastAsia" w:ascii="宋体" w:hAnsi="宋体" w:eastAsia="宋体" w:cs="宋体"/>
                <w:color w:val="000000"/>
                <w:kern w:val="0"/>
                <w:sz w:val="24"/>
                <w:szCs w:val="24"/>
                <w:lang w:val="en-US" w:eastAsia="zh-CN" w:bidi="ar"/>
              </w:rPr>
              <w:t>本项目存在的风险主要是天然气使用过程可能发生的火灾对大气环境、水环境，以及工作人员引起的危害和影响</w:t>
            </w:r>
            <w:r>
              <w:rPr>
                <w:rFonts w:hint="eastAsia"/>
              </w:rPr>
              <w:t>。</w:t>
            </w:r>
          </w:p>
          <w:p>
            <w:pPr>
              <w:pStyle w:val="34"/>
              <w:bidi w:val="0"/>
            </w:pPr>
            <w:r>
              <w:t>表</w:t>
            </w:r>
            <w:r>
              <w:rPr>
                <w:rFonts w:hint="eastAsia"/>
              </w:rPr>
              <w:t>4-</w:t>
            </w:r>
            <w:r>
              <w:rPr>
                <w:rFonts w:hint="eastAsia"/>
                <w:lang w:val="en-US" w:eastAsia="zh-CN"/>
              </w:rPr>
              <w:t>8</w:t>
            </w:r>
            <w:r>
              <w:t xml:space="preserve">  危险单元划分结果表</w:t>
            </w:r>
          </w:p>
          <w:tbl>
            <w:tblPr>
              <w:tblStyle w:val="35"/>
              <w:tblW w:w="498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1"/>
              <w:gridCol w:w="1860"/>
              <w:gridCol w:w="1868"/>
              <w:gridCol w:w="31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36" w:type="pct"/>
                  <w:tcBorders>
                    <w:tl2br w:val="nil"/>
                    <w:tr2bl w:val="nil"/>
                  </w:tcBorders>
                  <w:vAlign w:val="center"/>
                </w:tcPr>
                <w:p>
                  <w:pPr>
                    <w:spacing w:line="240" w:lineRule="auto"/>
                    <w:ind w:firstLine="0" w:firstLineChars="0"/>
                    <w:contextualSpacing/>
                    <w:jc w:val="center"/>
                    <w:rPr>
                      <w:rFonts w:cs="Times New Roman"/>
                      <w:sz w:val="21"/>
                    </w:rPr>
                  </w:pPr>
                  <w:r>
                    <w:rPr>
                      <w:rFonts w:cs="Times New Roman"/>
                      <w:sz w:val="21"/>
                    </w:rPr>
                    <w:t>危险单元</w:t>
                  </w:r>
                </w:p>
              </w:tc>
              <w:tc>
                <w:tcPr>
                  <w:tcW w:w="1094"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主要事故类型</w:t>
                  </w:r>
                </w:p>
              </w:tc>
              <w:tc>
                <w:tcPr>
                  <w:tcW w:w="1099"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环境风险类型</w:t>
                  </w:r>
                </w:p>
              </w:tc>
              <w:tc>
                <w:tcPr>
                  <w:tcW w:w="1869"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环境影响途径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36" w:type="pct"/>
                  <w:vMerge w:val="restart"/>
                  <w:tcBorders>
                    <w:tl2br w:val="nil"/>
                    <w:tr2bl w:val="nil"/>
                  </w:tcBorders>
                  <w:vAlign w:val="center"/>
                </w:tcPr>
                <w:p>
                  <w:pPr>
                    <w:spacing w:line="240" w:lineRule="auto"/>
                    <w:ind w:firstLine="0" w:firstLineChars="0"/>
                    <w:contextualSpacing/>
                    <w:jc w:val="center"/>
                    <w:rPr>
                      <w:rFonts w:hint="default" w:eastAsia="宋体" w:cs="Times New Roman"/>
                      <w:sz w:val="21"/>
                      <w:lang w:val="en-US" w:eastAsia="zh-CN"/>
                    </w:rPr>
                  </w:pPr>
                  <w:r>
                    <w:rPr>
                      <w:rFonts w:hint="eastAsia" w:cs="Times New Roman"/>
                      <w:sz w:val="21"/>
                      <w:lang w:val="en-US" w:eastAsia="zh-CN"/>
                    </w:rPr>
                    <w:t>锅炉房及燃气管道</w:t>
                  </w:r>
                </w:p>
              </w:tc>
              <w:tc>
                <w:tcPr>
                  <w:tcW w:w="1094"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lang w:val="en-US" w:eastAsia="zh-CN"/>
                    </w:rPr>
                    <w:t>天然气</w:t>
                  </w:r>
                  <w:r>
                    <w:rPr>
                      <w:rFonts w:hint="eastAsia" w:cs="Times New Roman"/>
                      <w:sz w:val="21"/>
                    </w:rPr>
                    <w:t>泄漏</w:t>
                  </w:r>
                </w:p>
              </w:tc>
              <w:tc>
                <w:tcPr>
                  <w:tcW w:w="1099"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物质泄漏</w:t>
                  </w:r>
                </w:p>
              </w:tc>
              <w:tc>
                <w:tcPr>
                  <w:tcW w:w="1869" w:type="pct"/>
                  <w:tcBorders>
                    <w:tl2br w:val="nil"/>
                    <w:tr2bl w:val="nil"/>
                  </w:tcBorders>
                  <w:vAlign w:val="center"/>
                </w:tcPr>
                <w:p>
                  <w:pPr>
                    <w:spacing w:line="240" w:lineRule="auto"/>
                    <w:ind w:firstLine="0" w:firstLineChars="0"/>
                    <w:contextualSpacing/>
                    <w:jc w:val="center"/>
                    <w:rPr>
                      <w:rFonts w:hint="default" w:eastAsia="宋体" w:cs="Times New Roman"/>
                      <w:sz w:val="21"/>
                      <w:lang w:val="en-US" w:eastAsia="zh-CN"/>
                    </w:rPr>
                  </w:pPr>
                  <w:r>
                    <w:rPr>
                      <w:rFonts w:hint="eastAsia" w:cs="Times New Roman"/>
                      <w:sz w:val="21"/>
                    </w:rPr>
                    <w:t>大气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36" w:type="pct"/>
                  <w:vMerge w:val="continue"/>
                  <w:tcBorders>
                    <w:tl2br w:val="nil"/>
                    <w:tr2bl w:val="nil"/>
                  </w:tcBorders>
                  <w:vAlign w:val="center"/>
                </w:tcPr>
                <w:p>
                  <w:pPr>
                    <w:spacing w:line="240" w:lineRule="auto"/>
                    <w:ind w:firstLine="0" w:firstLineChars="0"/>
                    <w:contextualSpacing/>
                    <w:jc w:val="center"/>
                    <w:rPr>
                      <w:rFonts w:cs="Times New Roman"/>
                      <w:sz w:val="21"/>
                    </w:rPr>
                  </w:pPr>
                </w:p>
              </w:tc>
              <w:tc>
                <w:tcPr>
                  <w:tcW w:w="1094"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火灾事故</w:t>
                  </w:r>
                </w:p>
              </w:tc>
              <w:tc>
                <w:tcPr>
                  <w:tcW w:w="1099"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火灾</w:t>
                  </w:r>
                </w:p>
              </w:tc>
              <w:tc>
                <w:tcPr>
                  <w:tcW w:w="1869" w:type="pct"/>
                  <w:tcBorders>
                    <w:tl2br w:val="nil"/>
                    <w:tr2bl w:val="nil"/>
                  </w:tcBorders>
                  <w:vAlign w:val="center"/>
                </w:tcPr>
                <w:p>
                  <w:pPr>
                    <w:spacing w:line="240" w:lineRule="auto"/>
                    <w:ind w:firstLine="0" w:firstLineChars="0"/>
                    <w:contextualSpacing/>
                    <w:jc w:val="center"/>
                    <w:rPr>
                      <w:rFonts w:hint="default" w:eastAsia="宋体" w:cs="Times New Roman"/>
                      <w:sz w:val="21"/>
                      <w:lang w:val="en-US" w:eastAsia="zh-CN"/>
                    </w:rPr>
                  </w:pPr>
                  <w:r>
                    <w:rPr>
                      <w:rFonts w:hint="eastAsia" w:cs="Times New Roman"/>
                      <w:sz w:val="21"/>
                    </w:rPr>
                    <w:t>大气、</w:t>
                  </w:r>
                  <w:r>
                    <w:rPr>
                      <w:rFonts w:hint="eastAsia" w:cs="Times New Roman"/>
                      <w:sz w:val="21"/>
                      <w:lang w:val="en-US" w:eastAsia="zh-CN"/>
                    </w:rPr>
                    <w:t>土壤、地下水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 w:hRule="atLeast"/>
              </w:trPr>
              <w:tc>
                <w:tcPr>
                  <w:tcW w:w="936" w:type="pct"/>
                  <w:vMerge w:val="continue"/>
                  <w:tcBorders>
                    <w:tl2br w:val="nil"/>
                    <w:tr2bl w:val="nil"/>
                  </w:tcBorders>
                  <w:vAlign w:val="center"/>
                </w:tcPr>
                <w:p>
                  <w:pPr>
                    <w:spacing w:line="240" w:lineRule="auto"/>
                    <w:ind w:firstLine="0" w:firstLineChars="0"/>
                    <w:contextualSpacing/>
                    <w:jc w:val="center"/>
                    <w:rPr>
                      <w:rFonts w:cs="Times New Roman"/>
                      <w:sz w:val="21"/>
                    </w:rPr>
                  </w:pPr>
                </w:p>
              </w:tc>
              <w:tc>
                <w:tcPr>
                  <w:tcW w:w="1094"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爆炸事故</w:t>
                  </w:r>
                </w:p>
              </w:tc>
              <w:tc>
                <w:tcPr>
                  <w:tcW w:w="1099"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爆炸</w:t>
                  </w:r>
                </w:p>
              </w:tc>
              <w:tc>
                <w:tcPr>
                  <w:tcW w:w="1869" w:type="pct"/>
                  <w:tcBorders>
                    <w:tl2br w:val="nil"/>
                    <w:tr2bl w:val="nil"/>
                  </w:tcBorders>
                  <w:vAlign w:val="center"/>
                </w:tcPr>
                <w:p>
                  <w:pPr>
                    <w:spacing w:line="240" w:lineRule="auto"/>
                    <w:ind w:firstLine="0" w:firstLineChars="0"/>
                    <w:contextualSpacing/>
                    <w:jc w:val="center"/>
                    <w:rPr>
                      <w:rFonts w:cs="Times New Roman"/>
                      <w:sz w:val="21"/>
                    </w:rPr>
                  </w:pPr>
                  <w:r>
                    <w:rPr>
                      <w:rFonts w:hint="eastAsia" w:cs="Times New Roman"/>
                      <w:sz w:val="21"/>
                    </w:rPr>
                    <w:t>大气、</w:t>
                  </w:r>
                  <w:r>
                    <w:rPr>
                      <w:rFonts w:hint="eastAsia" w:cs="Times New Roman"/>
                      <w:sz w:val="21"/>
                      <w:lang w:val="en-US" w:eastAsia="zh-CN"/>
                    </w:rPr>
                    <w:t>土壤、地下水</w:t>
                  </w:r>
                </w:p>
              </w:tc>
            </w:tr>
          </w:tbl>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）对大气环境的污染：</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天然气泄漏引发的火灾与爆炸事故中，天然气不完全燃烧会产生</w:t>
            </w:r>
            <w:r>
              <w:rPr>
                <w:rFonts w:hint="default" w:ascii="Times New Roman" w:hAnsi="Times New Roman" w:eastAsia="宋体" w:cs="Times New Roman"/>
                <w:color w:val="000000"/>
                <w:kern w:val="0"/>
                <w:sz w:val="24"/>
                <w:szCs w:val="24"/>
                <w:lang w:val="en-US" w:eastAsia="zh-CN" w:bidi="ar"/>
              </w:rPr>
              <w:t>CO</w:t>
            </w:r>
            <w:r>
              <w:rPr>
                <w:rFonts w:hint="eastAsia" w:ascii="宋体" w:hAnsi="宋体" w:eastAsia="宋体" w:cs="宋体"/>
                <w:color w:val="000000"/>
                <w:kern w:val="0"/>
                <w:sz w:val="24"/>
                <w:szCs w:val="24"/>
                <w:lang w:val="en-US" w:eastAsia="zh-CN" w:bidi="ar"/>
              </w:rPr>
              <w:t>气体，</w:t>
            </w:r>
            <w:r>
              <w:rPr>
                <w:rFonts w:hint="default" w:ascii="Times New Roman" w:hAnsi="Times New Roman" w:eastAsia="宋体" w:cs="Times New Roman"/>
                <w:color w:val="000000"/>
                <w:kern w:val="0"/>
                <w:sz w:val="24"/>
                <w:szCs w:val="24"/>
                <w:lang w:val="en-US" w:eastAsia="zh-CN" w:bidi="ar"/>
              </w:rPr>
              <w:t>CO</w:t>
            </w:r>
            <w:r>
              <w:rPr>
                <w:rFonts w:hint="eastAsia" w:ascii="宋体" w:hAnsi="宋体" w:eastAsia="宋体" w:cs="宋体"/>
                <w:color w:val="000000"/>
                <w:kern w:val="0"/>
                <w:sz w:val="24"/>
                <w:szCs w:val="24"/>
                <w:lang w:val="en-US" w:eastAsia="zh-CN" w:bidi="ar"/>
              </w:rPr>
              <w:t>进入空气后若被人体吸入，会引起不同程度中毒症状，严重的甚至造成死亡。此外，火灾的发生、发展放出热量以热传导、对流、辐射的形式向周围散发，对人体、动植物具有明显的物理危害。</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）对水体和土壤的污染：</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火灾对水体和土壤的污染主要体现在灭火过程中，一般在火灾的扑救过程中会使用大量的水来冷却可燃物或扑灭火，在火场使用过的水会将火灾中产生的有害物质带走，渗入地下，污染地下水和土壤。应在日常营运中注意避免火灾的发生，最大程度避免灭火对水体的污染。</w:t>
            </w:r>
          </w:p>
          <w:p>
            <w:pPr>
              <w:ind w:firstLine="480"/>
            </w:pPr>
            <w:r>
              <w:rPr>
                <w:rFonts w:hint="eastAsia" w:ascii="宋体" w:hAnsi="宋体" w:eastAsia="宋体" w:cs="宋体"/>
                <w:color w:val="000000"/>
                <w:kern w:val="0"/>
                <w:sz w:val="24"/>
                <w:szCs w:val="24"/>
                <w:lang w:val="en-US" w:eastAsia="zh-CN" w:bidi="ar"/>
              </w:rPr>
              <w:t>由于甲烷气体质量比空气轻，烟团可迅速上升、扩散，在断裂口周围地面形成窒息浓度。区域仅限于管道附近，且时间很短，不会产生较大影响。本项目天然气管道均采取埋地敷设，覆盖土层对天然气泄漏扩散也将起到一定的阻挡作用。</w:t>
            </w:r>
          </w:p>
          <w:p>
            <w:pPr>
              <w:pStyle w:val="5"/>
            </w:pPr>
            <w:r>
              <w:rPr>
                <w:rFonts w:hint="eastAsia"/>
              </w:rPr>
              <w:t>4.</w:t>
            </w:r>
            <w:r>
              <w:rPr>
                <w:rFonts w:hint="eastAsia"/>
                <w:lang w:val="en-US" w:eastAsia="zh-CN"/>
              </w:rPr>
              <w:t>5</w:t>
            </w:r>
            <w:r>
              <w:rPr>
                <w:rFonts w:hint="eastAsia"/>
              </w:rPr>
              <w:t>.4环境风险应急预案</w:t>
            </w:r>
          </w:p>
          <w:p>
            <w:pPr>
              <w:ind w:firstLine="480"/>
              <w:rPr>
                <w:rFonts w:hint="eastAsia" w:eastAsia="宋体"/>
                <w:lang w:val="en-US" w:eastAsia="zh-CN"/>
              </w:rPr>
            </w:pPr>
            <w:r>
              <w:rPr>
                <w:rFonts w:hint="eastAsia" w:cs="Times New Roman"/>
                <w:color w:val="000000" w:themeColor="text1"/>
                <w:szCs w:val="24"/>
                <w:lang w:eastAsia="zh-CN"/>
                <w14:textFill>
                  <w14:solidFill>
                    <w14:schemeClr w14:val="tx1"/>
                  </w14:solidFill>
                </w14:textFill>
              </w:rPr>
              <w:t>巴州鸿源石油装备器材有限公司</w:t>
            </w:r>
            <w:r>
              <w:rPr>
                <w:rFonts w:hint="eastAsia"/>
                <w:lang w:val="en-US" w:eastAsia="zh-CN"/>
              </w:rPr>
              <w:t>已编制突发环境事件应急预案，建议</w:t>
            </w:r>
            <w:r>
              <w:rPr>
                <w:rFonts w:cs="Times New Roman"/>
                <w:snapToGrid w:val="0"/>
              </w:rPr>
              <w:t>根据今后实际生产情况结合本报告中提出的事故应急预案，</w:t>
            </w:r>
            <w:r>
              <w:rPr>
                <w:rFonts w:hint="eastAsia" w:cs="Times New Roman"/>
                <w:snapToGrid w:val="0"/>
                <w:lang w:val="en-US" w:eastAsia="zh-CN"/>
              </w:rPr>
              <w:t>及时修编。</w:t>
            </w:r>
          </w:p>
          <w:p>
            <w:pPr>
              <w:ind w:firstLine="480"/>
            </w:pPr>
            <w:r>
              <w:t>（1）应急预案编制内容</w:t>
            </w:r>
          </w:p>
          <w:p>
            <w:pPr>
              <w:ind w:firstLine="480"/>
            </w:pPr>
            <w:r>
              <w:t>该项目应结合各阶段的实际情况编制环境风险事故应急预案，其主要内容包括：</w:t>
            </w:r>
          </w:p>
          <w:p>
            <w:pPr>
              <w:ind w:firstLine="480"/>
            </w:pPr>
            <w:r>
              <w:t>1）说明工程所处的地理位置及周边情况（各环境敏感目标、农户情况、当地气象条件等）、项目所在地现状、道路及运输情况等内容。</w:t>
            </w:r>
          </w:p>
          <w:p>
            <w:pPr>
              <w:ind w:firstLine="480"/>
            </w:pPr>
            <w:r>
              <w:t>2）明确各阶段环境风险源的基本情况。</w:t>
            </w:r>
          </w:p>
          <w:p>
            <w:pPr>
              <w:ind w:firstLine="480"/>
            </w:pPr>
            <w:r>
              <w:t>3）建立应急救援指挥机构，明确其职责，并确定通讯联络和联络方式。</w:t>
            </w:r>
          </w:p>
          <w:p>
            <w:pPr>
              <w:ind w:firstLine="480"/>
            </w:pPr>
            <w:r>
              <w:t>4）明确必要的应急装备和设施。</w:t>
            </w:r>
          </w:p>
          <w:p>
            <w:pPr>
              <w:ind w:firstLine="480"/>
            </w:pPr>
            <w:r>
              <w:t>5）组织应急救援专业队伍，明确任务及救援程序，并经常进行训练和演习。</w:t>
            </w:r>
          </w:p>
          <w:p>
            <w:pPr>
              <w:ind w:firstLine="480"/>
            </w:pPr>
            <w:r>
              <w:t>6）制定各类环境风险事故的应急处置方案和救援程序。</w:t>
            </w:r>
          </w:p>
          <w:p>
            <w:pPr>
              <w:ind w:firstLine="480"/>
            </w:pPr>
            <w:r>
              <w:t>7）建立汇报和协调程序。事故发生后，立即按程序汇报，并配合环境监测部门对事故现场及影响区域进行跟踪监测。</w:t>
            </w:r>
          </w:p>
          <w:p>
            <w:pPr>
              <w:ind w:firstLine="480"/>
            </w:pPr>
            <w:r>
              <w:t>8）发生事故后，抢险人员应根据事先拟定的方案，在做好个人防护的技术基础上，以最快的速度及时堵漏排险、消灭事故。</w:t>
            </w:r>
          </w:p>
          <w:p>
            <w:pPr>
              <w:ind w:firstLine="480"/>
            </w:pPr>
            <w:r>
              <w:t>9）发生重大事故可能对人群安全构成威胁时，必须在指挥部统一指挥下，紧急疏散与事故应急救援无关的人员，疏散方向、距离和集中地点，必须根据不同事故，作出具体规定。总的原则是疏散安全点处于当时的上风向。</w:t>
            </w:r>
          </w:p>
          <w:p>
            <w:pPr>
              <w:ind w:firstLine="480"/>
            </w:pPr>
            <w:r>
              <w:t>10）对应急救援人员进行培训，对社会或周边人员应急响应知识的宣传，必要时组织多方人员参与培训和应急演练。</w:t>
            </w:r>
          </w:p>
          <w:p>
            <w:pPr>
              <w:ind w:firstLine="480"/>
            </w:pPr>
            <w:r>
              <w:t>11）明确演练计划和方式。</w:t>
            </w:r>
          </w:p>
          <w:p>
            <w:pPr>
              <w:ind w:firstLine="480"/>
            </w:pPr>
            <w:r>
              <w:rPr>
                <w:rFonts w:hint="eastAsia"/>
                <w:color w:val="000000" w:themeColor="text1"/>
                <w14:textFill>
                  <w14:solidFill>
                    <w14:schemeClr w14:val="tx1"/>
                  </w14:solidFill>
                </w14:textFill>
              </w:rPr>
              <w:t>a.易燃易爆气体</w:t>
            </w:r>
            <w:r>
              <w:t>泄漏应急救援预案</w:t>
            </w:r>
          </w:p>
          <w:p>
            <w:pPr>
              <w:ind w:firstLine="480"/>
            </w:pPr>
            <w:r>
              <w:rPr>
                <w:rFonts w:hint="eastAsia"/>
              </w:rPr>
              <w:t>b.</w:t>
            </w:r>
            <w:r>
              <w:t>宣传、培训和演习</w:t>
            </w:r>
          </w:p>
          <w:p>
            <w:pPr>
              <w:ind w:firstLine="480"/>
            </w:pPr>
            <w:r>
              <w:rPr>
                <w:rFonts w:hint="eastAsia"/>
              </w:rPr>
              <w:t>c.</w:t>
            </w:r>
            <w:r>
              <w:t>企业要按规定向公众和员工广泛宣传应急救援有关法律法规和事故预防、避险、避灾、自救、互救的常识。</w:t>
            </w:r>
          </w:p>
          <w:p>
            <w:pPr>
              <w:ind w:firstLine="480"/>
            </w:pPr>
            <w:r>
              <w:rPr>
                <w:rFonts w:hint="eastAsia"/>
              </w:rPr>
              <w:t>d.</w:t>
            </w:r>
            <w:r>
              <w:t>培训。有关应急救援队伍按照有关规定参加业务培训；企业按照有关规定对员工进行应急培训；</w:t>
            </w:r>
          </w:p>
          <w:p>
            <w:pPr>
              <w:ind w:firstLine="480"/>
            </w:pPr>
            <w:r>
              <w:rPr>
                <w:rFonts w:hint="eastAsia"/>
              </w:rPr>
              <w:t>e.</w:t>
            </w:r>
            <w:r>
              <w:t>演习。企业每年至少组织一次事故应急演习，并将演习总结报应急办公室。</w:t>
            </w:r>
          </w:p>
          <w:p>
            <w:pPr>
              <w:pStyle w:val="5"/>
            </w:pPr>
            <w:r>
              <w:rPr>
                <w:rFonts w:hint="eastAsia"/>
              </w:rPr>
              <w:t>4.</w:t>
            </w:r>
            <w:r>
              <w:rPr>
                <w:rFonts w:hint="eastAsia"/>
                <w:lang w:val="en-US" w:eastAsia="zh-CN"/>
              </w:rPr>
              <w:t>5</w:t>
            </w:r>
            <w:r>
              <w:rPr>
                <w:rFonts w:hint="eastAsia"/>
              </w:rPr>
              <w:t>.5环境风险防范措施</w:t>
            </w:r>
          </w:p>
          <w:p>
            <w:pPr>
              <w:bidi w:val="0"/>
            </w:pPr>
            <w:r>
              <w:rPr>
                <w:rFonts w:hint="eastAsia"/>
                <w:lang w:val="en-US" w:eastAsia="zh-CN"/>
              </w:rPr>
              <w:t>1.</w:t>
            </w:r>
            <w:r>
              <w:t>风险防范措施</w:t>
            </w:r>
          </w:p>
          <w:p>
            <w:pPr>
              <w:widowControl/>
              <w:ind w:firstLine="480"/>
              <w:jc w:val="left"/>
            </w:pPr>
            <w:r>
              <w:rPr>
                <w:rFonts w:ascii="䅂䍄䕅⯋컌" w:hAnsi="䅂䍄䕅⯋컌" w:eastAsia="䅂䍄䕅⯋컌" w:cs="䅂䍄䕅⯋컌"/>
                <w:color w:val="000000"/>
                <w:kern w:val="0"/>
                <w:lang w:bidi="ar"/>
              </w:rPr>
              <w:t>报警系统：</w:t>
            </w:r>
            <w:r>
              <w:rPr>
                <w:rFonts w:hint="eastAsia" w:ascii="䅂䍄䕅⯋컌" w:hAnsi="䅂䍄䕅⯋컌" w:eastAsia="宋体" w:cs="䅂䍄䕅⯋컌"/>
                <w:color w:val="000000"/>
                <w:kern w:val="0"/>
                <w:lang w:val="en-US" w:eastAsia="zh-CN" w:bidi="ar"/>
              </w:rPr>
              <w:t>锅炉房内</w:t>
            </w:r>
            <w:r>
              <w:rPr>
                <w:rFonts w:ascii="䅂䍄䕅⯋컌" w:hAnsi="䅂䍄䕅⯋컌" w:eastAsia="䅂䍄䕅⯋컌" w:cs="䅂䍄䕅⯋컌"/>
                <w:color w:val="000000"/>
                <w:kern w:val="0"/>
                <w:lang w:bidi="ar"/>
              </w:rPr>
              <w:t>安装泄漏报警装置一旦发生泄漏自动报警，企业可以及时切断气体输送阀门，避免进一步泄漏引发火灾及爆炸的风险；</w:t>
            </w:r>
          </w:p>
          <w:p>
            <w:pPr>
              <w:widowControl/>
              <w:ind w:firstLine="480"/>
              <w:jc w:val="left"/>
            </w:pPr>
            <w:r>
              <w:rPr>
                <w:rFonts w:ascii="䅂䍄䕅⯋컌" w:hAnsi="䅂䍄䕅⯋컌" w:eastAsia="䅂䍄䕅⯋컌" w:cs="䅂䍄䕅⯋컌"/>
                <w:color w:val="000000"/>
                <w:kern w:val="0"/>
                <w:lang w:bidi="ar"/>
              </w:rPr>
              <w:t>救援物资：厂区应配备相应的应急救援器材、消防器材，置于</w:t>
            </w:r>
            <w:r>
              <w:rPr>
                <w:rFonts w:hint="eastAsia" w:ascii="䅂䍄䕅⯋컌" w:hAnsi="䅂䍄䕅⯋컌" w:eastAsia="宋体" w:cs="䅂䍄䕅⯋컌"/>
                <w:color w:val="000000"/>
                <w:kern w:val="0"/>
                <w:lang w:val="en-US" w:eastAsia="zh-CN" w:bidi="ar"/>
              </w:rPr>
              <w:t>锅炉房</w:t>
            </w:r>
            <w:r>
              <w:rPr>
                <w:rFonts w:ascii="䅂䍄䕅⯋컌" w:hAnsi="䅂䍄䕅⯋컌" w:eastAsia="䅂䍄䕅⯋컌" w:cs="䅂䍄䕅⯋컌"/>
                <w:color w:val="000000"/>
                <w:kern w:val="0"/>
                <w:lang w:bidi="ar"/>
              </w:rPr>
              <w:t>明显、取用方便又安全的地方，定专人维护管理，定期检修。</w:t>
            </w:r>
          </w:p>
          <w:p>
            <w:pPr>
              <w:bidi w:val="0"/>
            </w:pPr>
            <w:r>
              <w:rPr>
                <w:rFonts w:hint="eastAsia"/>
                <w:lang w:val="en-US" w:eastAsia="zh-CN"/>
              </w:rPr>
              <w:t>2.</w:t>
            </w:r>
            <w:r>
              <w:t>应急措施</w:t>
            </w:r>
          </w:p>
          <w:p>
            <w:pPr>
              <w:widowControl/>
              <w:ind w:firstLine="480"/>
              <w:jc w:val="left"/>
            </w:pPr>
            <w:r>
              <w:rPr>
                <w:color w:val="000000"/>
                <w:kern w:val="0"/>
                <w:lang w:bidi="ar"/>
              </w:rPr>
              <w:t>1</w:t>
            </w:r>
            <w:r>
              <w:rPr>
                <w:rFonts w:ascii="䅂䍄䕅⯋컌" w:hAnsi="䅂䍄䕅⯋컌" w:eastAsia="䅂䍄䕅⯋컌" w:cs="䅂䍄䕅⯋컌"/>
                <w:color w:val="000000"/>
                <w:kern w:val="0"/>
                <w:lang w:bidi="ar"/>
              </w:rPr>
              <w:t>）天然气输送管道发生少量泄漏</w:t>
            </w:r>
          </w:p>
          <w:p>
            <w:pPr>
              <w:widowControl/>
              <w:ind w:firstLine="480"/>
              <w:jc w:val="left"/>
            </w:pPr>
            <w:r>
              <w:rPr>
                <w:color w:val="000000"/>
                <w:kern w:val="0"/>
                <w:lang w:bidi="ar"/>
              </w:rPr>
              <w:t>A.</w:t>
            </w:r>
            <w:r>
              <w:rPr>
                <w:rFonts w:ascii="䅂䍄䕅⯋컌" w:hAnsi="䅂䍄䕅⯋컌" w:eastAsia="䅂䍄䕅⯋컌" w:cs="䅂䍄䕅⯋컌"/>
                <w:color w:val="000000"/>
                <w:kern w:val="0"/>
                <w:lang w:bidi="ar"/>
              </w:rPr>
              <w:t>巡检人员发现泄漏后，立即向上汇报，公司应成立项目应急指挥部。</w:t>
            </w:r>
          </w:p>
          <w:p>
            <w:pPr>
              <w:widowControl/>
              <w:ind w:firstLine="480"/>
              <w:jc w:val="left"/>
            </w:pPr>
            <w:r>
              <w:rPr>
                <w:color w:val="000000"/>
                <w:kern w:val="0"/>
                <w:lang w:bidi="ar"/>
              </w:rPr>
              <w:t>B.</w:t>
            </w:r>
            <w:r>
              <w:rPr>
                <w:rFonts w:ascii="䅂䍄䕅⯋컌" w:hAnsi="䅂䍄䕅⯋컌" w:eastAsia="䅂䍄䕅⯋컌" w:cs="䅂䍄䕅⯋컌"/>
                <w:color w:val="000000"/>
                <w:kern w:val="0"/>
                <w:lang w:bidi="ar"/>
              </w:rPr>
              <w:t>项目现场应急指挥部前往事故发生地点进行抢险救援，在泄漏点周边</w:t>
            </w:r>
            <w:r>
              <w:rPr>
                <w:color w:val="000000"/>
                <w:kern w:val="0"/>
                <w:lang w:bidi="ar"/>
              </w:rPr>
              <w:t>100m</w:t>
            </w:r>
            <w:r>
              <w:rPr>
                <w:rFonts w:ascii="䅂䍄䕅⯋컌" w:hAnsi="䅂䍄䕅⯋컌" w:eastAsia="䅂䍄䕅⯋컌" w:cs="䅂䍄䕅⯋컌"/>
                <w:color w:val="000000"/>
                <w:kern w:val="0"/>
                <w:lang w:bidi="ar"/>
              </w:rPr>
              <w:t>范围设置紧急隔离区，现场无关人员向上风向疏散。</w:t>
            </w:r>
          </w:p>
          <w:p>
            <w:pPr>
              <w:widowControl/>
              <w:ind w:firstLine="480"/>
              <w:jc w:val="left"/>
            </w:pPr>
            <w:r>
              <w:rPr>
                <w:color w:val="000000"/>
                <w:kern w:val="0"/>
                <w:lang w:bidi="ar"/>
              </w:rPr>
              <w:t>C.</w:t>
            </w:r>
            <w:r>
              <w:rPr>
                <w:rFonts w:ascii="䅂䍄䕅⯋컌" w:hAnsi="䅂䍄䕅⯋컌" w:eastAsia="䅂䍄䕅⯋컌" w:cs="䅂䍄䕅⯋컌"/>
                <w:color w:val="000000"/>
                <w:kern w:val="0"/>
                <w:lang w:bidi="ar"/>
              </w:rPr>
              <w:t>立即关闭燃气管道阀门，减少天然气的泄漏</w:t>
            </w:r>
            <w:r>
              <w:rPr>
                <w:rFonts w:hint="eastAsia" w:ascii="䅂䍄䕅⯋컌" w:hAnsi="䅂䍄䕅⯋컌" w:eastAsia="䅂䍄䕅⯋컌" w:cs="䅂䍄䕅⯋컌"/>
                <w:color w:val="000000"/>
                <w:kern w:val="0"/>
                <w:lang w:bidi="ar"/>
              </w:rPr>
              <w:t>。</w:t>
            </w:r>
          </w:p>
          <w:p>
            <w:pPr>
              <w:widowControl/>
              <w:ind w:firstLine="480"/>
              <w:jc w:val="left"/>
              <w:rPr>
                <w:rFonts w:ascii="䅂䍄䕅⯋컌" w:hAnsi="䅂䍄䕅⯋컌" w:eastAsia="䅂䍄䕅⯋컌" w:cs="䅂䍄䕅⯋컌"/>
                <w:color w:val="000000"/>
                <w:kern w:val="0"/>
                <w:lang w:bidi="ar"/>
              </w:rPr>
            </w:pPr>
            <w:r>
              <w:rPr>
                <w:color w:val="000000"/>
                <w:kern w:val="0"/>
                <w:lang w:bidi="ar"/>
              </w:rPr>
              <w:t>D.</w:t>
            </w:r>
            <w:r>
              <w:rPr>
                <w:rFonts w:ascii="䅂䍄䕅⯋컌" w:hAnsi="䅂䍄䕅⯋컌" w:eastAsia="䅂䍄䕅⯋컌" w:cs="䅂䍄䕅⯋컌"/>
                <w:color w:val="000000"/>
                <w:kern w:val="0"/>
                <w:lang w:bidi="ar"/>
              </w:rPr>
              <w:t>设置警戒线，进行现场交通管制，禁止无关人员和车辆进入，保证现场道路畅通。</w:t>
            </w:r>
          </w:p>
          <w:p>
            <w:pPr>
              <w:widowControl/>
              <w:ind w:firstLine="480"/>
              <w:jc w:val="left"/>
            </w:pPr>
            <w:r>
              <w:rPr>
                <w:color w:val="000000"/>
                <w:kern w:val="0"/>
                <w:lang w:bidi="ar"/>
              </w:rPr>
              <w:t>E.</w:t>
            </w:r>
            <w:r>
              <w:rPr>
                <w:rFonts w:ascii="䅂䍄䕅⯋컌" w:hAnsi="䅂䍄䕅⯋컌" w:eastAsia="䅂䍄䕅⯋컌" w:cs="䅂䍄䕅⯋컌"/>
                <w:color w:val="000000"/>
                <w:kern w:val="0"/>
                <w:lang w:bidi="ar"/>
              </w:rPr>
              <w:t>当管道内天然气全部放空且空气中天然气浓度降低至爆炸极限以下</w:t>
            </w:r>
            <w:r>
              <w:rPr>
                <w:rFonts w:hint="eastAsia" w:ascii="䅂䍄䕅⯋컌" w:hAnsi="䅂䍄䕅⯋컌" w:eastAsia="䅂䍄䕅⯋컌" w:cs="䅂䍄䕅⯋컌"/>
                <w:color w:val="000000"/>
                <w:kern w:val="0"/>
                <w:lang w:bidi="ar"/>
              </w:rPr>
              <w:t>后</w:t>
            </w:r>
            <w:r>
              <w:rPr>
                <w:rFonts w:ascii="䅂䍄䕅⯋컌" w:hAnsi="䅂䍄䕅⯋컌" w:eastAsia="䅂䍄䕅⯋컌" w:cs="䅂䍄䕅⯋컌"/>
                <w:color w:val="000000"/>
                <w:kern w:val="0"/>
                <w:lang w:bidi="ar"/>
              </w:rPr>
              <w:t>，抢修救援组采用氮气对管道进行吹扫，之后对管道泄漏点进行焊接堵漏。</w:t>
            </w:r>
          </w:p>
          <w:p>
            <w:pPr>
              <w:widowControl/>
              <w:ind w:firstLine="480"/>
              <w:jc w:val="left"/>
            </w:pPr>
            <w:r>
              <w:rPr>
                <w:color w:val="000000"/>
                <w:kern w:val="0"/>
                <w:lang w:bidi="ar"/>
              </w:rPr>
              <w:t>2</w:t>
            </w:r>
            <w:r>
              <w:rPr>
                <w:rFonts w:ascii="䅂䍄䕅⯋컌" w:hAnsi="䅂䍄䕅⯋컌" w:eastAsia="䅂䍄䕅⯋컌" w:cs="䅂䍄䕅⯋컌"/>
                <w:color w:val="000000"/>
                <w:kern w:val="0"/>
                <w:lang w:bidi="ar"/>
              </w:rPr>
              <w:t>）天然气输送管道发生大量泄漏，引起火灾、爆炸</w:t>
            </w:r>
          </w:p>
          <w:p>
            <w:pPr>
              <w:widowControl/>
              <w:ind w:firstLine="480"/>
              <w:jc w:val="left"/>
            </w:pPr>
            <w:r>
              <w:rPr>
                <w:color w:val="000000"/>
                <w:kern w:val="0"/>
                <w:lang w:bidi="ar"/>
              </w:rPr>
              <w:t>A.</w:t>
            </w:r>
            <w:r>
              <w:rPr>
                <w:rFonts w:ascii="䅂䍄䕅⯋컌" w:hAnsi="䅂䍄䕅⯋컌" w:eastAsia="䅂䍄䕅⯋컌" w:cs="䅂䍄䕅⯋컌"/>
                <w:color w:val="000000"/>
                <w:kern w:val="0"/>
                <w:lang w:bidi="ar"/>
              </w:rPr>
              <w:t>巡检人发现大量泄漏并引起火灾、爆炸后，立即向上汇报，公司应立即向</w:t>
            </w:r>
            <w:r>
              <w:rPr>
                <w:rFonts w:hint="eastAsia" w:ascii="䅂䍄䕅⯋컌" w:hAnsi="䅂䍄䕅⯋컌" w:eastAsia="䅂䍄䕅⯋컌" w:cs="䅂䍄䕅⯋컌"/>
                <w:color w:val="000000"/>
                <w:kern w:val="0"/>
                <w:lang w:bidi="ar"/>
              </w:rPr>
              <w:t>生态环境局</w:t>
            </w:r>
            <w:r>
              <w:rPr>
                <w:rFonts w:ascii="䅂䍄䕅⯋컌" w:hAnsi="䅂䍄䕅⯋컌" w:eastAsia="䅂䍄䕅⯋컌" w:cs="䅂䍄䕅⯋컌"/>
                <w:color w:val="000000"/>
                <w:kern w:val="0"/>
                <w:lang w:bidi="ar"/>
              </w:rPr>
              <w:t>及相关部门报告，并立即成立项目应急指挥部。</w:t>
            </w:r>
          </w:p>
          <w:p>
            <w:pPr>
              <w:widowControl/>
              <w:ind w:firstLine="480"/>
              <w:jc w:val="left"/>
            </w:pPr>
            <w:r>
              <w:rPr>
                <w:color w:val="000000"/>
                <w:kern w:val="0"/>
                <w:lang w:bidi="ar"/>
              </w:rPr>
              <w:t>B.</w:t>
            </w:r>
            <w:r>
              <w:rPr>
                <w:rFonts w:ascii="䅂䍄䕅⯋컌" w:hAnsi="䅂䍄䕅⯋컌" w:eastAsia="䅂䍄䕅⯋컌" w:cs="䅂䍄䕅⯋컌"/>
                <w:color w:val="000000"/>
                <w:kern w:val="0"/>
                <w:lang w:bidi="ar"/>
              </w:rPr>
              <w:t>项目现场应急指挥部前往事故发生地点进行抢险救援，在泄漏点周边</w:t>
            </w:r>
            <w:r>
              <w:rPr>
                <w:color w:val="000000"/>
                <w:kern w:val="0"/>
                <w:lang w:bidi="ar"/>
              </w:rPr>
              <w:t>800m</w:t>
            </w:r>
            <w:r>
              <w:rPr>
                <w:rFonts w:ascii="䅂䍄䕅⯋컌" w:hAnsi="䅂䍄䕅⯋컌" w:eastAsia="䅂䍄䕅⯋컌" w:cs="䅂䍄䕅⯋컌"/>
                <w:color w:val="000000"/>
                <w:kern w:val="0"/>
                <w:lang w:bidi="ar"/>
              </w:rPr>
              <w:t>范围设置紧急隔离区，现场无关人员向上风向疏散；</w:t>
            </w:r>
          </w:p>
          <w:p>
            <w:pPr>
              <w:widowControl/>
              <w:ind w:firstLine="480"/>
              <w:jc w:val="left"/>
              <w:rPr>
                <w:rFonts w:ascii="䅂䍄䕅⯋컌" w:hAnsi="䅂䍄䕅⯋컌" w:eastAsia="䅂䍄䕅⯋컌" w:cs="䅂䍄䕅⯋컌"/>
                <w:color w:val="000000"/>
                <w:kern w:val="0"/>
                <w:lang w:bidi="ar"/>
              </w:rPr>
            </w:pPr>
            <w:r>
              <w:rPr>
                <w:color w:val="000000"/>
                <w:kern w:val="0"/>
                <w:lang w:bidi="ar"/>
              </w:rPr>
              <w:t>C.</w:t>
            </w:r>
            <w:r>
              <w:rPr>
                <w:rFonts w:ascii="䅂䍄䕅⯋컌" w:hAnsi="䅂䍄䕅⯋컌" w:eastAsia="䅂䍄䕅⯋컌" w:cs="䅂䍄䕅⯋컌"/>
                <w:color w:val="000000"/>
                <w:kern w:val="0"/>
                <w:lang w:bidi="ar"/>
              </w:rPr>
              <w:t>消防部门穿防静电工作服、佩戴空气呼吸器，采用高压水枪强制冷却着火管道，并对管道周边着火的植物、建筑物进行灭火，同时采用高压水枪或蒸汽对泄漏点空气中的天然气浓度进行稀释，防止天然气再次爆炸；</w:t>
            </w:r>
          </w:p>
          <w:p>
            <w:pPr>
              <w:widowControl/>
              <w:ind w:firstLine="480"/>
              <w:jc w:val="left"/>
            </w:pPr>
            <w:r>
              <w:rPr>
                <w:color w:val="000000"/>
                <w:kern w:val="0"/>
                <w:lang w:bidi="ar"/>
              </w:rPr>
              <w:t>D.</w:t>
            </w:r>
            <w:r>
              <w:rPr>
                <w:rFonts w:ascii="䅂䍄䕅⯋컌" w:hAnsi="䅂䍄䕅⯋컌" w:eastAsia="䅂䍄䕅⯋컌" w:cs="䅂䍄䕅⯋컌"/>
                <w:color w:val="000000"/>
                <w:kern w:val="0"/>
                <w:lang w:bidi="ar"/>
              </w:rPr>
              <w:t>设置警戒线，进行现场交通管制，禁止无关人员和车辆进入，保证现场道路畅通；</w:t>
            </w:r>
          </w:p>
          <w:p>
            <w:pPr>
              <w:ind w:firstLine="480"/>
              <w:rPr>
                <w:rFonts w:hint="default" w:ascii="Times New Roman" w:hAnsi="Times New Roman" w:cs="Times New Roman"/>
              </w:rPr>
            </w:pPr>
            <w:r>
              <w:rPr>
                <w:color w:val="000000"/>
                <w:kern w:val="0"/>
                <w:lang w:bidi="ar"/>
              </w:rPr>
              <w:t>E.</w:t>
            </w:r>
            <w:r>
              <w:rPr>
                <w:rFonts w:ascii="䅂䍄䕅⯋컌" w:hAnsi="䅂䍄䕅⯋컌" w:eastAsia="䅂䍄䕅⯋컌" w:cs="䅂䍄䕅⯋컌"/>
                <w:color w:val="000000"/>
                <w:kern w:val="0"/>
                <w:lang w:bidi="ar"/>
              </w:rPr>
              <w:t>当管道内天然气全部放空且空气中天然气浓度降低至爆炸极限以下后，抢修救援组采用氮气对管道进行吹扫，之后对损坏管道进行更换。针对本项目生产过程中可能出现的突发环境风险事故，建设单位应事先制定出应对突发事故的应急预案，作为事故风险防范和应急对策的重要组成部分，并在有关部门进行备案。</w:t>
            </w:r>
          </w:p>
          <w:p>
            <w:pPr>
              <w:ind w:firstLine="480"/>
              <w:rPr>
                <w:rFonts w:hint="eastAsia" w:ascii="Times New Roman" w:hAnsi="Times New Roman" w:eastAsia="宋体" w:cs="Times New Roman"/>
                <w:lang w:val="en-US" w:eastAsia="zh-CN"/>
              </w:rPr>
            </w:pPr>
            <w:r>
              <w:rPr>
                <w:rFonts w:hint="default" w:ascii="Times New Roman" w:hAnsi="Times New Roman" w:cs="Times New Roman"/>
              </w:rPr>
              <w:t>综上，项目采取风险防范措施后，环境风险水平可接受</w:t>
            </w:r>
            <w:r>
              <w:rPr>
                <w:rFonts w:hint="default" w:ascii="Times New Roman" w:hAnsi="Times New Roman" w:cs="Times New Roman"/>
                <w:lang w:val="en-US" w:eastAsia="zh-CN"/>
              </w:rPr>
              <w:t>.</w:t>
            </w:r>
          </w:p>
          <w:p>
            <w:pPr>
              <w:pStyle w:val="5"/>
            </w:pPr>
            <w:r>
              <w:rPr>
                <w:rFonts w:hint="eastAsia"/>
              </w:rPr>
              <w:t>4.</w:t>
            </w:r>
            <w:r>
              <w:rPr>
                <w:rFonts w:hint="eastAsia"/>
                <w:lang w:val="en-US" w:eastAsia="zh-CN"/>
              </w:rPr>
              <w:t>5</w:t>
            </w:r>
            <w:r>
              <w:rPr>
                <w:rFonts w:hint="eastAsia"/>
              </w:rPr>
              <w:t>.6环境风险分析结论及建议</w:t>
            </w:r>
          </w:p>
          <w:p>
            <w:pPr>
              <w:ind w:firstLine="480"/>
            </w:pPr>
            <w:r>
              <w:rPr>
                <w:rFonts w:hint="eastAsia" w:ascii="宋体" w:hAnsi="宋体" w:eastAsia="宋体" w:cs="宋体"/>
                <w:color w:val="000000"/>
                <w:kern w:val="0"/>
                <w:sz w:val="24"/>
                <w:szCs w:val="24"/>
                <w:lang w:val="en-US" w:eastAsia="zh-CN" w:bidi="ar"/>
              </w:rPr>
              <w:t>本项目主要风险物质为天然气中的甲烷，存在的主要事故类型为天然气在输送和使用过程中，因管理操作不当或发生意外泄露后对周边环境恶化、人员中毒</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短时间聚集遇明火发生火灾或爆炸能次生事故。</w:t>
            </w:r>
            <w:r>
              <w:rPr>
                <w:rFonts w:hint="eastAsia"/>
              </w:rPr>
              <w:t>但是发生风险事故的可能性较小，</w:t>
            </w:r>
            <w:r>
              <w:rPr>
                <w:rFonts w:hint="eastAsia"/>
                <w:lang w:val="en-US" w:eastAsia="zh-CN"/>
              </w:rPr>
              <w:t>加强管理，落实各项风险防范措施</w:t>
            </w:r>
            <w:r>
              <w:rPr>
                <w:rFonts w:hint="eastAsia"/>
              </w:rPr>
              <w:t>，也能控制在可接受的范围内，因此，本项目的环境风险影响较小。</w:t>
            </w:r>
          </w:p>
          <w:p>
            <w:pPr>
              <w:pStyle w:val="34"/>
              <w:bidi w:val="0"/>
            </w:pPr>
            <w:r>
              <w:rPr>
                <w:rFonts w:hint="eastAsia"/>
              </w:rPr>
              <w:t>表4-</w:t>
            </w:r>
            <w:r>
              <w:rPr>
                <w:rFonts w:hint="eastAsia"/>
                <w:lang w:val="en-US" w:eastAsia="zh-CN"/>
              </w:rPr>
              <w:t>9</w:t>
            </w:r>
            <w:r>
              <w:t xml:space="preserve">  </w:t>
            </w:r>
            <w:r>
              <w:rPr>
                <w:rFonts w:hint="eastAsia"/>
              </w:rPr>
              <w:t>建设项目环境风险简单分析内容表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198"/>
              <w:gridCol w:w="2376"/>
              <w:gridCol w:w="983"/>
              <w:gridCol w:w="24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80" w:type="pct"/>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建设项目名称</w:t>
                  </w:r>
                </w:p>
              </w:tc>
              <w:tc>
                <w:tcPr>
                  <w:tcW w:w="4119" w:type="pct"/>
                  <w:gridSpan w:val="4"/>
                  <w:vAlign w:val="center"/>
                </w:tcPr>
                <w:p>
                  <w:pPr>
                    <w:spacing w:line="240" w:lineRule="auto"/>
                    <w:ind w:firstLine="0" w:firstLineChars="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巴州鸿源石油装备器材有限公司锅炉技术改造项目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80" w:type="pct"/>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建设地点</w:t>
                  </w:r>
                </w:p>
              </w:tc>
              <w:tc>
                <w:tcPr>
                  <w:tcW w:w="4119" w:type="pct"/>
                  <w:gridSpan w:val="4"/>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轮台县</w:t>
                  </w:r>
                  <w:r>
                    <w:rPr>
                      <w:rFonts w:hint="eastAsia" w:cs="Times New Roman"/>
                      <w:color w:val="000000" w:themeColor="text1"/>
                      <w:sz w:val="21"/>
                      <w:szCs w:val="21"/>
                      <w:lang w:eastAsia="zh-CN"/>
                      <w14:textFill>
                        <w14:solidFill>
                          <w14:schemeClr w14:val="tx1"/>
                        </w14:solidFill>
                      </w14:textFill>
                    </w:rPr>
                    <w:t>红桥石油服务区</w:t>
                  </w:r>
                  <w:r>
                    <w:rPr>
                      <w:rFonts w:hint="eastAsia" w:cs="Times New Roman"/>
                      <w:color w:val="000000" w:themeColor="text1"/>
                      <w:sz w:val="21"/>
                      <w:szCs w:val="21"/>
                      <w14:textFill>
                        <w14:solidFill>
                          <w14:schemeClr w14:val="tx1"/>
                        </w14:solidFill>
                      </w14:textFill>
                    </w:rPr>
                    <w:t>沙漠公路与鸿源路交叉口西南侧巴州鸿源石油装备器材有限公司院内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80" w:type="pct"/>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地理坐标</w:t>
                  </w:r>
                </w:p>
              </w:tc>
              <w:tc>
                <w:tcPr>
                  <w:tcW w:w="702" w:type="pct"/>
                  <w:vAlign w:val="center"/>
                </w:tcPr>
                <w:p>
                  <w:pPr>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经度</w:t>
                  </w:r>
                </w:p>
              </w:tc>
              <w:tc>
                <w:tcPr>
                  <w:tcW w:w="1392" w:type="pct"/>
                  <w:vAlign w:val="center"/>
                </w:tcPr>
                <w:p>
                  <w:pPr>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32.820</w:t>
                  </w:r>
                  <w:r>
                    <w:rPr>
                      <w:rFonts w:hint="eastAsia" w:ascii="Times New Roman" w:hAnsi="Times New Roman" w:cs="Times New Roman"/>
                      <w:color w:val="000000" w:themeColor="text1"/>
                      <w:sz w:val="21"/>
                      <w:szCs w:val="21"/>
                      <w14:textFill>
                        <w14:solidFill>
                          <w14:schemeClr w14:val="tx1"/>
                        </w14:solidFill>
                      </w14:textFill>
                    </w:rPr>
                    <w:t>"，</w:t>
                  </w:r>
                </w:p>
              </w:tc>
              <w:tc>
                <w:tcPr>
                  <w:tcW w:w="576" w:type="pct"/>
                  <w:vAlign w:val="center"/>
                </w:tcPr>
                <w:p>
                  <w:pPr>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纬度</w:t>
                  </w:r>
                </w:p>
              </w:tc>
              <w:tc>
                <w:tcPr>
                  <w:tcW w:w="1447" w:type="pct"/>
                  <w:vAlign w:val="center"/>
                </w:tcPr>
                <w:p>
                  <w:pPr>
                    <w:spacing w:line="240" w:lineRule="auto"/>
                    <w:ind w:firstLine="0" w:firstLineChars="0"/>
                    <w:jc w:val="center"/>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47</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10.361</w:t>
                  </w:r>
                  <w:r>
                    <w:rPr>
                      <w:rFonts w:hint="eastAsia"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80" w:type="pct"/>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主要危险物质及分布</w:t>
                  </w:r>
                </w:p>
              </w:tc>
              <w:tc>
                <w:tcPr>
                  <w:tcW w:w="4119" w:type="pct"/>
                  <w:gridSpan w:val="4"/>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锅炉房及</w:t>
                  </w:r>
                  <w:r>
                    <w:rPr>
                      <w:rFonts w:hint="eastAsia" w:ascii="Times New Roman" w:hAnsi="Times New Roman" w:cs="Times New Roman"/>
                      <w:color w:val="000000" w:themeColor="text1"/>
                      <w:sz w:val="21"/>
                      <w:szCs w:val="21"/>
                      <w14:textFill>
                        <w14:solidFill>
                          <w14:schemeClr w14:val="tx1"/>
                        </w14:solidFill>
                      </w14:textFill>
                    </w:rPr>
                    <w:t>天然气管道内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880" w:type="pct"/>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环境影响途径及危害后果（大气、地表水、</w:t>
                  </w:r>
                  <w:r>
                    <w:rPr>
                      <w:rFonts w:hint="eastAsia" w:cs="Times New Roman"/>
                      <w:color w:val="000000" w:themeColor="text1"/>
                      <w:sz w:val="21"/>
                      <w:szCs w:val="21"/>
                      <w:lang w:eastAsia="zh-CN"/>
                      <w14:textFill>
                        <w14:solidFill>
                          <w14:schemeClr w14:val="tx1"/>
                        </w14:solidFill>
                      </w14:textFill>
                    </w:rPr>
                    <w:t>地下水</w:t>
                  </w:r>
                  <w:r>
                    <w:rPr>
                      <w:rFonts w:cs="Times New Roman"/>
                      <w:color w:val="000000" w:themeColor="text1"/>
                      <w:sz w:val="21"/>
                      <w:szCs w:val="21"/>
                      <w14:textFill>
                        <w14:solidFill>
                          <w14:schemeClr w14:val="tx1"/>
                        </w14:solidFill>
                      </w14:textFill>
                    </w:rPr>
                    <w:t>等）</w:t>
                  </w:r>
                </w:p>
              </w:tc>
              <w:tc>
                <w:tcPr>
                  <w:tcW w:w="4119" w:type="pct"/>
                  <w:gridSpan w:val="4"/>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本项目涉及的</w:t>
                  </w:r>
                  <w:r>
                    <w:rPr>
                      <w:rFonts w:hint="eastAsia" w:cs="Times New Roman"/>
                      <w:color w:val="000000" w:themeColor="text1"/>
                      <w:sz w:val="21"/>
                      <w:szCs w:val="21"/>
                      <w:lang w:val="en-US" w:eastAsia="zh-CN"/>
                      <w14:textFill>
                        <w14:solidFill>
                          <w14:schemeClr w14:val="tx1"/>
                        </w14:solidFill>
                      </w14:textFill>
                    </w:rPr>
                    <w:t>天然气</w:t>
                  </w:r>
                  <w:r>
                    <w:rPr>
                      <w:rFonts w:hint="eastAsia" w:cs="Times New Roman"/>
                      <w:color w:val="000000" w:themeColor="text1"/>
                      <w:sz w:val="21"/>
                      <w:szCs w:val="21"/>
                      <w14:textFill>
                        <w14:solidFill>
                          <w14:schemeClr w14:val="tx1"/>
                        </w14:solidFill>
                      </w14:textFill>
                    </w:rPr>
                    <w:t>为易燃易爆气体，当其发生泄漏时，会对项目所在地大气环境造成一定不利影响。此外，破损泄露或者操作不当等引发火灾爆炸等事故时，也会对大气环境</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土壤</w:t>
                  </w:r>
                  <w:r>
                    <w:rPr>
                      <w:rFonts w:hint="eastAsia" w:cs="Times New Roman"/>
                      <w:color w:val="000000" w:themeColor="text1"/>
                      <w:sz w:val="21"/>
                      <w:szCs w:val="21"/>
                      <w14:textFill>
                        <w14:solidFill>
                          <w14:schemeClr w14:val="tx1"/>
                        </w14:solidFill>
                      </w14:textFill>
                    </w:rPr>
                    <w:t>造成一定影响。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pct"/>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风险防范措施要求</w:t>
                  </w:r>
                </w:p>
              </w:tc>
              <w:tc>
                <w:tcPr>
                  <w:tcW w:w="4119" w:type="pct"/>
                  <w:gridSpan w:val="4"/>
                  <w:vAlign w:val="center"/>
                </w:tcPr>
                <w:p>
                  <w:pPr>
                    <w:spacing w:line="240" w:lineRule="auto"/>
                    <w:ind w:firstLine="0" w:firstLineChars="0"/>
                    <w:jc w:val="left"/>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（1）工作人员的安全培训和教育，所有操作人员均应经过培训和严格训练并取得合格证后才能允许上岗操作。</w:t>
                  </w:r>
                </w:p>
                <w:p>
                  <w:pPr>
                    <w:spacing w:line="240" w:lineRule="auto"/>
                    <w:ind w:firstLine="0" w:firstLineChars="0"/>
                    <w:jc w:val="left"/>
                    <w:textAlignment w:val="auto"/>
                    <w:rPr>
                      <w:rFonts w:hint="eastAsia"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（2）严禁吸烟和使用明火，防止火源进入，预防火灾事故的发生。</w:t>
                  </w:r>
                </w:p>
                <w:p>
                  <w:pPr>
                    <w:spacing w:line="240" w:lineRule="auto"/>
                    <w:ind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报警系统：安装泄漏报警装置一旦发生泄漏自动报警，企业可以及时切断气体输送阀门，避免进一步泄漏引发火灾及爆炸的风险</w:t>
                  </w:r>
                  <w:r>
                    <w:rPr>
                      <w:rFonts w:hint="eastAsia" w:ascii="Times New Roman" w:hAnsi="Times New Roman" w:cs="Times New Roman"/>
                      <w:color w:val="000000" w:themeColor="text1"/>
                      <w:sz w:val="21"/>
                      <w:szCs w:val="21"/>
                      <w:lang w:eastAsia="zh-CN"/>
                      <w14:textFill>
                        <w14:solidFill>
                          <w14:schemeClr w14:val="tx1"/>
                        </w14:solidFill>
                      </w14:textFill>
                    </w:rPr>
                    <w:t>。</w:t>
                  </w:r>
                </w:p>
                <w:p>
                  <w:pPr>
                    <w:spacing w:line="240" w:lineRule="auto"/>
                    <w:ind w:firstLine="0" w:firstLineChars="0"/>
                    <w:jc w:val="left"/>
                    <w:textAlignment w:val="auto"/>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厂区应配备相应的应急救援器材、消防器材置于明显、取用方便又安全的地方，定专人维护管理，定期检修</w:t>
                  </w:r>
                  <w:r>
                    <w:rPr>
                      <w:rFonts w:hint="eastAsia" w:ascii="Times New Roman" w:hAnsi="Times New Roman" w:cs="Times New Roman"/>
                      <w:color w:val="000000" w:themeColor="text1"/>
                      <w:sz w:val="2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880" w:type="pct"/>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填表说明</w:t>
                  </w:r>
                </w:p>
              </w:tc>
              <w:tc>
                <w:tcPr>
                  <w:tcW w:w="4119" w:type="pct"/>
                  <w:gridSpan w:val="4"/>
                  <w:vAlign w:val="center"/>
                </w:tcPr>
                <w:p>
                  <w:pPr>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bl>
          <w:p>
            <w:pPr>
              <w:ind w:firstLine="480"/>
            </w:pPr>
            <w:r>
              <w:t>环境风险评价是针对建设项目在建设和运行期间发生的可预测突发性事件或事故（一般不包括人为破坏及自然灾害）引起有毒有害、易燃易爆等物质的泄露，或突发事件产生的新的有毒有害物质，所造成的对人</w:t>
            </w:r>
            <w:r>
              <w:rPr>
                <w:rFonts w:hint="eastAsia"/>
              </w:rPr>
              <w:t>身</w:t>
            </w:r>
            <w:r>
              <w:t>安全与环境的影响与损害，进行评估，提出防患与减缓的措施。</w:t>
            </w:r>
          </w:p>
          <w:p>
            <w:pPr>
              <w:ind w:firstLine="440"/>
              <w:textAlignment w:val="auto"/>
              <w:rPr>
                <w:rFonts w:cs="等线"/>
                <w:color w:val="000000" w:themeColor="text1"/>
                <w:szCs w:val="20"/>
                <w14:textFill>
                  <w14:solidFill>
                    <w14:schemeClr w14:val="tx1"/>
                  </w14:solidFill>
                </w14:textFill>
              </w:rPr>
            </w:pPr>
            <w:r>
              <w:rPr>
                <w:rFonts w:cs="Times New Roman"/>
                <w:spacing w:val="-10"/>
                <w:szCs w:val="21"/>
              </w:rPr>
              <w:t>建</w:t>
            </w:r>
            <w:r>
              <w:rPr>
                <w:rFonts w:cs="Times New Roman"/>
                <w:snapToGrid w:val="0"/>
              </w:rPr>
              <w:t>议建设单位在建设过程中应落实风险防范措施，并根据今后实际生产情况结合本报告中提出的事故应急预案，制定更详实的应急预案，确保防范措施的运行。</w:t>
            </w:r>
          </w:p>
          <w:p>
            <w:pPr>
              <w:pStyle w:val="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4.6环境管理要求</w:t>
            </w:r>
          </w:p>
          <w:p>
            <w:pPr>
              <w:numPr>
                <w:ilvl w:val="0"/>
                <w:numId w:val="0"/>
              </w:numPr>
              <w:rPr>
                <w:rFonts w:hint="eastAsia" w:ascii="Times New Roman" w:hAnsi="Times New Roman" w:eastAsia="宋体" w:cstheme="majorBidi"/>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heme="majorBidi"/>
                <w:b/>
                <w:bCs/>
                <w:color w:val="000000" w:themeColor="text1"/>
                <w:kern w:val="2"/>
                <w:sz w:val="24"/>
                <w:szCs w:val="32"/>
                <w:lang w:val="en-US" w:eastAsia="zh-CN" w:bidi="ar-SA"/>
                <w14:textFill>
                  <w14:solidFill>
                    <w14:schemeClr w14:val="tx1"/>
                  </w14:solidFill>
                </w14:textFill>
              </w:rPr>
              <w:t>4.6.1环境管理</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环境管理和污染源监测是建设单位内部污染源监督管理的重要组成部分。在企业中建立健全的环保机构，加强环保管理工作，开展厂内环境监测、监督，并把环保工作纳入生产管理，有助于控制和减少污染物的排放、促进资源的合理回用，对减轻环境污染、保护环境有着重要意义。</w:t>
            </w:r>
          </w:p>
          <w:p>
            <w:pPr>
              <w:numPr>
                <w:ilvl w:val="0"/>
                <w:numId w:val="3"/>
              </w:numPr>
              <w:ind w:firstLine="480" w:firstLineChars="200"/>
              <w:rPr>
                <w:rFonts w:ascii="宋体" w:hAnsi="宋体" w:eastAsia="宋体" w:cs="宋体"/>
                <w:sz w:val="24"/>
                <w:szCs w:val="24"/>
              </w:rPr>
            </w:pPr>
            <w:r>
              <w:rPr>
                <w:rFonts w:ascii="宋体" w:hAnsi="宋体" w:eastAsia="宋体" w:cs="宋体"/>
                <w:sz w:val="24"/>
                <w:szCs w:val="24"/>
              </w:rPr>
              <w:t>环境管理为贯彻环境保护法规，促进项目社会效益、经济效益、环境效益的协调统一，对项目污染排放及区域环境质量实行监控，为区域环境管理与环境规划提供科学依据，必须加强企业环境管理与监测工作，建议建设单位至少指派1人负责企业环境管理与监测工作。环境管理采取总经理负责制，具体工作如下：</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①贯彻执行国家和自治区现行各项环保方针、政策、法规和标准，并认真执行环保行政管理部门下达的各项任务。</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②建立各项环境保护规章制度，并经常进行监督检查。</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③定期对各污染源进行检查，请当地环境监测部门对本企业污染源排放情况进行监测，了解各污染源动态，及时发现和掌握企业污染变化情况，从而制订相应处理措施。</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④加强对污染治理设施的管理、检查及维护，确保污染治理设施正常运行，并把污染治理设施的治理效率按生产指标一样进行考核，以防止污染事故发生。</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⑤学习并推广应用先进的环保技术和经验，组织污染治理设施操作人员进行岗前专业技术培训。</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⑥对职工进行环保宣传教育，提高职工环保意识。</w:t>
            </w:r>
          </w:p>
          <w:p>
            <w:pPr>
              <w:numPr>
                <w:ilvl w:val="0"/>
                <w:numId w:val="0"/>
              </w:numPr>
              <w:ind w:firstLine="480" w:firstLineChars="200"/>
              <w:rPr>
                <w:rFonts w:hint="eastAsia"/>
                <w:color w:val="000000" w:themeColor="text1"/>
                <w14:textFill>
                  <w14:solidFill>
                    <w14:schemeClr w14:val="tx1"/>
                  </w14:solidFill>
                </w14:textFill>
              </w:rPr>
            </w:pPr>
            <w:r>
              <w:rPr>
                <w:rFonts w:ascii="宋体" w:hAnsi="宋体" w:eastAsia="宋体" w:cs="宋体"/>
                <w:sz w:val="24"/>
                <w:szCs w:val="24"/>
              </w:rPr>
              <w:t>⑦建立固体废物管理台账要求，如实记录产生的固体废物的种类、数量、去向等内容，每年年底编制固体废物环境管理</w:t>
            </w:r>
          </w:p>
          <w:p>
            <w:pPr>
              <w:numPr>
                <w:ilvl w:val="0"/>
                <w:numId w:val="3"/>
              </w:numPr>
              <w:ind w:left="0" w:leftChars="0" w:firstLine="480" w:firstLineChars="200"/>
              <w:rPr>
                <w:rFonts w:ascii="宋体" w:hAnsi="宋体" w:eastAsia="宋体" w:cs="宋体"/>
                <w:sz w:val="24"/>
                <w:szCs w:val="24"/>
              </w:rPr>
            </w:pPr>
            <w:r>
              <w:rPr>
                <w:rFonts w:ascii="宋体" w:hAnsi="宋体" w:eastAsia="宋体" w:cs="宋体"/>
                <w:sz w:val="24"/>
                <w:szCs w:val="24"/>
              </w:rPr>
              <w:t>严格落实排污许可证制度</w:t>
            </w:r>
          </w:p>
          <w:p>
            <w:pPr>
              <w:numPr>
                <w:ilvl w:val="0"/>
                <w:numId w:val="0"/>
              </w:numPr>
              <w:ind w:firstLine="480" w:firstLineChars="200"/>
              <w:rPr>
                <w:rFonts w:hint="default" w:ascii="Times New Roman" w:hAnsi="Times New Roman" w:eastAsia="宋体" w:cs="Times New Roman"/>
                <w:sz w:val="24"/>
                <w:szCs w:val="24"/>
              </w:rPr>
            </w:pPr>
            <w:r>
              <w:rPr>
                <w:rFonts w:ascii="宋体" w:hAnsi="宋体" w:eastAsia="宋体" w:cs="宋体"/>
                <w:sz w:val="24"/>
                <w:szCs w:val="24"/>
              </w:rPr>
              <w:t>①落实按证排污责任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bidi w:val="0"/>
              <w:ind w:left="0" w:leftChars="0" w:firstLine="0" w:firstLineChars="0"/>
              <w:rPr>
                <w:rFonts w:hint="default" w:eastAsia="宋体"/>
                <w:b/>
                <w:bCs/>
                <w:lang w:val="en-US" w:eastAsia="zh-CN"/>
              </w:rPr>
            </w:pPr>
            <w:r>
              <w:rPr>
                <w:rFonts w:hint="eastAsia"/>
                <w:b/>
                <w:bCs/>
                <w:lang w:val="en-US" w:eastAsia="zh-CN"/>
              </w:rPr>
              <w:t>4.6.2监测计划</w:t>
            </w:r>
          </w:p>
          <w:p>
            <w:pPr>
              <w:ind w:firstLine="480"/>
              <w:textAlignment w:val="auto"/>
              <w:rPr>
                <w:rFonts w:cs="Times New Roman"/>
                <w:color w:val="000000" w:themeColor="text1"/>
                <w14:textFill>
                  <w14:solidFill>
                    <w14:schemeClr w14:val="tx1"/>
                  </w14:solidFill>
                </w14:textFill>
              </w:rPr>
            </w:pPr>
            <w:r>
              <w:rPr>
                <w:rFonts w:hint="eastAsia"/>
              </w:rPr>
              <w:t>根据《排污单位自行监测技术指南</w:t>
            </w:r>
            <w:r>
              <w:t xml:space="preserve"> </w:t>
            </w:r>
            <w:r>
              <w:rPr>
                <w:rFonts w:hint="eastAsia"/>
              </w:rPr>
              <w:t>总则》</w:t>
            </w:r>
            <w:r>
              <w:rPr>
                <w:rFonts w:hint="eastAsia" w:ascii="Times New Roman" w:hAnsi="Times New Roman" w:cs="Times New Roman"/>
              </w:rPr>
              <w:t>（HJ819-2017）</w:t>
            </w:r>
            <w:r>
              <w:rPr>
                <w:rFonts w:hint="eastAsia" w:ascii="Times New Roman" w:hAnsi="Times New Roman" w:cs="Times New Roman"/>
                <w:lang w:eastAsia="zh-CN"/>
              </w:rPr>
              <w:t>、</w:t>
            </w:r>
            <w:r>
              <w:rPr>
                <w:rFonts w:hint="eastAsia" w:ascii="Times New Roman" w:hAnsi="Times New Roman" w:cs="Times New Roman"/>
                <w:lang w:val="en-US" w:eastAsia="zh-CN"/>
              </w:rPr>
              <w:t>《排污单位自行监测技术指南 火力发电及锅炉》</w:t>
            </w:r>
            <w:r>
              <w:rPr>
                <w:rFonts w:hint="eastAsia" w:ascii="Times New Roman" w:hAnsi="Times New Roman" w:cs="Times New Roman"/>
              </w:rPr>
              <w:t>和</w:t>
            </w:r>
            <w:r>
              <w:rPr>
                <w:rFonts w:hint="eastAsia" w:ascii="Times New Roman" w:hAnsi="Times New Roman" w:cs="Times New Roman"/>
                <w:lang w:val="en-US" w:eastAsia="zh-CN"/>
              </w:rPr>
              <w:t>《排污许可证申请与核发技术规范 锅炉》（</w:t>
            </w:r>
            <w:r>
              <w:rPr>
                <w:rFonts w:hint="default" w:ascii="Times New Roman" w:hAnsi="Times New Roman" w:cs="Times New Roman"/>
                <w:lang w:val="en-US" w:eastAsia="zh-CN"/>
              </w:rPr>
              <w:t>HJ953-2018</w:t>
            </w:r>
            <w:r>
              <w:rPr>
                <w:rFonts w:hint="eastAsia" w:ascii="Times New Roman" w:hAnsi="Times New Roman" w:cs="Times New Roman"/>
                <w:lang w:val="en-US" w:eastAsia="zh-CN"/>
              </w:rPr>
              <w:t>）</w:t>
            </w:r>
            <w:r>
              <w:rPr>
                <w:rFonts w:hint="eastAsia" w:ascii="Times New Roman" w:hAnsi="Times New Roman" w:cs="Times New Roman"/>
              </w:rPr>
              <w:t>制定监测计划</w:t>
            </w:r>
            <w:r>
              <w:rPr>
                <w:rFonts w:hint="eastAsia" w:cs="Times New Roman"/>
                <w:color w:val="000000" w:themeColor="text1"/>
                <w14:textFill>
                  <w14:solidFill>
                    <w14:schemeClr w14:val="tx1"/>
                  </w14:solidFill>
                </w14:textFill>
              </w:rPr>
              <w:t>，环境监测计划见表4</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0</w:t>
            </w:r>
            <w:r>
              <w:rPr>
                <w:rFonts w:hint="eastAsia" w:cs="Times New Roman"/>
                <w:color w:val="000000" w:themeColor="text1"/>
                <w14:textFill>
                  <w14:solidFill>
                    <w14:schemeClr w14:val="tx1"/>
                  </w14:solidFill>
                </w14:textFill>
              </w:rPr>
              <w:t>。</w:t>
            </w:r>
          </w:p>
          <w:p>
            <w:pPr>
              <w:pStyle w:val="34"/>
              <w:bidi w:val="0"/>
              <w:rPr>
                <w:rFonts w:hint="eastAsia"/>
              </w:rPr>
            </w:pPr>
            <w:r>
              <w:rPr>
                <w:rFonts w:hint="eastAsia"/>
              </w:rPr>
              <w:t>表4-1</w:t>
            </w:r>
            <w:r>
              <w:rPr>
                <w:rFonts w:hint="eastAsia"/>
                <w:lang w:val="en-US" w:eastAsia="zh-CN"/>
              </w:rPr>
              <w:t>0</w:t>
            </w:r>
            <w:r>
              <w:rPr>
                <w:rFonts w:hint="eastAsia"/>
              </w:rPr>
              <w:t xml:space="preserve"> </w:t>
            </w:r>
            <w:r>
              <w:t xml:space="preserve"> </w:t>
            </w:r>
            <w:r>
              <w:rPr>
                <w:rFonts w:hint="eastAsia"/>
              </w:rPr>
              <w:t>运营期监测计划</w:t>
            </w:r>
          </w:p>
          <w:tbl>
            <w:tblPr>
              <w:tblStyle w:val="21"/>
              <w:tblW w:w="8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83"/>
              <w:gridCol w:w="1750"/>
              <w:gridCol w:w="1057"/>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4" w:type="dxa"/>
                  <w:tcBorders>
                    <w:tl2br w:val="nil"/>
                    <w:tr2bl w:val="nil"/>
                  </w:tcBorders>
                  <w:vAlign w:val="center"/>
                </w:tcPr>
                <w:p>
                  <w:pPr>
                    <w:pStyle w:val="33"/>
                  </w:pPr>
                  <w:r>
                    <w:t>环境因素</w:t>
                  </w:r>
                </w:p>
              </w:tc>
              <w:tc>
                <w:tcPr>
                  <w:tcW w:w="1483" w:type="dxa"/>
                  <w:tcBorders>
                    <w:tl2br w:val="nil"/>
                    <w:tr2bl w:val="nil"/>
                  </w:tcBorders>
                  <w:vAlign w:val="center"/>
                </w:tcPr>
                <w:p>
                  <w:pPr>
                    <w:pStyle w:val="33"/>
                  </w:pPr>
                  <w:r>
                    <w:t>监测点位</w:t>
                  </w:r>
                </w:p>
              </w:tc>
              <w:tc>
                <w:tcPr>
                  <w:tcW w:w="1750" w:type="dxa"/>
                  <w:tcBorders>
                    <w:tl2br w:val="nil"/>
                    <w:tr2bl w:val="nil"/>
                  </w:tcBorders>
                  <w:vAlign w:val="center"/>
                </w:tcPr>
                <w:p>
                  <w:pPr>
                    <w:pStyle w:val="33"/>
                  </w:pPr>
                  <w:r>
                    <w:t>监测项目</w:t>
                  </w:r>
                </w:p>
              </w:tc>
              <w:tc>
                <w:tcPr>
                  <w:tcW w:w="1057" w:type="dxa"/>
                  <w:tcBorders>
                    <w:tl2br w:val="nil"/>
                    <w:tr2bl w:val="nil"/>
                  </w:tcBorders>
                  <w:vAlign w:val="center"/>
                </w:tcPr>
                <w:p>
                  <w:pPr>
                    <w:pStyle w:val="33"/>
                  </w:pPr>
                  <w:r>
                    <w:t>监测频率</w:t>
                  </w:r>
                </w:p>
              </w:tc>
              <w:tc>
                <w:tcPr>
                  <w:tcW w:w="3612" w:type="dxa"/>
                  <w:tcBorders>
                    <w:tl2br w:val="nil"/>
                    <w:tr2bl w:val="nil"/>
                  </w:tcBorders>
                  <w:vAlign w:val="center"/>
                </w:tcPr>
                <w:p>
                  <w:pPr>
                    <w:pStyle w:val="33"/>
                  </w:pPr>
                  <w: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04" w:type="dxa"/>
                  <w:vMerge w:val="restart"/>
                  <w:tcBorders>
                    <w:tl2br w:val="nil"/>
                    <w:tr2bl w:val="nil"/>
                  </w:tcBorders>
                  <w:vAlign w:val="center"/>
                </w:tcPr>
                <w:p>
                  <w:pPr>
                    <w:pStyle w:val="33"/>
                  </w:pPr>
                  <w:r>
                    <w:rPr>
                      <w:rFonts w:hint="eastAsia"/>
                    </w:rPr>
                    <w:t>大气环境</w:t>
                  </w:r>
                </w:p>
              </w:tc>
              <w:tc>
                <w:tcPr>
                  <w:tcW w:w="1483" w:type="dxa"/>
                  <w:vMerge w:val="restart"/>
                  <w:tcBorders>
                    <w:tl2br w:val="nil"/>
                    <w:tr2bl w:val="nil"/>
                  </w:tcBorders>
                  <w:vAlign w:val="center"/>
                </w:tcPr>
                <w:p>
                  <w:pPr>
                    <w:pStyle w:val="33"/>
                  </w:pPr>
                  <w:r>
                    <w:rPr>
                      <w:rFonts w:hint="eastAsia"/>
                      <w:highlight w:val="none"/>
                      <w:lang w:val="en-US" w:eastAsia="zh-CN"/>
                    </w:rPr>
                    <w:t>冬季供热</w:t>
                  </w:r>
                  <w:r>
                    <w:rPr>
                      <w:rFonts w:hint="eastAsia"/>
                    </w:rPr>
                    <w:t>锅炉排气筒</w:t>
                  </w:r>
                  <w:r>
                    <w:t>排放口</w:t>
                  </w:r>
                </w:p>
              </w:tc>
              <w:tc>
                <w:tcPr>
                  <w:tcW w:w="1750" w:type="dxa"/>
                  <w:tcBorders>
                    <w:tl2br w:val="nil"/>
                    <w:tr2bl w:val="nil"/>
                  </w:tcBorders>
                  <w:vAlign w:val="center"/>
                </w:tcPr>
                <w:p>
                  <w:pPr>
                    <w:pStyle w:val="33"/>
                  </w:pPr>
                  <w:r>
                    <w:rPr>
                      <w:rFonts w:hint="eastAsia"/>
                    </w:rPr>
                    <w:t>颗粒物、二氧化硫、林格曼黑度</w:t>
                  </w:r>
                </w:p>
              </w:tc>
              <w:tc>
                <w:tcPr>
                  <w:tcW w:w="1057" w:type="dxa"/>
                  <w:tcBorders>
                    <w:tl2br w:val="nil"/>
                    <w:tr2bl w:val="nil"/>
                  </w:tcBorders>
                  <w:vAlign w:val="center"/>
                </w:tcPr>
                <w:p>
                  <w:pPr>
                    <w:pStyle w:val="33"/>
                    <w:rPr>
                      <w:rFonts w:hint="eastAsia" w:eastAsia="宋体"/>
                      <w:lang w:eastAsia="zh-CN"/>
                    </w:rPr>
                  </w:pPr>
                  <w:r>
                    <w:rPr>
                      <w:rFonts w:hint="eastAsia"/>
                    </w:rPr>
                    <w:t>1次/</w:t>
                  </w:r>
                  <w:r>
                    <w:rPr>
                      <w:rFonts w:hint="eastAsia"/>
                      <w:lang w:val="en-US" w:eastAsia="zh-CN"/>
                    </w:rPr>
                    <w:t>年</w:t>
                  </w:r>
                </w:p>
              </w:tc>
              <w:tc>
                <w:tcPr>
                  <w:tcW w:w="3612" w:type="dxa"/>
                  <w:tcBorders>
                    <w:tl2br w:val="nil"/>
                    <w:tr2bl w:val="nil"/>
                  </w:tcBorders>
                  <w:vAlign w:val="center"/>
                </w:tcPr>
                <w:p>
                  <w:pPr>
                    <w:pStyle w:val="33"/>
                  </w:pPr>
                  <w:r>
                    <w:rPr>
                      <w:rFonts w:hint="eastAsia"/>
                    </w:rPr>
                    <w:t>《锅炉大气污染物排放标准》（GB13271-2014）表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04" w:type="dxa"/>
                  <w:vMerge w:val="continue"/>
                  <w:tcBorders>
                    <w:tl2br w:val="nil"/>
                    <w:tr2bl w:val="nil"/>
                  </w:tcBorders>
                  <w:vAlign w:val="center"/>
                </w:tcPr>
                <w:p>
                  <w:pPr>
                    <w:pStyle w:val="33"/>
                    <w:rPr>
                      <w:rFonts w:hint="eastAsia"/>
                    </w:rPr>
                  </w:pPr>
                </w:p>
              </w:tc>
              <w:tc>
                <w:tcPr>
                  <w:tcW w:w="1483" w:type="dxa"/>
                  <w:vMerge w:val="continue"/>
                  <w:tcBorders>
                    <w:tl2br w:val="nil"/>
                    <w:tr2bl w:val="nil"/>
                  </w:tcBorders>
                  <w:vAlign w:val="center"/>
                </w:tcPr>
                <w:p>
                  <w:pPr>
                    <w:pStyle w:val="33"/>
                    <w:rPr>
                      <w:rFonts w:hint="eastAsia"/>
                    </w:rPr>
                  </w:pPr>
                </w:p>
              </w:tc>
              <w:tc>
                <w:tcPr>
                  <w:tcW w:w="1750" w:type="dxa"/>
                  <w:tcBorders>
                    <w:tl2br w:val="nil"/>
                    <w:tr2bl w:val="nil"/>
                  </w:tcBorders>
                  <w:vAlign w:val="center"/>
                </w:tcPr>
                <w:p>
                  <w:pPr>
                    <w:pStyle w:val="33"/>
                    <w:rPr>
                      <w:rFonts w:hint="eastAsia"/>
                    </w:rPr>
                  </w:pPr>
                  <w:r>
                    <w:rPr>
                      <w:rFonts w:hint="eastAsia"/>
                      <w:lang w:val="en-US" w:eastAsia="zh-CN"/>
                    </w:rPr>
                    <w:t>氮氧化物</w:t>
                  </w:r>
                </w:p>
              </w:tc>
              <w:tc>
                <w:tcPr>
                  <w:tcW w:w="1057" w:type="dxa"/>
                  <w:tcBorders>
                    <w:tl2br w:val="nil"/>
                    <w:tr2bl w:val="nil"/>
                  </w:tcBorders>
                  <w:vAlign w:val="center"/>
                </w:tcPr>
                <w:p>
                  <w:pPr>
                    <w:pStyle w:val="33"/>
                    <w:rPr>
                      <w:rFonts w:hint="eastAsia" w:eastAsia="宋体"/>
                      <w:lang w:val="en-US" w:eastAsia="zh-CN"/>
                    </w:rPr>
                  </w:pPr>
                  <w:r>
                    <w:rPr>
                      <w:rFonts w:hint="eastAsia"/>
                    </w:rPr>
                    <w:t>1次/</w:t>
                  </w:r>
                  <w:r>
                    <w:rPr>
                      <w:rFonts w:hint="eastAsia"/>
                      <w:lang w:val="en-US" w:eastAsia="zh-CN"/>
                    </w:rPr>
                    <w:t>月</w:t>
                  </w:r>
                </w:p>
              </w:tc>
              <w:tc>
                <w:tcPr>
                  <w:tcW w:w="3612" w:type="dxa"/>
                  <w:tcBorders>
                    <w:tl2br w:val="nil"/>
                    <w:tr2bl w:val="nil"/>
                  </w:tcBorders>
                  <w:vAlign w:val="center"/>
                </w:tcPr>
                <w:p>
                  <w:pPr>
                    <w:pStyle w:val="33"/>
                    <w:rPr>
                      <w:rFonts w:hint="eastAsia"/>
                      <w:color w:val="auto"/>
                    </w:rPr>
                  </w:pP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号）氮氧化物</w:t>
                  </w:r>
                  <w:r>
                    <w:rPr>
                      <w:rFonts w:hint="eastAsia"/>
                      <w:lang w:val="en-US" w:eastAsia="zh-CN"/>
                    </w:rPr>
                    <w:t>≤</w:t>
                  </w:r>
                  <w:r>
                    <w:rPr>
                      <w:rFonts w:hint="eastAsia"/>
                    </w:rPr>
                    <w:t>50mg/m</w:t>
                  </w:r>
                  <w:r>
                    <w:rPr>
                      <w:rFonts w:hint="eastAsia"/>
                      <w:vertAlign w:val="superscript"/>
                    </w:rPr>
                    <w:t>3</w:t>
                  </w:r>
                  <w:r>
                    <w:rPr>
                      <w:rFonts w:hint="eastAsia"/>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04" w:type="dxa"/>
                  <w:tcBorders>
                    <w:tl2br w:val="nil"/>
                    <w:tr2bl w:val="nil"/>
                  </w:tcBorders>
                  <w:vAlign w:val="center"/>
                </w:tcPr>
                <w:p>
                  <w:pPr>
                    <w:pStyle w:val="33"/>
                    <w:rPr>
                      <w:rFonts w:hint="eastAsia" w:eastAsia="宋体"/>
                      <w:lang w:val="en-US" w:eastAsia="zh-CN"/>
                    </w:rPr>
                  </w:pPr>
                  <w:r>
                    <w:rPr>
                      <w:rFonts w:hint="eastAsia"/>
                      <w:lang w:val="en-US" w:eastAsia="zh-CN"/>
                    </w:rPr>
                    <w:t>水环境</w:t>
                  </w:r>
                </w:p>
              </w:tc>
              <w:tc>
                <w:tcPr>
                  <w:tcW w:w="1483" w:type="dxa"/>
                  <w:tcBorders>
                    <w:tl2br w:val="nil"/>
                    <w:tr2bl w:val="nil"/>
                  </w:tcBorders>
                  <w:vAlign w:val="center"/>
                </w:tcPr>
                <w:p>
                  <w:pPr>
                    <w:pStyle w:val="33"/>
                    <w:rPr>
                      <w:rFonts w:hint="default" w:eastAsia="宋体"/>
                      <w:lang w:val="en-US" w:eastAsia="zh-CN"/>
                    </w:rPr>
                  </w:pPr>
                  <w:r>
                    <w:rPr>
                      <w:rFonts w:hint="eastAsia"/>
                      <w:lang w:val="en-US" w:eastAsia="zh-CN"/>
                    </w:rPr>
                    <w:t>企业废水总排口</w:t>
                  </w:r>
                </w:p>
              </w:tc>
              <w:tc>
                <w:tcPr>
                  <w:tcW w:w="17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lang w:val="en-US" w:eastAsia="zh-CN"/>
                    </w:rPr>
                  </w:pPr>
                  <w:r>
                    <w:rPr>
                      <w:rFonts w:hint="default" w:ascii="Times New Roman" w:hAnsi="Times New Roman" w:eastAsia="宋体" w:cs="Times New Roman"/>
                      <w:bCs/>
                      <w:color w:val="000000"/>
                      <w:kern w:val="2"/>
                      <w:sz w:val="21"/>
                      <w:szCs w:val="21"/>
                      <w:lang w:val="en-US" w:eastAsia="zh-CN" w:bidi="ar-SA"/>
                    </w:rPr>
                    <w:t>pH</w:t>
                  </w:r>
                  <w:r>
                    <w:rPr>
                      <w:rFonts w:hint="eastAsia" w:ascii="Times New Roman" w:hAnsi="Times New Roman" w:eastAsia="宋体" w:cs="Times New Roman"/>
                      <w:bCs/>
                      <w:color w:val="000000"/>
                      <w:kern w:val="2"/>
                      <w:sz w:val="21"/>
                      <w:szCs w:val="21"/>
                      <w:lang w:val="en-US" w:eastAsia="zh-CN" w:bidi="ar-SA"/>
                    </w:rPr>
                    <w:t>值、化学需氧量、氨氮、悬浮物、流量</w:t>
                  </w:r>
                </w:p>
              </w:tc>
              <w:tc>
                <w:tcPr>
                  <w:tcW w:w="1057" w:type="dxa"/>
                  <w:tcBorders>
                    <w:tl2br w:val="nil"/>
                    <w:tr2bl w:val="nil"/>
                  </w:tcBorders>
                  <w:vAlign w:val="center"/>
                </w:tcPr>
                <w:p>
                  <w:pPr>
                    <w:pStyle w:val="33"/>
                    <w:rPr>
                      <w:rFonts w:hint="eastAsia"/>
                    </w:rPr>
                  </w:pPr>
                  <w:r>
                    <w:rPr>
                      <w:rFonts w:hint="eastAsia"/>
                    </w:rPr>
                    <w:t>1次/</w:t>
                  </w:r>
                  <w:r>
                    <w:rPr>
                      <w:rFonts w:hint="eastAsia"/>
                      <w:lang w:val="en-US" w:eastAsia="zh-CN"/>
                    </w:rPr>
                    <w:t>年</w:t>
                  </w:r>
                </w:p>
              </w:tc>
              <w:tc>
                <w:tcPr>
                  <w:tcW w:w="3612" w:type="dxa"/>
                  <w:tcBorders>
                    <w:tl2br w:val="nil"/>
                    <w:tr2bl w:val="nil"/>
                  </w:tcBorders>
                  <w:vAlign w:val="center"/>
                </w:tcPr>
                <w:p>
                  <w:pPr>
                    <w:pStyle w:val="33"/>
                    <w:rPr>
                      <w:rFonts w:hint="eastAsia" w:eastAsia="宋体"/>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04" w:type="dxa"/>
                  <w:tcBorders>
                    <w:tl2br w:val="nil"/>
                    <w:tr2bl w:val="nil"/>
                  </w:tcBorders>
                  <w:vAlign w:val="center"/>
                </w:tcPr>
                <w:p>
                  <w:pPr>
                    <w:pStyle w:val="33"/>
                  </w:pPr>
                  <w:r>
                    <w:rPr>
                      <w:rFonts w:hint="eastAsia"/>
                    </w:rPr>
                    <w:t>声环境</w:t>
                  </w:r>
                </w:p>
              </w:tc>
              <w:tc>
                <w:tcPr>
                  <w:tcW w:w="1483" w:type="dxa"/>
                  <w:tcBorders>
                    <w:tl2br w:val="nil"/>
                    <w:tr2bl w:val="nil"/>
                  </w:tcBorders>
                  <w:vAlign w:val="center"/>
                </w:tcPr>
                <w:p>
                  <w:pPr>
                    <w:pStyle w:val="33"/>
                  </w:pPr>
                  <w:r>
                    <w:t>等效连续A声级Leq（A）</w:t>
                  </w:r>
                </w:p>
              </w:tc>
              <w:tc>
                <w:tcPr>
                  <w:tcW w:w="1750" w:type="dxa"/>
                  <w:tcBorders>
                    <w:tl2br w:val="nil"/>
                    <w:tr2bl w:val="nil"/>
                  </w:tcBorders>
                  <w:vAlign w:val="center"/>
                </w:tcPr>
                <w:p>
                  <w:pPr>
                    <w:pStyle w:val="33"/>
                  </w:pPr>
                  <w:r>
                    <w:t>厂界四周1m处</w:t>
                  </w:r>
                </w:p>
              </w:tc>
              <w:tc>
                <w:tcPr>
                  <w:tcW w:w="1057" w:type="dxa"/>
                  <w:tcBorders>
                    <w:tl2br w:val="nil"/>
                    <w:tr2bl w:val="nil"/>
                  </w:tcBorders>
                  <w:vAlign w:val="center"/>
                </w:tcPr>
                <w:p>
                  <w:pPr>
                    <w:pStyle w:val="33"/>
                  </w:pPr>
                  <w:r>
                    <w:t>1次/季</w:t>
                  </w:r>
                </w:p>
                <w:p>
                  <w:pPr>
                    <w:pStyle w:val="33"/>
                  </w:pPr>
                  <w:r>
                    <w:rPr>
                      <w:rFonts w:hint="eastAsia"/>
                    </w:rPr>
                    <w:t>（昼夜各1次）</w:t>
                  </w:r>
                </w:p>
              </w:tc>
              <w:tc>
                <w:tcPr>
                  <w:tcW w:w="3612" w:type="dxa"/>
                  <w:tcBorders>
                    <w:tl2br w:val="nil"/>
                    <w:tr2bl w:val="nil"/>
                  </w:tcBorders>
                  <w:vAlign w:val="center"/>
                </w:tcPr>
                <w:p>
                  <w:pPr>
                    <w:pStyle w:val="33"/>
                  </w:pPr>
                  <w:r>
                    <w:t>《工业企业厂界环境噪声排放标准》（GB</w:t>
                  </w:r>
                  <w:r>
                    <w:rPr>
                      <w:rFonts w:hint="eastAsia"/>
                    </w:rPr>
                    <w:t xml:space="preserve"> </w:t>
                  </w:r>
                  <w:r>
                    <w:t>12348</w:t>
                  </w:r>
                  <w:r>
                    <w:rPr>
                      <w:rFonts w:hint="eastAsia"/>
                    </w:rPr>
                    <w:t>—</w:t>
                  </w:r>
                  <w:r>
                    <w:t>2008）中的</w:t>
                  </w:r>
                  <w:r>
                    <w:rPr>
                      <w:rFonts w:hint="eastAsia"/>
                      <w:lang w:val="en-US" w:eastAsia="zh-CN"/>
                    </w:rPr>
                    <w:t>3</w:t>
                  </w:r>
                  <w:r>
                    <w:t>类标准</w:t>
                  </w:r>
                </w:p>
              </w:tc>
            </w:tr>
          </w:tbl>
          <w:p>
            <w:pPr>
              <w:bidi w:val="0"/>
              <w:ind w:left="0" w:leftChars="0" w:firstLine="0" w:firstLineChars="0"/>
              <w:rPr>
                <w:rFonts w:hint="default" w:eastAsia="宋体"/>
                <w:b/>
                <w:bCs/>
                <w:lang w:val="en-US" w:eastAsia="zh-CN"/>
              </w:rPr>
            </w:pPr>
            <w:r>
              <w:rPr>
                <w:rFonts w:hint="eastAsia"/>
                <w:b/>
                <w:bCs/>
                <w:lang w:val="en-US" w:eastAsia="zh-CN"/>
              </w:rPr>
              <w:t>4.6.3排污口规范化管理要求</w:t>
            </w:r>
          </w:p>
          <w:p>
            <w:pPr>
              <w:bidi w:val="0"/>
              <w:rPr>
                <w:rFonts w:hint="eastAsia"/>
              </w:rPr>
            </w:pPr>
            <w:r>
              <w:rPr>
                <w:rFonts w:hint="eastAsia"/>
                <w:lang w:val="en-US" w:eastAsia="zh-CN"/>
              </w:rPr>
              <w:t>根据《排污口规范化整治技术要求试行）》（国家环保局 环监〔</w:t>
            </w:r>
            <w:r>
              <w:rPr>
                <w:rFonts w:hint="default"/>
                <w:lang w:val="en-US" w:eastAsia="zh-CN"/>
              </w:rPr>
              <w:t>1996</w:t>
            </w:r>
            <w:r>
              <w:rPr>
                <w:rFonts w:hint="eastAsia"/>
                <w:lang w:val="en-US" w:eastAsia="zh-CN"/>
              </w:rPr>
              <w:t>〕</w:t>
            </w:r>
            <w:r>
              <w:rPr>
                <w:rFonts w:hint="default"/>
                <w:lang w:val="en-US" w:eastAsia="zh-CN"/>
              </w:rPr>
              <w:t xml:space="preserve">470 </w:t>
            </w:r>
            <w:r>
              <w:rPr>
                <w:rFonts w:hint="eastAsia"/>
                <w:lang w:val="en-US" w:eastAsia="zh-CN"/>
              </w:rPr>
              <w:t>号）以及锅炉排污单位执行的排放标准中有关排放口规范化设置的规定，按照国家标准《环境保护图形标志》(GB15562.1—</w:t>
            </w:r>
            <w:r>
              <w:rPr>
                <w:rFonts w:hint="default"/>
                <w:lang w:val="en-US" w:eastAsia="zh-CN"/>
              </w:rPr>
              <w:t>1995)(GB15562.2</w:t>
            </w:r>
            <w:r>
              <w:rPr>
                <w:rFonts w:hint="eastAsia"/>
                <w:lang w:val="en-US" w:eastAsia="zh-CN"/>
              </w:rPr>
              <w:t>—</w:t>
            </w:r>
            <w:r>
              <w:rPr>
                <w:rFonts w:hint="default"/>
                <w:lang w:val="en-US" w:eastAsia="zh-CN"/>
              </w:rPr>
              <w:t>1995)</w:t>
            </w:r>
            <w:r>
              <w:rPr>
                <w:rFonts w:hint="eastAsia"/>
                <w:lang w:val="en-US" w:eastAsia="zh-CN"/>
              </w:rPr>
              <w:t>的规定，设置与之相适应的环境保护图形标志牌。</w:t>
            </w:r>
          </w:p>
          <w:p>
            <w:pPr>
              <w:pStyle w:val="34"/>
            </w:pPr>
            <w:r>
              <w:t>表</w:t>
            </w:r>
            <w:r>
              <w:rPr>
                <w:rFonts w:hint="eastAsia"/>
              </w:rPr>
              <w:t>4-</w:t>
            </w:r>
            <w:r>
              <w:rPr>
                <w:rFonts w:hint="eastAsia"/>
                <w:lang w:val="en-US" w:eastAsia="zh-CN"/>
              </w:rPr>
              <w:t>11</w:t>
            </w:r>
            <w:r>
              <w:t xml:space="preserve">  </w:t>
            </w:r>
            <w:r>
              <w:rPr>
                <w:rFonts w:hint="eastAsia" w:eastAsia="宋体"/>
                <w:lang w:val="en-US" w:eastAsia="zh-CN"/>
              </w:rPr>
              <w:t>废水、废气、噪声排放源图形标志</w:t>
            </w:r>
            <w:r>
              <w:t>一览表</w:t>
            </w:r>
          </w:p>
          <w:tbl>
            <w:tblPr>
              <w:tblStyle w:val="21"/>
              <w:tblW w:w="8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3367"/>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tcBorders>
                    <w:tl2br w:val="nil"/>
                    <w:tr2bl w:val="nil"/>
                  </w:tcBorders>
                  <w:vAlign w:val="center"/>
                </w:tcPr>
                <w:p>
                  <w:pPr>
                    <w:pStyle w:val="33"/>
                    <w:rPr>
                      <w:rFonts w:hint="eastAsia" w:eastAsia="宋体"/>
                      <w:lang w:eastAsia="zh-CN"/>
                    </w:rPr>
                  </w:pPr>
                  <w:r>
                    <w:rPr>
                      <w:rFonts w:hint="eastAsia"/>
                      <w:lang w:val="en-US" w:eastAsia="zh-CN"/>
                    </w:rPr>
                    <w:t>名称</w:t>
                  </w:r>
                </w:p>
              </w:tc>
              <w:tc>
                <w:tcPr>
                  <w:tcW w:w="3367" w:type="dxa"/>
                  <w:tcBorders>
                    <w:tl2br w:val="nil"/>
                    <w:tr2bl w:val="nil"/>
                  </w:tcBorders>
                  <w:vAlign w:val="center"/>
                </w:tcPr>
                <w:p>
                  <w:pPr>
                    <w:pStyle w:val="33"/>
                    <w:rPr>
                      <w:rFonts w:hint="eastAsia" w:eastAsia="宋体"/>
                      <w:lang w:val="en-US" w:eastAsia="zh-CN"/>
                    </w:rPr>
                  </w:pPr>
                  <w:r>
                    <w:rPr>
                      <w:rFonts w:hint="eastAsia"/>
                      <w:lang w:val="en-US" w:eastAsia="zh-CN"/>
                    </w:rPr>
                    <w:t>提示图形符号</w:t>
                  </w:r>
                </w:p>
              </w:tc>
              <w:tc>
                <w:tcPr>
                  <w:tcW w:w="2957" w:type="dxa"/>
                  <w:tcBorders>
                    <w:tl2br w:val="nil"/>
                    <w:tr2bl w:val="nil"/>
                  </w:tcBorders>
                  <w:vAlign w:val="center"/>
                </w:tcPr>
                <w:p>
                  <w:pPr>
                    <w:pStyle w:val="33"/>
                    <w:rPr>
                      <w:rFonts w:hint="eastAsia" w:eastAsia="宋体"/>
                      <w:lang w:val="en-US" w:eastAsia="zh-CN"/>
                    </w:rPr>
                  </w:pPr>
                  <w:r>
                    <w:rPr>
                      <w:rFonts w:hint="eastAsia"/>
                      <w:lang w:val="en-US" w:eastAsia="zh-CN"/>
                    </w:rPr>
                    <w:t>警告图形符号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2285" w:type="dxa"/>
                  <w:tcBorders>
                    <w:tl2br w:val="nil"/>
                    <w:tr2bl w:val="nil"/>
                  </w:tcBorders>
                  <w:vAlign w:val="center"/>
                </w:tcPr>
                <w:p>
                  <w:pPr>
                    <w:pStyle w:val="33"/>
                    <w:rPr>
                      <w:rFonts w:hint="eastAsia" w:eastAsia="宋体"/>
                      <w:lang w:eastAsia="zh-CN"/>
                    </w:rPr>
                  </w:pPr>
                  <w:r>
                    <w:rPr>
                      <w:rFonts w:hint="eastAsia"/>
                      <w:lang w:val="en-US" w:eastAsia="zh-CN"/>
                    </w:rPr>
                    <w:t>污水排放口</w:t>
                  </w:r>
                </w:p>
              </w:tc>
              <w:tc>
                <w:tcPr>
                  <w:tcW w:w="3367" w:type="dxa"/>
                  <w:tcBorders>
                    <w:tl2br w:val="nil"/>
                    <w:tr2bl w:val="nil"/>
                  </w:tcBorders>
                  <w:vAlign w:val="center"/>
                </w:tcPr>
                <w:p>
                  <w:pPr>
                    <w:pStyle w:val="33"/>
                  </w:pPr>
                  <w:r>
                    <w:drawing>
                      <wp:inline distT="0" distB="0" distL="114300" distR="114300">
                        <wp:extent cx="1066800" cy="106680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7"/>
                                <a:stretch>
                                  <a:fillRect/>
                                </a:stretch>
                              </pic:blipFill>
                              <pic:spPr>
                                <a:xfrm>
                                  <a:off x="0" y="0"/>
                                  <a:ext cx="1066800" cy="1066800"/>
                                </a:xfrm>
                                <a:prstGeom prst="rect">
                                  <a:avLst/>
                                </a:prstGeom>
                                <a:noFill/>
                                <a:ln>
                                  <a:noFill/>
                                </a:ln>
                              </pic:spPr>
                            </pic:pic>
                          </a:graphicData>
                        </a:graphic>
                      </wp:inline>
                    </w:drawing>
                  </w:r>
                </w:p>
              </w:tc>
              <w:tc>
                <w:tcPr>
                  <w:tcW w:w="2957" w:type="dxa"/>
                  <w:tcBorders>
                    <w:tl2br w:val="nil"/>
                    <w:tr2bl w:val="nil"/>
                  </w:tcBorders>
                  <w:vAlign w:val="center"/>
                </w:tcPr>
                <w:p>
                  <w:pPr>
                    <w:pStyle w:val="33"/>
                    <w:rPr>
                      <w:rFonts w:hint="eastAsia" w:eastAsia="宋体"/>
                      <w:lang w:eastAsia="zh-CN"/>
                    </w:rPr>
                  </w:pPr>
                  <w:r>
                    <w:drawing>
                      <wp:inline distT="0" distB="0" distL="114300" distR="114300">
                        <wp:extent cx="1114425" cy="1028700"/>
                        <wp:effectExtent l="0" t="0" r="9525"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1114425" cy="1028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tcBorders>
                    <w:tl2br w:val="nil"/>
                    <w:tr2bl w:val="nil"/>
                  </w:tcBorders>
                  <w:vAlign w:val="center"/>
                </w:tcPr>
                <w:p>
                  <w:pPr>
                    <w:pStyle w:val="33"/>
                    <w:rPr>
                      <w:rFonts w:hint="eastAsia" w:eastAsia="宋体"/>
                      <w:lang w:eastAsia="zh-CN"/>
                    </w:rPr>
                  </w:pPr>
                  <w:r>
                    <w:rPr>
                      <w:rFonts w:hint="eastAsia"/>
                      <w:lang w:val="en-US" w:eastAsia="zh-CN"/>
                    </w:rPr>
                    <w:t>废气排放口</w:t>
                  </w:r>
                </w:p>
              </w:tc>
              <w:tc>
                <w:tcPr>
                  <w:tcW w:w="3367" w:type="dxa"/>
                  <w:tcBorders>
                    <w:tl2br w:val="nil"/>
                    <w:tr2bl w:val="nil"/>
                  </w:tcBorders>
                  <w:vAlign w:val="center"/>
                </w:tcPr>
                <w:p>
                  <w:pPr>
                    <w:pStyle w:val="33"/>
                  </w:pPr>
                  <w:r>
                    <w:drawing>
                      <wp:inline distT="0" distB="0" distL="114300" distR="114300">
                        <wp:extent cx="1057275" cy="1047750"/>
                        <wp:effectExtent l="0" t="0" r="952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9"/>
                                <a:stretch>
                                  <a:fillRect/>
                                </a:stretch>
                              </pic:blipFill>
                              <pic:spPr>
                                <a:xfrm>
                                  <a:off x="0" y="0"/>
                                  <a:ext cx="1057275" cy="1047750"/>
                                </a:xfrm>
                                <a:prstGeom prst="rect">
                                  <a:avLst/>
                                </a:prstGeom>
                                <a:noFill/>
                                <a:ln>
                                  <a:noFill/>
                                </a:ln>
                              </pic:spPr>
                            </pic:pic>
                          </a:graphicData>
                        </a:graphic>
                      </wp:inline>
                    </w:drawing>
                  </w:r>
                </w:p>
              </w:tc>
              <w:tc>
                <w:tcPr>
                  <w:tcW w:w="2957" w:type="dxa"/>
                  <w:tcBorders>
                    <w:tl2br w:val="nil"/>
                    <w:tr2bl w:val="nil"/>
                  </w:tcBorders>
                  <w:vAlign w:val="center"/>
                </w:tcPr>
                <w:p>
                  <w:pPr>
                    <w:pStyle w:val="33"/>
                  </w:pPr>
                  <w:r>
                    <w:drawing>
                      <wp:inline distT="0" distB="0" distL="114300" distR="114300">
                        <wp:extent cx="1123950" cy="1028700"/>
                        <wp:effectExtent l="0" t="0" r="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0"/>
                                <a:stretch>
                                  <a:fillRect/>
                                </a:stretch>
                              </pic:blipFill>
                              <pic:spPr>
                                <a:xfrm>
                                  <a:off x="0" y="0"/>
                                  <a:ext cx="1123950" cy="1028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5" w:type="dxa"/>
                  <w:tcBorders>
                    <w:tl2br w:val="nil"/>
                    <w:tr2bl w:val="nil"/>
                  </w:tcBorders>
                  <w:vAlign w:val="center"/>
                </w:tcPr>
                <w:p>
                  <w:pPr>
                    <w:pStyle w:val="33"/>
                    <w:rPr>
                      <w:rFonts w:hint="default" w:eastAsia="宋体"/>
                      <w:lang w:val="en-US" w:eastAsia="zh-CN"/>
                    </w:rPr>
                  </w:pPr>
                  <w:r>
                    <w:rPr>
                      <w:rFonts w:hint="eastAsia"/>
                      <w:lang w:val="en-US" w:eastAsia="zh-CN"/>
                    </w:rPr>
                    <w:t>噪声排放源</w:t>
                  </w:r>
                </w:p>
              </w:tc>
              <w:tc>
                <w:tcPr>
                  <w:tcW w:w="3367" w:type="dxa"/>
                  <w:tcBorders>
                    <w:tl2br w:val="nil"/>
                    <w:tr2bl w:val="nil"/>
                  </w:tcBorders>
                  <w:vAlign w:val="center"/>
                </w:tcPr>
                <w:p>
                  <w:pPr>
                    <w:pStyle w:val="33"/>
                  </w:pPr>
                  <w:r>
                    <w:drawing>
                      <wp:inline distT="0" distB="0" distL="114300" distR="114300">
                        <wp:extent cx="1047750" cy="1038225"/>
                        <wp:effectExtent l="0" t="0" r="0"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1"/>
                                <a:stretch>
                                  <a:fillRect/>
                                </a:stretch>
                              </pic:blipFill>
                              <pic:spPr>
                                <a:xfrm>
                                  <a:off x="0" y="0"/>
                                  <a:ext cx="1047750" cy="1038225"/>
                                </a:xfrm>
                                <a:prstGeom prst="rect">
                                  <a:avLst/>
                                </a:prstGeom>
                                <a:noFill/>
                                <a:ln>
                                  <a:noFill/>
                                </a:ln>
                              </pic:spPr>
                            </pic:pic>
                          </a:graphicData>
                        </a:graphic>
                      </wp:inline>
                    </w:drawing>
                  </w:r>
                </w:p>
              </w:tc>
              <w:tc>
                <w:tcPr>
                  <w:tcW w:w="2957" w:type="dxa"/>
                  <w:tcBorders>
                    <w:tl2br w:val="nil"/>
                    <w:tr2bl w:val="nil"/>
                  </w:tcBorders>
                  <w:vAlign w:val="center"/>
                </w:tcPr>
                <w:p>
                  <w:pPr>
                    <w:pStyle w:val="33"/>
                  </w:pPr>
                  <w:r>
                    <w:drawing>
                      <wp:inline distT="0" distB="0" distL="114300" distR="114300">
                        <wp:extent cx="1114425" cy="1019175"/>
                        <wp:effectExtent l="0" t="0" r="9525" b="952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2"/>
                                <a:stretch>
                                  <a:fillRect/>
                                </a:stretch>
                              </pic:blipFill>
                              <pic:spPr>
                                <a:xfrm>
                                  <a:off x="0" y="0"/>
                                  <a:ext cx="1114425" cy="1019175"/>
                                </a:xfrm>
                                <a:prstGeom prst="rect">
                                  <a:avLst/>
                                </a:prstGeom>
                                <a:noFill/>
                                <a:ln>
                                  <a:noFill/>
                                </a:ln>
                              </pic:spPr>
                            </pic:pic>
                          </a:graphicData>
                        </a:graphic>
                      </wp:inline>
                    </w:drawing>
                  </w:r>
                </w:p>
              </w:tc>
            </w:tr>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环保投资</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本工程总投资约</w:t>
            </w:r>
            <w:r>
              <w:rPr>
                <w:rFonts w:hint="eastAsia"/>
                <w:color w:val="000000" w:themeColor="text1"/>
                <w:lang w:val="en-US" w:eastAsia="zh-CN"/>
                <w14:textFill>
                  <w14:solidFill>
                    <w14:schemeClr w14:val="tx1"/>
                  </w14:solidFill>
                </w14:textFill>
              </w:rPr>
              <w:t>80</w:t>
            </w:r>
            <w:r>
              <w:rPr>
                <w:rFonts w:hint="eastAsia"/>
                <w:color w:val="000000" w:themeColor="text1"/>
                <w14:textFill>
                  <w14:solidFill>
                    <w14:schemeClr w14:val="tx1"/>
                  </w14:solidFill>
                </w14:textFill>
              </w:rPr>
              <w:t>万元，其中环保投资</w:t>
            </w:r>
            <w:r>
              <w:rPr>
                <w:rFonts w:hint="eastAsia"/>
                <w:color w:val="000000" w:themeColor="text1"/>
                <w:lang w:val="en-US" w:eastAsia="zh-CN"/>
                <w14:textFill>
                  <w14:solidFill>
                    <w14:schemeClr w14:val="tx1"/>
                  </w14:solidFill>
                </w14:textFill>
              </w:rPr>
              <w:t>18</w:t>
            </w:r>
            <w:r>
              <w:rPr>
                <w:rFonts w:hint="eastAsia"/>
                <w:color w:val="000000" w:themeColor="text1"/>
                <w14:textFill>
                  <w14:solidFill>
                    <w14:schemeClr w14:val="tx1"/>
                  </w14:solidFill>
                </w14:textFill>
              </w:rPr>
              <w:t>万元，占总投资的</w:t>
            </w:r>
            <w:r>
              <w:rPr>
                <w:rFonts w:hint="eastAsia"/>
                <w:color w:val="000000" w:themeColor="text1"/>
                <w:lang w:val="en-US" w:eastAsia="zh-CN"/>
                <w14:textFill>
                  <w14:solidFill>
                    <w14:schemeClr w14:val="tx1"/>
                  </w14:solidFill>
                </w14:textFill>
              </w:rPr>
              <w:t>22.5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。环保投资估算一览表见表</w:t>
            </w: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w:t>
            </w:r>
          </w:p>
          <w:p>
            <w:pPr>
              <w:pStyle w:val="34"/>
              <w:bidi w:val="0"/>
            </w:pPr>
            <w:r>
              <w:rPr>
                <w:rFonts w:hint="eastAsia"/>
              </w:rPr>
              <w:t>表4</w:t>
            </w:r>
            <w:r>
              <w:t>-</w:t>
            </w:r>
            <w:r>
              <w:rPr>
                <w:rFonts w:hint="eastAsia"/>
              </w:rPr>
              <w:t>1</w:t>
            </w:r>
            <w:r>
              <w:rPr>
                <w:rFonts w:hint="eastAsia"/>
                <w:lang w:val="en-US" w:eastAsia="zh-CN"/>
              </w:rPr>
              <w:t>2</w:t>
            </w:r>
            <w:r>
              <w:rPr>
                <w:rFonts w:hint="eastAsia"/>
              </w:rPr>
              <w:t xml:space="preserve"> </w:t>
            </w:r>
            <w:r>
              <w:t xml:space="preserve"> </w:t>
            </w:r>
            <w:r>
              <w:rPr>
                <w:rFonts w:hint="eastAsia"/>
              </w:rPr>
              <w:t>环保投资一览表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1"/>
              <w:gridCol w:w="1392"/>
              <w:gridCol w:w="1300"/>
              <w:gridCol w:w="4149"/>
              <w:gridCol w:w="11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1" w:hRule="atLeast"/>
              </w:trPr>
              <w:tc>
                <w:tcPr>
                  <w:tcW w:w="1900" w:type="pct"/>
                  <w:gridSpan w:val="3"/>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tc>
                <w:tcPr>
                  <w:tcW w:w="2431"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治理措施</w:t>
                  </w:r>
                </w:p>
              </w:tc>
              <w:tc>
                <w:tcPr>
                  <w:tcW w:w="668"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投资</w:t>
                  </w:r>
                </w:p>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322" w:type="pct"/>
                  <w:vMerge w:val="restar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运营期环保措施</w:t>
                  </w:r>
                </w:p>
              </w:tc>
              <w:tc>
                <w:tcPr>
                  <w:tcW w:w="815"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761"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生产废气</w:t>
                  </w:r>
                </w:p>
              </w:tc>
              <w:tc>
                <w:tcPr>
                  <w:tcW w:w="2431" w:type="pct"/>
                  <w:tcBorders>
                    <w:tl2br w:val="nil"/>
                    <w:tr2bl w:val="nil"/>
                  </w:tcBorders>
                  <w:vAlign w:val="center"/>
                </w:tcPr>
                <w:p>
                  <w:pPr>
                    <w:pStyle w:val="26"/>
                    <w:rPr>
                      <w:color w:val="000000" w:themeColor="text1"/>
                      <w:szCs w:val="21"/>
                      <w14:textFill>
                        <w14:solidFill>
                          <w14:schemeClr w14:val="tx1"/>
                        </w14:solidFill>
                      </w14:textFill>
                    </w:rPr>
                  </w:pPr>
                  <w:r>
                    <w:rPr>
                      <w:rFonts w:hint="eastAsia"/>
                    </w:rPr>
                    <w:t>使用清洁能源天然气作为燃料</w:t>
                  </w:r>
                  <w:r>
                    <w:rPr>
                      <w:rFonts w:hint="eastAsia"/>
                      <w:lang w:eastAsia="zh-CN"/>
                    </w:rPr>
                    <w:t>，</w:t>
                  </w:r>
                  <w:r>
                    <w:rPr>
                      <w:rFonts w:hint="eastAsia"/>
                      <w:lang w:val="en-US" w:eastAsia="zh-CN"/>
                    </w:rPr>
                    <w:t>安装</w:t>
                  </w:r>
                  <w:r>
                    <w:rPr>
                      <w:rFonts w:hint="eastAsia"/>
                    </w:rPr>
                    <w:t>低氮燃烧器</w:t>
                  </w:r>
                  <w:r>
                    <w:rPr>
                      <w:rFonts w:hint="eastAsia"/>
                      <w:lang w:eastAsia="zh-CN"/>
                    </w:rPr>
                    <w:t>，</w:t>
                  </w:r>
                  <w:r>
                    <w:rPr>
                      <w:rFonts w:hint="eastAsia"/>
                      <w:lang w:val="en-US" w:eastAsia="zh-CN"/>
                    </w:rPr>
                    <w:t>烟气通过1根16</w:t>
                  </w:r>
                  <w:r>
                    <w:rPr>
                      <w:rFonts w:hint="eastAsia"/>
                    </w:rPr>
                    <w:t>m高排气筒</w:t>
                  </w:r>
                  <w:r>
                    <w:rPr>
                      <w:rFonts w:hint="eastAsia"/>
                      <w:lang w:val="en-US" w:eastAsia="zh-CN"/>
                    </w:rPr>
                    <w:t>排放</w:t>
                  </w:r>
                </w:p>
              </w:tc>
              <w:tc>
                <w:tcPr>
                  <w:tcW w:w="668" w:type="pct"/>
                  <w:tcBorders>
                    <w:tl2br w:val="nil"/>
                    <w:tr2bl w:val="nil"/>
                  </w:tcBorders>
                  <w:vAlign w:val="center"/>
                </w:tcPr>
                <w:p>
                  <w:pPr>
                    <w:pStyle w:val="26"/>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8" w:hRule="atLeast"/>
              </w:trPr>
              <w:tc>
                <w:tcPr>
                  <w:tcW w:w="322" w:type="pct"/>
                  <w:vMerge w:val="continue"/>
                  <w:tcBorders>
                    <w:tl2br w:val="nil"/>
                    <w:tr2bl w:val="nil"/>
                  </w:tcBorders>
                  <w:vAlign w:val="center"/>
                </w:tcPr>
                <w:p>
                  <w:pPr>
                    <w:pStyle w:val="26"/>
                    <w:rPr>
                      <w:color w:val="000000" w:themeColor="text1"/>
                      <w:szCs w:val="21"/>
                      <w14:textFill>
                        <w14:solidFill>
                          <w14:schemeClr w14:val="tx1"/>
                        </w14:solidFill>
                      </w14:textFill>
                    </w:rPr>
                  </w:pPr>
                </w:p>
              </w:tc>
              <w:tc>
                <w:tcPr>
                  <w:tcW w:w="815"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761" w:type="pct"/>
                  <w:tcBorders>
                    <w:tl2br w:val="nil"/>
                    <w:tr2bl w:val="nil"/>
                  </w:tcBorders>
                  <w:vAlign w:val="center"/>
                </w:tcPr>
                <w:p>
                  <w:pPr>
                    <w:pStyle w:val="26"/>
                    <w:rPr>
                      <w:color w:val="000000" w:themeColor="text1"/>
                      <w:szCs w:val="21"/>
                      <w14:textFill>
                        <w14:solidFill>
                          <w14:schemeClr w14:val="tx1"/>
                        </w14:solidFill>
                      </w14:textFill>
                    </w:rPr>
                  </w:pPr>
                  <w:r>
                    <w:rPr>
                      <w:rFonts w:hint="eastAsia"/>
                      <w:lang w:val="en-US" w:eastAsia="zh-CN"/>
                    </w:rPr>
                    <w:t>锅炉废</w:t>
                  </w:r>
                  <w:r>
                    <w:rPr>
                      <w:rFonts w:hint="eastAsia"/>
                    </w:rPr>
                    <w:t>水</w:t>
                  </w:r>
                  <w:r>
                    <w:rPr>
                      <w:rFonts w:hint="eastAsia"/>
                      <w:lang w:eastAsia="zh-CN"/>
                    </w:rPr>
                    <w:t>、</w:t>
                  </w:r>
                  <w:r>
                    <w:rPr>
                      <w:rFonts w:hint="eastAsia"/>
                      <w:lang w:val="en-US" w:eastAsia="zh-CN"/>
                    </w:rPr>
                    <w:t>软化水装置产生浓水</w:t>
                  </w:r>
                </w:p>
              </w:tc>
              <w:tc>
                <w:tcPr>
                  <w:tcW w:w="2431" w:type="pct"/>
                  <w:tcBorders>
                    <w:tl2br w:val="nil"/>
                    <w:tr2bl w:val="nil"/>
                  </w:tcBorders>
                  <w:vAlign w:val="center"/>
                </w:tcPr>
                <w:p>
                  <w:pPr>
                    <w:pStyle w:val="26"/>
                    <w:rPr>
                      <w:color w:val="000000" w:themeColor="text1"/>
                      <w:szCs w:val="21"/>
                      <w14:textFill>
                        <w14:solidFill>
                          <w14:schemeClr w14:val="tx1"/>
                        </w14:solidFill>
                      </w14:textFill>
                    </w:rPr>
                  </w:pPr>
                  <w:r>
                    <w:rPr>
                      <w:rFonts w:hint="eastAsia"/>
                      <w:kern w:val="0"/>
                      <w:szCs w:val="21"/>
                    </w:rPr>
                    <w:t>排入园区污水管网，进入园区污水处理厂处置</w:t>
                  </w:r>
                </w:p>
              </w:tc>
              <w:tc>
                <w:tcPr>
                  <w:tcW w:w="668" w:type="pct"/>
                  <w:tcBorders>
                    <w:tl2br w:val="nil"/>
                    <w:tr2bl w:val="nil"/>
                  </w:tcBorders>
                  <w:vAlign w:val="center"/>
                </w:tcPr>
                <w:p>
                  <w:pPr>
                    <w:pStyle w:val="26"/>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322" w:type="pct"/>
                  <w:vMerge w:val="continue"/>
                  <w:tcBorders>
                    <w:tl2br w:val="nil"/>
                    <w:tr2bl w:val="nil"/>
                  </w:tcBorders>
                  <w:vAlign w:val="center"/>
                </w:tcPr>
                <w:p>
                  <w:pPr>
                    <w:pStyle w:val="26"/>
                    <w:rPr>
                      <w:color w:val="000000" w:themeColor="text1"/>
                      <w:szCs w:val="21"/>
                      <w14:textFill>
                        <w14:solidFill>
                          <w14:schemeClr w14:val="tx1"/>
                        </w14:solidFill>
                      </w14:textFill>
                    </w:rPr>
                  </w:pPr>
                </w:p>
              </w:tc>
              <w:tc>
                <w:tcPr>
                  <w:tcW w:w="815"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761"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设备噪声</w:t>
                  </w:r>
                </w:p>
              </w:tc>
              <w:tc>
                <w:tcPr>
                  <w:tcW w:w="2431" w:type="pct"/>
                  <w:tcBorders>
                    <w:tl2br w:val="nil"/>
                    <w:tr2bl w:val="nil"/>
                  </w:tcBorders>
                  <w:vAlign w:val="center"/>
                </w:tcPr>
                <w:p>
                  <w:pPr>
                    <w:pStyle w:val="26"/>
                    <w:rPr>
                      <w:color w:val="000000" w:themeColor="text1"/>
                      <w:szCs w:val="21"/>
                      <w14:textFill>
                        <w14:solidFill>
                          <w14:schemeClr w14:val="tx1"/>
                        </w14:solidFill>
                      </w14:textFill>
                    </w:rPr>
                  </w:pPr>
                  <w:r>
                    <w:rPr>
                      <w:rFonts w:hint="eastAsia"/>
                    </w:rPr>
                    <w:t>基础减震、厂房隔声</w:t>
                  </w:r>
                </w:p>
              </w:tc>
              <w:tc>
                <w:tcPr>
                  <w:tcW w:w="668" w:type="pct"/>
                  <w:tcBorders>
                    <w:tl2br w:val="nil"/>
                    <w:tr2bl w:val="nil"/>
                  </w:tcBorders>
                  <w:vAlign w:val="center"/>
                </w:tcPr>
                <w:p>
                  <w:pPr>
                    <w:pStyle w:val="26"/>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322" w:type="pct"/>
                  <w:vMerge w:val="continue"/>
                  <w:tcBorders>
                    <w:tl2br w:val="nil"/>
                    <w:tr2bl w:val="nil"/>
                  </w:tcBorders>
                  <w:vAlign w:val="center"/>
                </w:tcPr>
                <w:p>
                  <w:pPr>
                    <w:pStyle w:val="26"/>
                    <w:rPr>
                      <w:color w:val="000000" w:themeColor="text1"/>
                      <w:szCs w:val="21"/>
                      <w14:textFill>
                        <w14:solidFill>
                          <w14:schemeClr w14:val="tx1"/>
                        </w14:solidFill>
                      </w14:textFill>
                    </w:rPr>
                  </w:pPr>
                </w:p>
              </w:tc>
              <w:tc>
                <w:tcPr>
                  <w:tcW w:w="815" w:type="pct"/>
                  <w:tcBorders>
                    <w:tl2br w:val="nil"/>
                    <w:tr2bl w:val="nil"/>
                  </w:tcBorders>
                  <w:vAlign w:val="center"/>
                </w:tcPr>
                <w:p>
                  <w:pPr>
                    <w:pStyle w:val="26"/>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固体废物</w:t>
                  </w:r>
                </w:p>
              </w:tc>
              <w:tc>
                <w:tcPr>
                  <w:tcW w:w="761" w:type="pct"/>
                  <w:tcBorders>
                    <w:tl2br w:val="nil"/>
                    <w:tr2bl w:val="nil"/>
                  </w:tcBorders>
                  <w:vAlign w:val="center"/>
                </w:tcPr>
                <w:p>
                  <w:pPr>
                    <w:pStyle w:val="26"/>
                    <w:rPr>
                      <w:rFonts w:hint="default" w:eastAsia="宋体"/>
                      <w:color w:val="000000" w:themeColor="text1"/>
                      <w:szCs w:val="21"/>
                      <w:lang w:val="en-US" w:eastAsia="zh-CN"/>
                      <w14:textFill>
                        <w14:solidFill>
                          <w14:schemeClr w14:val="tx1"/>
                        </w14:solidFill>
                      </w14:textFill>
                    </w:rPr>
                  </w:pPr>
                  <w:r>
                    <w:rPr>
                      <w:rFonts w:hint="eastAsia"/>
                    </w:rPr>
                    <w:t>一般固废</w:t>
                  </w:r>
                </w:p>
              </w:tc>
              <w:tc>
                <w:tcPr>
                  <w:tcW w:w="2431" w:type="pct"/>
                  <w:tcBorders>
                    <w:tl2br w:val="nil"/>
                    <w:tr2bl w:val="nil"/>
                  </w:tcBorders>
                  <w:vAlign w:val="center"/>
                </w:tcPr>
                <w:p>
                  <w:pPr>
                    <w:pStyle w:val="26"/>
                    <w:rPr>
                      <w:rFonts w:hint="eastAsia"/>
                      <w:color w:val="000000" w:themeColor="text1"/>
                      <w:szCs w:val="21"/>
                      <w14:textFill>
                        <w14:solidFill>
                          <w14:schemeClr w14:val="tx1"/>
                        </w14:solidFill>
                      </w14:textFill>
                    </w:rPr>
                  </w:pPr>
                  <w:r>
                    <w:rPr>
                      <w:rFonts w:hint="eastAsia"/>
                      <w:lang w:val="en-US" w:eastAsia="zh-CN"/>
                    </w:rPr>
                    <w:t>锅炉</w:t>
                  </w:r>
                  <w:r>
                    <w:rPr>
                      <w:rFonts w:hint="default"/>
                      <w:lang w:val="en-US" w:eastAsia="zh-CN"/>
                    </w:rPr>
                    <w:t>软化水</w:t>
                  </w:r>
                  <w:r>
                    <w:rPr>
                      <w:rFonts w:hint="default"/>
                    </w:rPr>
                    <w:t>装置</w:t>
                  </w:r>
                  <w:r>
                    <w:rPr>
                      <w:rFonts w:hint="eastAsia"/>
                    </w:rPr>
                    <w:t>产生</w:t>
                  </w:r>
                  <w:r>
                    <w:rPr>
                      <w:rFonts w:hint="eastAsia"/>
                      <w:lang w:val="en-US" w:eastAsia="zh-CN"/>
                    </w:rPr>
                    <w:t>的离子交换树脂由厂家进行定期更换回收，不在厂区内贮存</w:t>
                  </w:r>
                </w:p>
              </w:tc>
              <w:tc>
                <w:tcPr>
                  <w:tcW w:w="668" w:type="pct"/>
                  <w:tcBorders>
                    <w:tl2br w:val="nil"/>
                    <w:tr2bl w:val="nil"/>
                  </w:tcBorders>
                  <w:vAlign w:val="center"/>
                </w:tcPr>
                <w:p>
                  <w:pPr>
                    <w:pStyle w:val="26"/>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5" w:hRule="atLeast"/>
              </w:trPr>
              <w:tc>
                <w:tcPr>
                  <w:tcW w:w="322" w:type="pct"/>
                  <w:vMerge w:val="continue"/>
                  <w:tcBorders>
                    <w:tl2br w:val="nil"/>
                    <w:tr2bl w:val="nil"/>
                  </w:tcBorders>
                  <w:vAlign w:val="center"/>
                </w:tcPr>
                <w:p>
                  <w:pPr>
                    <w:pStyle w:val="26"/>
                    <w:rPr>
                      <w:color w:val="000000" w:themeColor="text1"/>
                      <w:szCs w:val="21"/>
                      <w14:textFill>
                        <w14:solidFill>
                          <w14:schemeClr w14:val="tx1"/>
                        </w14:solidFill>
                      </w14:textFill>
                    </w:rPr>
                  </w:pPr>
                </w:p>
              </w:tc>
              <w:tc>
                <w:tcPr>
                  <w:tcW w:w="815" w:type="pct"/>
                  <w:tcBorders>
                    <w:tl2br w:val="nil"/>
                    <w:tr2bl w:val="nil"/>
                  </w:tcBorders>
                  <w:vAlign w:val="center"/>
                </w:tcPr>
                <w:p>
                  <w:pPr>
                    <w:pStyle w:val="26"/>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环境风险</w:t>
                  </w:r>
                  <w:r>
                    <w:rPr>
                      <w:rFonts w:hint="eastAsia"/>
                      <w:color w:val="000000" w:themeColor="text1"/>
                      <w:szCs w:val="21"/>
                      <w:lang w:val="en-US" w:eastAsia="zh-CN"/>
                      <w14:textFill>
                        <w14:solidFill>
                          <w14:schemeClr w14:val="tx1"/>
                        </w14:solidFill>
                      </w14:textFill>
                    </w:rPr>
                    <w:t>防范</w:t>
                  </w:r>
                </w:p>
              </w:tc>
              <w:tc>
                <w:tcPr>
                  <w:tcW w:w="3193" w:type="pct"/>
                  <w:gridSpan w:val="2"/>
                  <w:tcBorders>
                    <w:tl2br w:val="nil"/>
                    <w:tr2bl w:val="nil"/>
                  </w:tcBorders>
                  <w:vAlign w:val="center"/>
                </w:tcPr>
                <w:p>
                  <w:pPr>
                    <w:pStyle w:val="26"/>
                    <w:rPr>
                      <w:rFonts w:hint="default" w:eastAsia="宋体"/>
                      <w:color w:val="000000"/>
                      <w:szCs w:val="21"/>
                      <w:lang w:val="en-US" w:eastAsia="zh-CN"/>
                    </w:rPr>
                  </w:pPr>
                  <w:r>
                    <w:rPr>
                      <w:rFonts w:hint="eastAsia" w:ascii="Times New Roman" w:hAnsi="Times New Roman"/>
                      <w:sz w:val="21"/>
                      <w:szCs w:val="21"/>
                      <w:lang w:val="en-US" w:eastAsia="zh-CN"/>
                    </w:rPr>
                    <w:t>及时修编</w:t>
                  </w:r>
                  <w:r>
                    <w:rPr>
                      <w:rFonts w:hint="eastAsia" w:ascii="Times New Roman" w:hAnsi="Times New Roman" w:eastAsia="宋体"/>
                      <w:sz w:val="21"/>
                      <w:szCs w:val="21"/>
                      <w:lang w:eastAsia="zh-CN"/>
                    </w:rPr>
                    <w:t>突发环境事件应急预案并在当地环保部门备案</w:t>
                  </w:r>
                  <w:r>
                    <w:rPr>
                      <w:rFonts w:hint="eastAsia" w:ascii="Times New Roman" w:hAnsi="Times New Roman"/>
                      <w:sz w:val="21"/>
                      <w:szCs w:val="21"/>
                      <w:lang w:eastAsia="zh-CN"/>
                    </w:rPr>
                    <w:t>，</w:t>
                  </w:r>
                  <w:r>
                    <w:rPr>
                      <w:rFonts w:hint="eastAsia" w:ascii="Times New Roman" w:hAnsi="Times New Roman"/>
                      <w:sz w:val="21"/>
                      <w:szCs w:val="21"/>
                      <w:lang w:val="en-US" w:eastAsia="zh-CN"/>
                    </w:rPr>
                    <w:t>定期开展环境风险事故防范演练</w:t>
                  </w:r>
                </w:p>
              </w:tc>
              <w:tc>
                <w:tcPr>
                  <w:tcW w:w="668" w:type="pct"/>
                  <w:tcBorders>
                    <w:tl2br w:val="nil"/>
                    <w:tr2bl w:val="nil"/>
                  </w:tcBorders>
                  <w:vAlign w:val="center"/>
                </w:tcPr>
                <w:p>
                  <w:pPr>
                    <w:pStyle w:val="26"/>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26" w:hRule="atLeast"/>
              </w:trPr>
              <w:tc>
                <w:tcPr>
                  <w:tcW w:w="322" w:type="pct"/>
                  <w:vMerge w:val="continue"/>
                  <w:tcBorders>
                    <w:tl2br w:val="nil"/>
                    <w:tr2bl w:val="nil"/>
                  </w:tcBorders>
                  <w:vAlign w:val="center"/>
                </w:tcPr>
                <w:p>
                  <w:pPr>
                    <w:pStyle w:val="26"/>
                    <w:rPr>
                      <w:color w:val="000000" w:themeColor="text1"/>
                      <w:szCs w:val="21"/>
                      <w14:textFill>
                        <w14:solidFill>
                          <w14:schemeClr w14:val="tx1"/>
                        </w14:solidFill>
                      </w14:textFill>
                    </w:rPr>
                  </w:pPr>
                </w:p>
              </w:tc>
              <w:tc>
                <w:tcPr>
                  <w:tcW w:w="815" w:type="pct"/>
                  <w:tcBorders>
                    <w:tl2br w:val="nil"/>
                    <w:tr2bl w:val="nil"/>
                  </w:tcBorders>
                  <w:vAlign w:val="center"/>
                </w:tcPr>
                <w:p>
                  <w:pPr>
                    <w:pStyle w:val="26"/>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环境管理和</w:t>
                  </w:r>
                  <w:r>
                    <w:rPr>
                      <w:rFonts w:hint="eastAsia"/>
                      <w:color w:val="000000" w:themeColor="text1"/>
                      <w:szCs w:val="21"/>
                      <w:lang w:val="en-US" w:eastAsia="zh-CN"/>
                      <w14:textFill>
                        <w14:solidFill>
                          <w14:schemeClr w14:val="tx1"/>
                        </w14:solidFill>
                      </w14:textFill>
                    </w:rPr>
                    <w:t>监测</w:t>
                  </w:r>
                </w:p>
              </w:tc>
              <w:tc>
                <w:tcPr>
                  <w:tcW w:w="3193" w:type="pct"/>
                  <w:gridSpan w:val="2"/>
                  <w:tcBorders>
                    <w:tl2br w:val="nil"/>
                    <w:tr2bl w:val="nil"/>
                  </w:tcBorders>
                  <w:vAlign w:val="center"/>
                </w:tcPr>
                <w:p>
                  <w:pPr>
                    <w:pStyle w:val="26"/>
                    <w:rPr>
                      <w:color w:val="000000"/>
                      <w:szCs w:val="21"/>
                    </w:rPr>
                  </w:pPr>
                  <w:r>
                    <w:rPr>
                      <w:rFonts w:hint="eastAsia" w:ascii="Times New Roman" w:hAnsi="Times New Roman" w:eastAsia="宋体"/>
                      <w:sz w:val="21"/>
                      <w:szCs w:val="21"/>
                      <w:lang w:eastAsia="zh-CN"/>
                    </w:rPr>
                    <w:t>制定</w:t>
                  </w:r>
                  <w:r>
                    <w:rPr>
                      <w:rFonts w:hint="eastAsia" w:ascii="Times New Roman" w:hAnsi="Times New Roman" w:eastAsia="宋体"/>
                      <w:sz w:val="21"/>
                      <w:szCs w:val="21"/>
                      <w:lang w:val="en-US" w:eastAsia="zh-CN"/>
                    </w:rPr>
                    <w:t>环保</w:t>
                  </w:r>
                  <w:r>
                    <w:rPr>
                      <w:rFonts w:hint="eastAsia" w:ascii="Times New Roman" w:hAnsi="Times New Roman" w:eastAsia="宋体"/>
                      <w:sz w:val="21"/>
                      <w:szCs w:val="21"/>
                      <w:lang w:eastAsia="zh-CN"/>
                    </w:rPr>
                    <w:t>相关规章制度，设环保机构，配备环保专业管理人员至少1名</w:t>
                  </w:r>
                  <w:r>
                    <w:rPr>
                      <w:rFonts w:hint="eastAsia" w:ascii="Times New Roman" w:hAnsi="Times New Roman"/>
                      <w:sz w:val="21"/>
                      <w:szCs w:val="21"/>
                      <w:lang w:eastAsia="zh-CN"/>
                    </w:rPr>
                    <w:t>，</w:t>
                  </w:r>
                  <w:r>
                    <w:rPr>
                      <w:rFonts w:hint="eastAsia" w:ascii="Times New Roman" w:hAnsi="Times New Roman"/>
                      <w:sz w:val="21"/>
                      <w:szCs w:val="21"/>
                      <w:lang w:val="en-US" w:eastAsia="zh-CN"/>
                    </w:rPr>
                    <w:t>维护环保设施稳定运行</w:t>
                  </w:r>
                  <w:r>
                    <w:rPr>
                      <w:rFonts w:hint="eastAsia"/>
                      <w:color w:val="000000"/>
                      <w:szCs w:val="21"/>
                      <w:lang w:eastAsia="zh-CN"/>
                    </w:rPr>
                    <w:t>；</w:t>
                  </w:r>
                  <w:r>
                    <w:rPr>
                      <w:rFonts w:hint="eastAsia"/>
                      <w:color w:val="000000"/>
                      <w:szCs w:val="21"/>
                    </w:rPr>
                    <w:t>落实环境监测计划，对废气、废水、噪声等排放进行监测和控制</w:t>
                  </w:r>
                </w:p>
              </w:tc>
              <w:tc>
                <w:tcPr>
                  <w:tcW w:w="668" w:type="pct"/>
                  <w:tcBorders>
                    <w:tl2br w:val="nil"/>
                    <w:tr2bl w:val="nil"/>
                  </w:tcBorders>
                  <w:vAlign w:val="center"/>
                </w:tcPr>
                <w:p>
                  <w:pPr>
                    <w:pStyle w:val="26"/>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0" w:hRule="atLeast"/>
              </w:trPr>
              <w:tc>
                <w:tcPr>
                  <w:tcW w:w="4331" w:type="pct"/>
                  <w:gridSpan w:val="4"/>
                  <w:tcBorders>
                    <w:tl2br w:val="nil"/>
                    <w:tr2bl w:val="nil"/>
                  </w:tcBorders>
                  <w:vAlign w:val="center"/>
                </w:tcPr>
                <w:p>
                  <w:pPr>
                    <w:pStyle w:val="26"/>
                    <w:rPr>
                      <w:rFonts w:ascii="宋体" w:cs="宋体" w:hAnsiTheme="minorHAnsi"/>
                      <w:color w:val="000000" w:themeColor="text1"/>
                      <w:kern w:val="0"/>
                      <w:szCs w:val="21"/>
                      <w14:textFill>
                        <w14:solidFill>
                          <w14:schemeClr w14:val="tx1"/>
                        </w14:solidFill>
                      </w14:textFill>
                    </w:rPr>
                  </w:pPr>
                  <w:r>
                    <w:rPr>
                      <w:rFonts w:hint="eastAsia" w:ascii="宋体" w:cs="宋体" w:hAnsiTheme="minorHAnsi"/>
                      <w:color w:val="000000" w:themeColor="text1"/>
                      <w:kern w:val="0"/>
                      <w:szCs w:val="21"/>
                      <w14:textFill>
                        <w14:solidFill>
                          <w14:schemeClr w14:val="tx1"/>
                        </w14:solidFill>
                      </w14:textFill>
                    </w:rPr>
                    <w:t>合计</w:t>
                  </w:r>
                </w:p>
              </w:tc>
              <w:tc>
                <w:tcPr>
                  <w:tcW w:w="668" w:type="pct"/>
                  <w:tcBorders>
                    <w:tl2br w:val="nil"/>
                    <w:tr2bl w:val="nil"/>
                  </w:tcBorders>
                  <w:vAlign w:val="center"/>
                </w:tcPr>
                <w:p>
                  <w:pPr>
                    <w:pStyle w:val="26"/>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p>
              </w:tc>
            </w:tr>
          </w:tbl>
          <w:p>
            <w:pPr>
              <w:pStyle w:val="5"/>
              <w:rPr>
                <w:rFonts w:cs="Times New Roman"/>
              </w:rPr>
            </w:pPr>
            <w:bookmarkStart w:id="18" w:name="_Toc46264568"/>
            <w:r>
              <w:rPr>
                <w:rFonts w:hint="eastAsia" w:cs="Times New Roman"/>
              </w:rPr>
              <w:t>4.</w:t>
            </w:r>
            <w:r>
              <w:rPr>
                <w:rFonts w:hint="eastAsia" w:cs="Times New Roman"/>
                <w:lang w:val="en-US" w:eastAsia="zh-CN"/>
              </w:rPr>
              <w:t>8</w:t>
            </w:r>
            <w:r>
              <w:rPr>
                <w:rFonts w:cs="Times New Roman"/>
              </w:rPr>
              <w:t>项目</w:t>
            </w:r>
            <w:r>
              <w:rPr>
                <w:rFonts w:hint="eastAsia" w:cs="Times New Roman"/>
                <w:lang w:eastAsia="zh-CN"/>
              </w:rPr>
              <w:t>“</w:t>
            </w:r>
            <w:r>
              <w:rPr>
                <w:rFonts w:cs="Times New Roman"/>
              </w:rPr>
              <w:t>三同时</w:t>
            </w:r>
            <w:r>
              <w:rPr>
                <w:rFonts w:hint="eastAsia" w:cs="Times New Roman"/>
                <w:lang w:eastAsia="zh-CN"/>
              </w:rPr>
              <w:t>”</w:t>
            </w:r>
            <w:r>
              <w:rPr>
                <w:rFonts w:cs="Times New Roman"/>
              </w:rPr>
              <w:t>验收</w:t>
            </w:r>
            <w:bookmarkEnd w:id="18"/>
          </w:p>
          <w:p>
            <w:pPr>
              <w:ind w:firstLine="480"/>
              <w:rPr>
                <w:rFonts w:cs="Times New Roman"/>
                <w:color w:val="000000"/>
                <w:kern w:val="0"/>
                <w:szCs w:val="20"/>
              </w:rPr>
            </w:pPr>
            <w:r>
              <w:rPr>
                <w:rFonts w:cs="Times New Roman"/>
                <w:color w:val="000000"/>
                <w:kern w:val="0"/>
                <w:szCs w:val="20"/>
              </w:rPr>
              <w:t>根据《中华人民共和国环境保护法》规定，建设项目污染防治设施必须与主体工程同时设计、同时施工、同时投入运行，而污染防治设施建设</w:t>
            </w:r>
            <w:r>
              <w:rPr>
                <w:rFonts w:hint="eastAsia" w:cs="Times New Roman"/>
                <w:color w:val="000000"/>
                <w:kern w:val="0"/>
                <w:szCs w:val="20"/>
                <w:lang w:eastAsia="zh-CN"/>
              </w:rPr>
              <w:t>“</w:t>
            </w:r>
            <w:r>
              <w:rPr>
                <w:rFonts w:cs="Times New Roman"/>
                <w:color w:val="000000"/>
                <w:kern w:val="0"/>
                <w:szCs w:val="20"/>
              </w:rPr>
              <w:t>三同时</w:t>
            </w:r>
            <w:r>
              <w:rPr>
                <w:rFonts w:hint="eastAsia" w:cs="Times New Roman"/>
                <w:color w:val="000000"/>
                <w:kern w:val="0"/>
                <w:szCs w:val="20"/>
                <w:lang w:eastAsia="zh-CN"/>
              </w:rPr>
              <w:t>”</w:t>
            </w:r>
            <w:r>
              <w:rPr>
                <w:rFonts w:cs="Times New Roman"/>
                <w:color w:val="000000"/>
                <w:kern w:val="0"/>
                <w:szCs w:val="20"/>
              </w:rPr>
              <w:t>验收是严格控制新污染源和污染物排放总量、遏制环境恶化趋势的有力措施。</w:t>
            </w:r>
            <w:r>
              <w:rPr>
                <w:rFonts w:hint="eastAsia" w:cs="Times New Roman"/>
                <w:color w:val="000000"/>
                <w:kern w:val="0"/>
                <w:szCs w:val="20"/>
                <w:lang w:eastAsia="zh-CN"/>
              </w:rPr>
              <w:t>“</w:t>
            </w:r>
            <w:r>
              <w:rPr>
                <w:rFonts w:cs="Times New Roman"/>
                <w:color w:val="000000"/>
                <w:kern w:val="0"/>
                <w:szCs w:val="20"/>
              </w:rPr>
              <w:t>三同时</w:t>
            </w:r>
            <w:r>
              <w:rPr>
                <w:rFonts w:hint="eastAsia" w:cs="Times New Roman"/>
                <w:color w:val="000000"/>
                <w:kern w:val="0"/>
                <w:szCs w:val="20"/>
                <w:lang w:eastAsia="zh-CN"/>
              </w:rPr>
              <w:t>”</w:t>
            </w:r>
            <w:r>
              <w:rPr>
                <w:rFonts w:cs="Times New Roman"/>
                <w:color w:val="000000"/>
                <w:kern w:val="0"/>
                <w:szCs w:val="20"/>
              </w:rPr>
              <w:t>验收具体见下表</w:t>
            </w:r>
            <w:r>
              <w:rPr>
                <w:rFonts w:hint="eastAsia" w:cs="Times New Roman"/>
                <w:color w:val="000000"/>
                <w:kern w:val="0"/>
                <w:szCs w:val="20"/>
              </w:rPr>
              <w:t>4-1</w:t>
            </w:r>
            <w:r>
              <w:rPr>
                <w:rFonts w:hint="eastAsia" w:cs="Times New Roman"/>
                <w:color w:val="000000"/>
                <w:kern w:val="0"/>
                <w:szCs w:val="20"/>
                <w:lang w:val="en-US" w:eastAsia="zh-CN"/>
              </w:rPr>
              <w:t>3</w:t>
            </w:r>
            <w:r>
              <w:rPr>
                <w:rFonts w:cs="Times New Roman"/>
                <w:color w:val="000000"/>
                <w:kern w:val="0"/>
                <w:szCs w:val="20"/>
              </w:rPr>
              <w:t>。</w:t>
            </w:r>
          </w:p>
          <w:p>
            <w:pPr>
              <w:ind w:firstLine="480"/>
              <w:rPr>
                <w:rFonts w:cs="Times New Roman"/>
              </w:rPr>
            </w:pPr>
            <w:r>
              <w:rPr>
                <w:rFonts w:cs="Times New Roman"/>
                <w:color w:val="000000"/>
                <w:kern w:val="0"/>
                <w:szCs w:val="20"/>
              </w:rPr>
              <w:t>项目建成后，建设单位应按照国务院环境保护行政主管部门规定的标准和程序，对配套建设的环境保护设施进行验收，并编制验收报告。</w:t>
            </w:r>
          </w:p>
          <w:p>
            <w:pPr>
              <w:pStyle w:val="34"/>
              <w:bidi w:val="0"/>
              <w:rPr>
                <w:rFonts w:cs="Times New Roman"/>
              </w:rPr>
            </w:pPr>
            <w:r>
              <w:t>表</w:t>
            </w:r>
            <w:r>
              <w:rPr>
                <w:rFonts w:hint="eastAsia"/>
              </w:rPr>
              <w:t>4-1</w:t>
            </w:r>
            <w:r>
              <w:rPr>
                <w:rFonts w:hint="eastAsia"/>
                <w:lang w:val="en-US" w:eastAsia="zh-CN"/>
              </w:rPr>
              <w:t>3</w:t>
            </w:r>
            <w:r>
              <w:t xml:space="preserve">  竣工环保验收一览表（建议）</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062"/>
              <w:gridCol w:w="2872"/>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tcBorders>
                    <w:tl2br w:val="nil"/>
                    <w:tr2bl w:val="nil"/>
                  </w:tcBorders>
                  <w:vAlign w:val="center"/>
                </w:tcPr>
                <w:p>
                  <w:pPr>
                    <w:pStyle w:val="33"/>
                  </w:pPr>
                  <w:bookmarkStart w:id="19" w:name="_Toc154657624"/>
                  <w:bookmarkStart w:id="20" w:name="_Toc154202000"/>
                  <w:bookmarkStart w:id="21" w:name="_Toc154385540"/>
                  <w:bookmarkStart w:id="22" w:name="_Toc153863407"/>
                  <w:bookmarkStart w:id="23" w:name="_Toc153863770"/>
                  <w:r>
                    <w:t>编号</w:t>
                  </w:r>
                </w:p>
              </w:tc>
              <w:tc>
                <w:tcPr>
                  <w:tcW w:w="1062" w:type="dxa"/>
                  <w:tcBorders>
                    <w:tl2br w:val="nil"/>
                    <w:tr2bl w:val="nil"/>
                  </w:tcBorders>
                  <w:vAlign w:val="center"/>
                </w:tcPr>
                <w:p>
                  <w:pPr>
                    <w:pStyle w:val="33"/>
                  </w:pPr>
                  <w:r>
                    <w:t>设施名称</w:t>
                  </w:r>
                </w:p>
              </w:tc>
              <w:tc>
                <w:tcPr>
                  <w:tcW w:w="2872" w:type="dxa"/>
                  <w:tcBorders>
                    <w:tl2br w:val="nil"/>
                    <w:tr2bl w:val="nil"/>
                  </w:tcBorders>
                  <w:vAlign w:val="center"/>
                </w:tcPr>
                <w:p>
                  <w:pPr>
                    <w:pStyle w:val="33"/>
                  </w:pPr>
                  <w:r>
                    <w:t>验收内容</w:t>
                  </w:r>
                </w:p>
              </w:tc>
              <w:tc>
                <w:tcPr>
                  <w:tcW w:w="3889" w:type="dxa"/>
                  <w:tcBorders>
                    <w:tl2br w:val="nil"/>
                    <w:tr2bl w:val="nil"/>
                  </w:tcBorders>
                  <w:vAlign w:val="center"/>
                </w:tcPr>
                <w:p>
                  <w:pPr>
                    <w:pStyle w:val="33"/>
                  </w:pPr>
                  <w:r>
                    <w:t>竣工验收要求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677" w:type="dxa"/>
                  <w:tcBorders>
                    <w:tl2br w:val="nil"/>
                    <w:tr2bl w:val="nil"/>
                  </w:tcBorders>
                  <w:vAlign w:val="center"/>
                </w:tcPr>
                <w:p>
                  <w:pPr>
                    <w:pStyle w:val="33"/>
                  </w:pPr>
                  <w:r>
                    <w:rPr>
                      <w:rFonts w:hint="eastAsia"/>
                    </w:rPr>
                    <w:t>1</w:t>
                  </w:r>
                </w:p>
              </w:tc>
              <w:tc>
                <w:tcPr>
                  <w:tcW w:w="1062" w:type="dxa"/>
                  <w:tcBorders>
                    <w:tl2br w:val="nil"/>
                    <w:tr2bl w:val="nil"/>
                  </w:tcBorders>
                  <w:vAlign w:val="center"/>
                </w:tcPr>
                <w:p>
                  <w:pPr>
                    <w:pStyle w:val="33"/>
                  </w:pPr>
                  <w:r>
                    <w:rPr>
                      <w:rFonts w:hint="eastAsia"/>
                    </w:rPr>
                    <w:t>废气治理</w:t>
                  </w:r>
                </w:p>
              </w:tc>
              <w:tc>
                <w:tcPr>
                  <w:tcW w:w="2872" w:type="dxa"/>
                  <w:tcBorders>
                    <w:tl2br w:val="nil"/>
                    <w:tr2bl w:val="nil"/>
                  </w:tcBorders>
                  <w:vAlign w:val="center"/>
                </w:tcPr>
                <w:p>
                  <w:pPr>
                    <w:pStyle w:val="33"/>
                  </w:pPr>
                  <w:r>
                    <w:rPr>
                      <w:rFonts w:hint="eastAsia"/>
                    </w:rPr>
                    <w:t>使用清洁能源天然气作为燃料</w:t>
                  </w:r>
                  <w:r>
                    <w:rPr>
                      <w:rFonts w:hint="eastAsia"/>
                      <w:lang w:eastAsia="zh-CN"/>
                    </w:rPr>
                    <w:t>，</w:t>
                  </w:r>
                  <w:r>
                    <w:rPr>
                      <w:rFonts w:hint="eastAsia"/>
                      <w:lang w:val="en-US" w:eastAsia="zh-CN"/>
                    </w:rPr>
                    <w:t>安装</w:t>
                  </w:r>
                  <w:r>
                    <w:rPr>
                      <w:rFonts w:hint="eastAsia"/>
                    </w:rPr>
                    <w:t>低氮燃烧器</w:t>
                  </w:r>
                  <w:r>
                    <w:rPr>
                      <w:rFonts w:hint="eastAsia"/>
                      <w:highlight w:val="none"/>
                    </w:rPr>
                    <w:t>，</w:t>
                  </w:r>
                  <w:r>
                    <w:rPr>
                      <w:rFonts w:hint="eastAsia"/>
                      <w:highlight w:val="none"/>
                      <w:lang w:val="en-US" w:eastAsia="zh-CN"/>
                    </w:rPr>
                    <w:t>锅炉</w:t>
                  </w:r>
                  <w:r>
                    <w:rPr>
                      <w:rFonts w:hint="eastAsia"/>
                      <w:highlight w:val="none"/>
                    </w:rPr>
                    <w:t>烟气通过</w:t>
                  </w:r>
                  <w:r>
                    <w:rPr>
                      <w:rFonts w:hint="eastAsia"/>
                      <w:highlight w:val="none"/>
                      <w:lang w:val="en-US" w:eastAsia="zh-CN"/>
                    </w:rPr>
                    <w:t>1根16</w:t>
                  </w:r>
                  <w:r>
                    <w:rPr>
                      <w:rFonts w:hint="eastAsia"/>
                      <w:highlight w:val="none"/>
                    </w:rPr>
                    <w:t>m高排气筒排放</w:t>
                  </w:r>
                </w:p>
              </w:tc>
              <w:tc>
                <w:tcPr>
                  <w:tcW w:w="3889" w:type="dxa"/>
                  <w:tcBorders>
                    <w:tl2br w:val="nil"/>
                    <w:tr2bl w:val="nil"/>
                  </w:tcBorders>
                  <w:vAlign w:val="center"/>
                </w:tcPr>
                <w:p>
                  <w:pPr>
                    <w:pStyle w:val="33"/>
                    <w:rPr>
                      <w:rFonts w:hint="eastAsia" w:eastAsia="宋体"/>
                      <w:lang w:eastAsia="zh-CN"/>
                    </w:rPr>
                  </w:pPr>
                  <w:r>
                    <w:rPr>
                      <w:rFonts w:hint="eastAsia"/>
                    </w:rPr>
                    <w:t>颗粒物、二氧化硫执行《锅炉大气污染物排放标准》（GB13271-2014）表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限值中燃气锅炉标准；氮氧化物</w:t>
                  </w:r>
                  <w:r>
                    <w:rPr>
                      <w:rFonts w:hint="eastAsia"/>
                      <w:lang w:val="en-US" w:eastAsia="zh-CN"/>
                    </w:rPr>
                    <w:t>满足</w:t>
                  </w: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号）氮氧化物</w:t>
                  </w:r>
                  <w:r>
                    <w:rPr>
                      <w:rFonts w:hint="eastAsia"/>
                      <w:lang w:val="en-US" w:eastAsia="zh-CN"/>
                    </w:rPr>
                    <w:t>≤</w:t>
                  </w:r>
                  <w:r>
                    <w:rPr>
                      <w:rFonts w:hint="eastAsia"/>
                    </w:rPr>
                    <w:t>50mg/m</w:t>
                  </w:r>
                  <w:r>
                    <w:rPr>
                      <w:rFonts w:hint="eastAsia"/>
                      <w:vertAlign w:val="superscript"/>
                    </w:rPr>
                    <w:t>3</w:t>
                  </w:r>
                  <w:r>
                    <w:rPr>
                      <w:rFonts w:hint="eastAsia"/>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tcBorders>
                    <w:tl2br w:val="nil"/>
                    <w:tr2bl w:val="nil"/>
                  </w:tcBorders>
                  <w:vAlign w:val="center"/>
                </w:tcPr>
                <w:p>
                  <w:pPr>
                    <w:pStyle w:val="33"/>
                  </w:pPr>
                  <w:r>
                    <w:rPr>
                      <w:rFonts w:hint="eastAsia"/>
                    </w:rPr>
                    <w:t>2</w:t>
                  </w:r>
                </w:p>
              </w:tc>
              <w:tc>
                <w:tcPr>
                  <w:tcW w:w="1062" w:type="dxa"/>
                  <w:tcBorders>
                    <w:tl2br w:val="nil"/>
                    <w:tr2bl w:val="nil"/>
                  </w:tcBorders>
                  <w:vAlign w:val="center"/>
                </w:tcPr>
                <w:p>
                  <w:pPr>
                    <w:pStyle w:val="33"/>
                  </w:pPr>
                  <w:r>
                    <w:t>废水治理</w:t>
                  </w:r>
                </w:p>
              </w:tc>
              <w:tc>
                <w:tcPr>
                  <w:tcW w:w="2872" w:type="dxa"/>
                  <w:tcBorders>
                    <w:tl2br w:val="nil"/>
                    <w:tr2bl w:val="nil"/>
                  </w:tcBorders>
                  <w:vAlign w:val="center"/>
                </w:tcPr>
                <w:p>
                  <w:pPr>
                    <w:pStyle w:val="33"/>
                  </w:pPr>
                  <w:r>
                    <w:rPr>
                      <w:rFonts w:hint="eastAsia"/>
                      <w:kern w:val="0"/>
                      <w:szCs w:val="21"/>
                    </w:rPr>
                    <w:t>排入园区污水管网，进入园区污水处理厂处置</w:t>
                  </w:r>
                </w:p>
              </w:tc>
              <w:tc>
                <w:tcPr>
                  <w:tcW w:w="3889" w:type="dxa"/>
                  <w:tcBorders>
                    <w:tl2br w:val="nil"/>
                    <w:tr2bl w:val="nil"/>
                  </w:tcBorders>
                  <w:vAlign w:val="center"/>
                </w:tcPr>
                <w:p>
                  <w:pPr>
                    <w:pStyle w:val="33"/>
                  </w:pPr>
                  <w:r>
                    <w:rPr>
                      <w:rFonts w:hint="eastAsia"/>
                      <w:color w:val="auto"/>
                      <w:lang w:eastAsia="zh-CN"/>
                    </w:rPr>
                    <w:t>《</w:t>
                  </w:r>
                  <w:r>
                    <w:rPr>
                      <w:color w:val="auto"/>
                    </w:rPr>
                    <w:t>污水综合排放标准》（GB</w:t>
                  </w:r>
                  <w:r>
                    <w:rPr>
                      <w:rFonts w:hint="eastAsia"/>
                      <w:color w:val="auto"/>
                      <w:lang w:val="en-US" w:eastAsia="zh-CN"/>
                    </w:rPr>
                    <w:t>8978-1996</w:t>
                  </w:r>
                  <w:r>
                    <w:rPr>
                      <w:color w:val="auto"/>
                    </w:rPr>
                    <w:t>）</w:t>
                  </w:r>
                  <w:r>
                    <w:rPr>
                      <w:rFonts w:hint="eastAsia"/>
                      <w:color w:val="auto"/>
                    </w:rPr>
                    <w:t>三</w:t>
                  </w:r>
                  <w:r>
                    <w:rPr>
                      <w:color w:val="auto"/>
                    </w:rPr>
                    <w:t>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tcBorders>
                    <w:tl2br w:val="nil"/>
                    <w:tr2bl w:val="nil"/>
                  </w:tcBorders>
                  <w:vAlign w:val="center"/>
                </w:tcPr>
                <w:p>
                  <w:pPr>
                    <w:pStyle w:val="33"/>
                  </w:pPr>
                  <w:r>
                    <w:rPr>
                      <w:rFonts w:hint="eastAsia"/>
                    </w:rPr>
                    <w:t>3</w:t>
                  </w:r>
                </w:p>
              </w:tc>
              <w:tc>
                <w:tcPr>
                  <w:tcW w:w="1062" w:type="dxa"/>
                  <w:tcBorders>
                    <w:tl2br w:val="nil"/>
                    <w:tr2bl w:val="nil"/>
                  </w:tcBorders>
                  <w:vAlign w:val="center"/>
                </w:tcPr>
                <w:p>
                  <w:pPr>
                    <w:pStyle w:val="33"/>
                  </w:pPr>
                  <w:r>
                    <w:t>噪声治理</w:t>
                  </w:r>
                </w:p>
              </w:tc>
              <w:tc>
                <w:tcPr>
                  <w:tcW w:w="2872" w:type="dxa"/>
                  <w:tcBorders>
                    <w:tl2br w:val="nil"/>
                    <w:tr2bl w:val="nil"/>
                  </w:tcBorders>
                  <w:vAlign w:val="center"/>
                </w:tcPr>
                <w:p>
                  <w:pPr>
                    <w:pStyle w:val="33"/>
                  </w:pPr>
                  <w:r>
                    <w:rPr>
                      <w:rFonts w:hint="eastAsia"/>
                    </w:rPr>
                    <w:t>基础减震、厂房隔声</w:t>
                  </w:r>
                </w:p>
              </w:tc>
              <w:tc>
                <w:tcPr>
                  <w:tcW w:w="3889" w:type="dxa"/>
                  <w:tcBorders>
                    <w:tl2br w:val="nil"/>
                    <w:tr2bl w:val="nil"/>
                  </w:tcBorders>
                  <w:vAlign w:val="center"/>
                </w:tcPr>
                <w:p>
                  <w:pPr>
                    <w:pStyle w:val="33"/>
                  </w:pPr>
                  <w:r>
                    <w:rPr>
                      <w:rFonts w:hint="eastAsia"/>
                      <w:lang w:val="en-US" w:eastAsia="zh-CN"/>
                    </w:rPr>
                    <w:t>厂界噪声</w:t>
                  </w:r>
                  <w:r>
                    <w:t>满足《工业企业厂界环境噪声排放标准》（GB 12348</w:t>
                  </w:r>
                  <w:r>
                    <w:rPr>
                      <w:rFonts w:hint="eastAsia"/>
                    </w:rPr>
                    <w:t>—</w:t>
                  </w:r>
                  <w:r>
                    <w:t>2008）的</w:t>
                  </w:r>
                  <w:r>
                    <w:rPr>
                      <w:rFonts w:hint="eastAsia"/>
                      <w:lang w:val="en-US" w:eastAsia="zh-CN"/>
                    </w:rPr>
                    <w:t>3</w:t>
                  </w:r>
                  <w:r>
                    <w:t>类排放标准限值。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tcBorders>
                    <w:tl2br w:val="nil"/>
                    <w:tr2bl w:val="nil"/>
                  </w:tcBorders>
                  <w:vAlign w:val="center"/>
                </w:tcPr>
                <w:p>
                  <w:pPr>
                    <w:pStyle w:val="33"/>
                  </w:pPr>
                  <w:r>
                    <w:rPr>
                      <w:rFonts w:hint="eastAsia"/>
                    </w:rPr>
                    <w:t>4</w:t>
                  </w:r>
                </w:p>
              </w:tc>
              <w:tc>
                <w:tcPr>
                  <w:tcW w:w="1062" w:type="dxa"/>
                  <w:tcBorders>
                    <w:tl2br w:val="nil"/>
                    <w:tr2bl w:val="nil"/>
                  </w:tcBorders>
                  <w:vAlign w:val="center"/>
                </w:tcPr>
                <w:p>
                  <w:pPr>
                    <w:pStyle w:val="33"/>
                  </w:pPr>
                  <w:r>
                    <w:rPr>
                      <w:rFonts w:hint="eastAsia"/>
                    </w:rPr>
                    <w:t>一般固体废物</w:t>
                  </w:r>
                </w:p>
              </w:tc>
              <w:tc>
                <w:tcPr>
                  <w:tcW w:w="2872" w:type="dxa"/>
                  <w:tcBorders>
                    <w:tl2br w:val="nil"/>
                    <w:tr2bl w:val="nil"/>
                  </w:tcBorders>
                  <w:vAlign w:val="center"/>
                </w:tcPr>
                <w:p>
                  <w:pPr>
                    <w:pStyle w:val="33"/>
                  </w:pPr>
                  <w:r>
                    <w:rPr>
                      <w:rFonts w:hint="eastAsia"/>
                      <w:lang w:val="en-US" w:eastAsia="zh-CN"/>
                    </w:rPr>
                    <w:t>锅炉</w:t>
                  </w:r>
                  <w:r>
                    <w:rPr>
                      <w:rFonts w:hint="default"/>
                      <w:lang w:val="en-US" w:eastAsia="zh-CN"/>
                    </w:rPr>
                    <w:t>软化水</w:t>
                  </w:r>
                  <w:r>
                    <w:rPr>
                      <w:rFonts w:hint="default"/>
                    </w:rPr>
                    <w:t>装置</w:t>
                  </w:r>
                  <w:r>
                    <w:rPr>
                      <w:rFonts w:hint="eastAsia"/>
                    </w:rPr>
                    <w:t>产生</w:t>
                  </w:r>
                  <w:r>
                    <w:rPr>
                      <w:rFonts w:hint="eastAsia"/>
                      <w:lang w:val="en-US" w:eastAsia="zh-CN"/>
                    </w:rPr>
                    <w:t>的离子交换树脂由厂家进行定期更换回收，不在厂区内贮存</w:t>
                  </w:r>
                </w:p>
              </w:tc>
              <w:tc>
                <w:tcPr>
                  <w:tcW w:w="3889" w:type="dxa"/>
                  <w:tcBorders>
                    <w:tl2br w:val="nil"/>
                    <w:tr2bl w:val="nil"/>
                  </w:tcBorders>
                  <w:vAlign w:val="center"/>
                </w:tcPr>
                <w:p>
                  <w:pPr>
                    <w:pStyle w:val="33"/>
                    <w:rPr>
                      <w:rFonts w:hint="default" w:eastAsia="宋体"/>
                      <w:lang w:val="en-US" w:eastAsia="zh-CN"/>
                    </w:rPr>
                  </w:pPr>
                  <w:r>
                    <w:rPr>
                      <w:rFonts w:hint="eastAsia"/>
                      <w:lang w:val="en-US" w:eastAsia="zh-CN"/>
                    </w:rPr>
                    <w:t>/</w:t>
                  </w:r>
                </w:p>
              </w:tc>
            </w:tr>
            <w:bookmarkEnd w:id="19"/>
            <w:bookmarkEnd w:id="20"/>
            <w:bookmarkEnd w:id="21"/>
            <w:bookmarkEnd w:id="22"/>
            <w:bookmarkEnd w:id="23"/>
          </w:tbl>
          <w:p>
            <w:pPr>
              <w:keepNext/>
              <w:keepLines/>
              <w:adjustRightInd w:val="0"/>
              <w:snapToGrid w:val="0"/>
              <w:ind w:firstLine="480"/>
              <w:outlineLvl w:val="1"/>
            </w:pPr>
          </w:p>
        </w:tc>
      </w:tr>
    </w:tbl>
    <w:p>
      <w:pPr>
        <w:pStyle w:val="4"/>
        <w:rPr>
          <w:snapToGrid w:val="0"/>
          <w:color w:val="000000" w:themeColor="text1"/>
          <w14:textFill>
            <w14:solidFill>
              <w14:schemeClr w14:val="tx1"/>
            </w14:solidFill>
          </w14:textFill>
        </w:rPr>
      </w:pPr>
      <w:bookmarkStart w:id="24" w:name="OLE_LINK11"/>
      <w:r>
        <w:rPr>
          <w:rFonts w:hint="eastAsia"/>
          <w:snapToGrid w:val="0"/>
          <w:color w:val="000000" w:themeColor="text1"/>
          <w14:textFill>
            <w14:solidFill>
              <w14:schemeClr w14:val="tx1"/>
            </w14:solidFill>
          </w14:textFill>
        </w:rPr>
        <w:t>五、</w:t>
      </w:r>
      <w:bookmarkStart w:id="25" w:name="_Hlk54167917"/>
      <w:r>
        <w:rPr>
          <w:rFonts w:hint="eastAsia"/>
          <w:snapToGrid w:val="0"/>
          <w:color w:val="000000" w:themeColor="text1"/>
          <w14:textFill>
            <w14:solidFill>
              <w14:schemeClr w14:val="tx1"/>
            </w14:solidFill>
          </w14:textFill>
        </w:rPr>
        <w:t>环境保护措施监督检查清单</w:t>
      </w:r>
      <w:bookmarkEnd w:id="25"/>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1"/>
        <w:gridCol w:w="1848"/>
        <w:gridCol w:w="1323"/>
        <w:gridCol w:w="2030"/>
        <w:gridCol w:w="27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11" w:type="pct"/>
            <w:tcBorders>
              <w:tl2br w:val="single" w:color="auto" w:sz="12" w:space="0"/>
            </w:tcBorders>
          </w:tcPr>
          <w:p>
            <w:pPr>
              <w:adjustRightInd w:val="0"/>
              <w:snapToGrid w:val="0"/>
              <w:spacing w:line="240" w:lineRule="auto"/>
              <w:ind w:firstLine="632" w:firstLineChars="300"/>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内容</w:t>
            </w:r>
          </w:p>
          <w:p>
            <w:pPr>
              <w:adjustRightInd w:val="0"/>
              <w:snapToGrid w:val="0"/>
              <w:spacing w:line="240" w:lineRule="auto"/>
              <w:ind w:firstLine="0" w:firstLineChars="0"/>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要素</w:t>
            </w:r>
          </w:p>
        </w:tc>
        <w:tc>
          <w:tcPr>
            <w:tcW w:w="995"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排放口</w:t>
            </w:r>
            <w:r>
              <w:rPr>
                <w:rFonts w:hint="eastAsia" w:cs="Times New Roman"/>
                <w:b/>
                <w:bCs/>
                <w:color w:val="000000" w:themeColor="text1"/>
                <w:sz w:val="21"/>
                <w:szCs w:val="21"/>
                <w:lang w:eastAsia="zh-CN"/>
                <w14:textFill>
                  <w14:solidFill>
                    <w14:schemeClr w14:val="tx1"/>
                  </w14:solidFill>
                </w14:textFill>
              </w:rPr>
              <w:t>（</w:t>
            </w:r>
            <w:r>
              <w:rPr>
                <w:rFonts w:cs="Times New Roman"/>
                <w:b/>
                <w:bCs/>
                <w:color w:val="000000" w:themeColor="text1"/>
                <w:sz w:val="21"/>
                <w:szCs w:val="21"/>
                <w14:textFill>
                  <w14:solidFill>
                    <w14:schemeClr w14:val="tx1"/>
                  </w14:solidFill>
                </w14:textFill>
              </w:rPr>
              <w:t>编号、</w:t>
            </w:r>
          </w:p>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名称</w:t>
            </w:r>
            <w:r>
              <w:rPr>
                <w:rFonts w:hint="eastAsia" w:cs="Times New Roman"/>
                <w:b/>
                <w:bCs/>
                <w:color w:val="000000" w:themeColor="text1"/>
                <w:sz w:val="21"/>
                <w:szCs w:val="21"/>
                <w:lang w:eastAsia="zh-CN"/>
                <w14:textFill>
                  <w14:solidFill>
                    <w14:schemeClr w14:val="tx1"/>
                  </w14:solidFill>
                </w14:textFill>
              </w:rPr>
              <w:t>）</w:t>
            </w:r>
            <w:r>
              <w:rPr>
                <w:rFonts w:cs="Times New Roman"/>
                <w:b/>
                <w:bCs/>
                <w:color w:val="000000" w:themeColor="text1"/>
                <w:sz w:val="21"/>
                <w:szCs w:val="21"/>
                <w14:textFill>
                  <w14:solidFill>
                    <w14:schemeClr w14:val="tx1"/>
                  </w14:solidFill>
                </w14:textFill>
              </w:rPr>
              <w:t>/污染源</w:t>
            </w:r>
          </w:p>
        </w:tc>
        <w:tc>
          <w:tcPr>
            <w:tcW w:w="712"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污染物项目</w:t>
            </w:r>
          </w:p>
        </w:tc>
        <w:tc>
          <w:tcPr>
            <w:tcW w:w="1093"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环境保护措施</w:t>
            </w:r>
          </w:p>
        </w:tc>
        <w:tc>
          <w:tcPr>
            <w:tcW w:w="1488"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11" w:type="pct"/>
            <w:vAlign w:val="center"/>
          </w:tcPr>
          <w:p>
            <w:pPr>
              <w:adjustRightInd w:val="0"/>
              <w:snapToGrid w:val="0"/>
              <w:spacing w:line="240" w:lineRule="auto"/>
              <w:ind w:firstLine="0" w:firstLineChars="0"/>
              <w:jc w:val="center"/>
              <w:textAlignment w:val="auto"/>
              <w:rPr>
                <w:rFonts w:hint="eastAsia"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大气环境</w:t>
            </w:r>
          </w:p>
        </w:tc>
        <w:tc>
          <w:tcPr>
            <w:tcW w:w="995" w:type="pct"/>
            <w:vAlign w:val="center"/>
          </w:tcPr>
          <w:p>
            <w:pPr>
              <w:pStyle w:val="33"/>
              <w:bidi w:val="0"/>
              <w:rPr>
                <w:rFonts w:hint="eastAsia"/>
                <w:lang w:val="en-US" w:eastAsia="zh-CN"/>
              </w:rPr>
            </w:pPr>
            <w:r>
              <w:rPr>
                <w:rFonts w:hint="eastAsia"/>
                <w:highlight w:val="none"/>
                <w:lang w:val="en-US" w:eastAsia="zh-CN"/>
              </w:rPr>
              <w:t>冬季供热</w:t>
            </w:r>
            <w:r>
              <w:rPr>
                <w:rFonts w:hint="eastAsia"/>
              </w:rPr>
              <w:t>锅炉排气筒</w:t>
            </w:r>
            <w:r>
              <w:t>排放口</w:t>
            </w:r>
          </w:p>
        </w:tc>
        <w:tc>
          <w:tcPr>
            <w:tcW w:w="712" w:type="pct"/>
            <w:vAlign w:val="center"/>
          </w:tcPr>
          <w:p>
            <w:pPr>
              <w:pStyle w:val="33"/>
              <w:bidi w:val="0"/>
              <w:rPr>
                <w:rFonts w:hint="default"/>
                <w:lang w:val="en-US" w:eastAsia="zh-CN"/>
              </w:rPr>
            </w:pPr>
            <w:r>
              <w:rPr>
                <w:rFonts w:hint="eastAsia"/>
              </w:rPr>
              <w:t>颗粒物、二氧化硫</w:t>
            </w:r>
            <w:r>
              <w:rPr>
                <w:rFonts w:hint="eastAsia"/>
                <w:lang w:eastAsia="zh-CN"/>
              </w:rPr>
              <w:t>、</w:t>
            </w:r>
            <w:r>
              <w:rPr>
                <w:rFonts w:hint="eastAsia"/>
              </w:rPr>
              <w:t>氮氧化物</w:t>
            </w:r>
          </w:p>
        </w:tc>
        <w:tc>
          <w:tcPr>
            <w:tcW w:w="1093" w:type="pct"/>
            <w:vAlign w:val="center"/>
          </w:tcPr>
          <w:p>
            <w:pPr>
              <w:pStyle w:val="33"/>
              <w:bidi w:val="0"/>
              <w:rPr>
                <w:rFonts w:hint="eastAsia"/>
              </w:rPr>
            </w:pPr>
            <w:r>
              <w:rPr>
                <w:rFonts w:hint="eastAsia"/>
              </w:rPr>
              <w:t>使用清洁能源天然气作为燃料，采用低氮燃烧器，</w:t>
            </w:r>
            <w:r>
              <w:rPr>
                <w:rFonts w:hint="eastAsia"/>
                <w:lang w:val="en-US" w:eastAsia="zh-CN"/>
              </w:rPr>
              <w:t>锅炉</w:t>
            </w:r>
            <w:r>
              <w:rPr>
                <w:rFonts w:hint="eastAsia"/>
              </w:rPr>
              <w:t>烟气通过</w:t>
            </w:r>
            <w:r>
              <w:rPr>
                <w:rFonts w:hint="eastAsia"/>
                <w:lang w:val="en-US" w:eastAsia="zh-CN"/>
              </w:rPr>
              <w:t>1根16</w:t>
            </w:r>
            <w:r>
              <w:rPr>
                <w:rFonts w:hint="eastAsia"/>
              </w:rPr>
              <w:t>m高排气筒排放</w:t>
            </w:r>
          </w:p>
        </w:tc>
        <w:tc>
          <w:tcPr>
            <w:tcW w:w="1488" w:type="pct"/>
            <w:vAlign w:val="center"/>
          </w:tcPr>
          <w:p>
            <w:pPr>
              <w:pStyle w:val="33"/>
              <w:bidi w:val="0"/>
              <w:rPr>
                <w:rFonts w:hint="eastAsia"/>
                <w:lang w:val="en-US" w:eastAsia="zh-CN"/>
              </w:rPr>
            </w:pPr>
            <w:r>
              <w:rPr>
                <w:rFonts w:hint="eastAsia"/>
              </w:rPr>
              <w:t>颗粒物、二氧化硫执行《锅炉大气污染物排放标准》（GB13271-2014）表</w:t>
            </w:r>
            <w:r>
              <w:rPr>
                <w:rFonts w:hint="eastAsia"/>
                <w:lang w:val="en-US" w:eastAsia="zh-CN"/>
              </w:rPr>
              <w:t>2新建锅炉</w:t>
            </w:r>
            <w:r>
              <w:rPr>
                <w:rFonts w:hint="eastAsia"/>
              </w:rPr>
              <w:t>大气污染物排放</w:t>
            </w:r>
            <w:r>
              <w:rPr>
                <w:rFonts w:hint="eastAsia"/>
                <w:lang w:val="en-US" w:eastAsia="zh-CN"/>
              </w:rPr>
              <w:t>浓度</w:t>
            </w:r>
            <w:r>
              <w:rPr>
                <w:rFonts w:hint="eastAsia"/>
              </w:rPr>
              <w:t>限值中燃气锅炉标准；氮氧化物</w:t>
            </w:r>
            <w:r>
              <w:rPr>
                <w:rFonts w:hint="eastAsia"/>
                <w:lang w:val="en-US" w:eastAsia="zh-CN"/>
              </w:rPr>
              <w:t>满足</w:t>
            </w:r>
            <w:r>
              <w:rPr>
                <w:rFonts w:hint="eastAsia"/>
              </w:rPr>
              <w:t>《关于开展自治区202</w:t>
            </w:r>
            <w:r>
              <w:rPr>
                <w:rFonts w:hint="eastAsia"/>
                <w:lang w:val="en-US" w:eastAsia="zh-CN"/>
              </w:rPr>
              <w:t>2</w:t>
            </w:r>
            <w:r>
              <w:rPr>
                <w:rFonts w:hint="eastAsia"/>
              </w:rPr>
              <w:t>年度夏秋季大气污染防治</w:t>
            </w:r>
            <w:r>
              <w:rPr>
                <w:rFonts w:hint="eastAsia"/>
                <w:lang w:eastAsia="zh-CN"/>
              </w:rPr>
              <w:t>“</w:t>
            </w:r>
            <w:r>
              <w:rPr>
                <w:rFonts w:hint="eastAsia"/>
              </w:rPr>
              <w:t>冬病夏治</w:t>
            </w:r>
            <w:r>
              <w:rPr>
                <w:rFonts w:hint="eastAsia"/>
                <w:lang w:eastAsia="zh-CN"/>
              </w:rPr>
              <w:t>”</w:t>
            </w:r>
            <w:r>
              <w:rPr>
                <w:rFonts w:hint="eastAsia"/>
              </w:rPr>
              <w:t>工作的通知》（新环大气</w:t>
            </w:r>
            <w:r>
              <w:rPr>
                <w:rFonts w:hint="eastAsia"/>
                <w:lang w:val="en-US" w:eastAsia="zh-CN"/>
              </w:rPr>
              <w:t>函</w:t>
            </w:r>
            <w:r>
              <w:rPr>
                <w:rFonts w:hint="eastAsia"/>
              </w:rPr>
              <w:t>〔202</w:t>
            </w:r>
            <w:r>
              <w:rPr>
                <w:rFonts w:hint="eastAsia"/>
                <w:lang w:val="en-US" w:eastAsia="zh-CN"/>
              </w:rPr>
              <w:t>2</w:t>
            </w:r>
            <w:r>
              <w:rPr>
                <w:rFonts w:hint="eastAsia"/>
              </w:rPr>
              <w:t>〕</w:t>
            </w:r>
            <w:r>
              <w:rPr>
                <w:rFonts w:hint="eastAsia"/>
                <w:lang w:val="en-US" w:eastAsia="zh-CN"/>
              </w:rPr>
              <w:t>483</w:t>
            </w:r>
            <w:r>
              <w:rPr>
                <w:rFonts w:hint="eastAsia"/>
              </w:rPr>
              <w:t>号）氮氧化物</w:t>
            </w:r>
            <w:r>
              <w:rPr>
                <w:rFonts w:hint="eastAsia"/>
                <w:lang w:val="en-US" w:eastAsia="zh-CN"/>
              </w:rPr>
              <w:t>≤</w:t>
            </w:r>
            <w:r>
              <w:rPr>
                <w:rFonts w:hint="eastAsia"/>
              </w:rPr>
              <w:t>50mg/m</w:t>
            </w:r>
            <w:r>
              <w:rPr>
                <w:rFonts w:hint="eastAsia"/>
                <w:vertAlign w:val="superscript"/>
              </w:rPr>
              <w:t>3</w:t>
            </w:r>
            <w:r>
              <w:rPr>
                <w:rFonts w:hint="eastAsia"/>
              </w:rPr>
              <w:t>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地表水环境</w:t>
            </w:r>
          </w:p>
        </w:tc>
        <w:tc>
          <w:tcPr>
            <w:tcW w:w="995" w:type="pct"/>
            <w:vAlign w:val="center"/>
          </w:tcPr>
          <w:p>
            <w:pPr>
              <w:pStyle w:val="38"/>
              <w:ind w:firstLine="0" w:firstLineChars="0"/>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highlight w:val="none"/>
                <w:lang w:val="en-US" w:eastAsia="zh-CN" w:bidi="ar-SA"/>
              </w:rPr>
              <w:t>冬季供热锅炉废水、软化水装置</w:t>
            </w:r>
            <w:r>
              <w:rPr>
                <w:rFonts w:hint="eastAsia" w:ascii="Times New Roman" w:hAnsi="Times New Roman" w:eastAsia="宋体" w:cstheme="minorBidi"/>
                <w:kern w:val="2"/>
                <w:sz w:val="21"/>
                <w:szCs w:val="21"/>
                <w:lang w:val="en-US" w:eastAsia="zh-CN" w:bidi="ar-SA"/>
              </w:rPr>
              <w:t>产生浓水</w:t>
            </w:r>
          </w:p>
        </w:tc>
        <w:tc>
          <w:tcPr>
            <w:tcW w:w="712" w:type="pct"/>
            <w:vAlign w:val="center"/>
          </w:tcPr>
          <w:p>
            <w:pPr>
              <w:pStyle w:val="38"/>
              <w:ind w:firstLine="0" w:firstLineChars="0"/>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COD、钙镁离子</w:t>
            </w:r>
          </w:p>
        </w:tc>
        <w:tc>
          <w:tcPr>
            <w:tcW w:w="1093" w:type="pct"/>
            <w:vAlign w:val="center"/>
          </w:tcPr>
          <w:p>
            <w:pPr>
              <w:pStyle w:val="38"/>
              <w:ind w:firstLine="0" w:firstLineChars="0"/>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排入园区污水管网，进入园区污水处理厂处置</w:t>
            </w:r>
          </w:p>
        </w:tc>
        <w:tc>
          <w:tcPr>
            <w:tcW w:w="1488" w:type="pct"/>
            <w:vAlign w:val="center"/>
          </w:tcPr>
          <w:p>
            <w:pPr>
              <w:adjustRightInd w:val="0"/>
              <w:snapToGrid w:val="0"/>
              <w:spacing w:line="240" w:lineRule="auto"/>
              <w:ind w:firstLine="0" w:firstLineChars="0"/>
              <w:jc w:val="center"/>
              <w:textAlignment w:val="auto"/>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《污水综合排放标准》（GB8978-1996）三级标准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声环境</w:t>
            </w:r>
          </w:p>
        </w:tc>
        <w:tc>
          <w:tcPr>
            <w:tcW w:w="995"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设备噪声</w:t>
            </w:r>
          </w:p>
        </w:tc>
        <w:tc>
          <w:tcPr>
            <w:tcW w:w="712"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噪声</w:t>
            </w:r>
          </w:p>
        </w:tc>
        <w:tc>
          <w:tcPr>
            <w:tcW w:w="1093"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ascii="Times New Roman" w:hAnsi="Times New Roman" w:eastAsia="宋体" w:cstheme="minorBidi"/>
                <w:kern w:val="2"/>
                <w:sz w:val="21"/>
                <w:szCs w:val="21"/>
                <w:lang w:val="en-US" w:eastAsia="zh-CN" w:bidi="ar-SA"/>
              </w:rPr>
              <w:t>基础减震、厂房隔声</w:t>
            </w:r>
          </w:p>
        </w:tc>
        <w:tc>
          <w:tcPr>
            <w:tcW w:w="1488"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《工业企业厂界环境噪声排放标准》（</w:t>
            </w:r>
            <w:r>
              <w:rPr>
                <w:rFonts w:cs="Times New Roman"/>
                <w:color w:val="000000" w:themeColor="text1"/>
                <w:sz w:val="21"/>
                <w:szCs w:val="21"/>
                <w14:textFill>
                  <w14:solidFill>
                    <w14:schemeClr w14:val="tx1"/>
                  </w14:solidFill>
                </w14:textFill>
              </w:rPr>
              <w:t>GB12348—2008</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3</w:t>
            </w:r>
            <w:r>
              <w:rPr>
                <w:rFonts w:hint="eastAsia" w:cs="Times New Roman"/>
                <w:color w:val="000000" w:themeColor="text1"/>
                <w:sz w:val="21"/>
                <w:szCs w:val="21"/>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电磁辐射</w:t>
            </w:r>
          </w:p>
        </w:tc>
        <w:tc>
          <w:tcPr>
            <w:tcW w:w="995"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712"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1093"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c>
          <w:tcPr>
            <w:tcW w:w="1488" w:type="pct"/>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固体废物</w:t>
            </w:r>
          </w:p>
        </w:tc>
        <w:tc>
          <w:tcPr>
            <w:tcW w:w="4288" w:type="pct"/>
            <w:gridSpan w:val="4"/>
            <w:vAlign w:val="center"/>
          </w:tcPr>
          <w:p>
            <w:pPr>
              <w:pStyle w:val="28"/>
              <w:spacing w:line="240" w:lineRule="auto"/>
              <w:ind w:left="0" w:leftChars="0" w:firstLine="0" w:firstLineChars="0"/>
              <w:rPr>
                <w:rFonts w:hint="eastAsia" w:eastAsia="宋体"/>
                <w:color w:val="000000" w:themeColor="text1"/>
                <w:sz w:val="21"/>
                <w:szCs w:val="21"/>
                <w:lang w:eastAsia="zh-CN"/>
                <w14:textFill>
                  <w14:solidFill>
                    <w14:schemeClr w14:val="tx1"/>
                  </w14:solidFill>
                </w14:textFill>
              </w:rPr>
            </w:pPr>
            <w:r>
              <w:rPr>
                <w:rFonts w:hint="eastAsia" w:ascii="Times New Roman" w:hAnsi="Times New Roman" w:eastAsia="宋体" w:cstheme="minorBidi"/>
                <w:spacing w:val="0"/>
                <w:kern w:val="2"/>
                <w:sz w:val="21"/>
                <w:szCs w:val="21"/>
                <w:lang w:val="en-US" w:eastAsia="zh-CN" w:bidi="ar-SA"/>
              </w:rPr>
              <w:t>锅炉</w:t>
            </w:r>
            <w:r>
              <w:rPr>
                <w:rFonts w:hint="default" w:ascii="Times New Roman" w:hAnsi="Times New Roman" w:eastAsia="宋体" w:cstheme="minorBidi"/>
                <w:spacing w:val="0"/>
                <w:kern w:val="2"/>
                <w:sz w:val="21"/>
                <w:szCs w:val="21"/>
                <w:lang w:val="en-US" w:eastAsia="zh-CN" w:bidi="ar-SA"/>
              </w:rPr>
              <w:t>软化水装置</w:t>
            </w:r>
            <w:r>
              <w:rPr>
                <w:rFonts w:hint="eastAsia" w:ascii="Times New Roman" w:hAnsi="Times New Roman" w:eastAsia="宋体" w:cstheme="minorBidi"/>
                <w:spacing w:val="0"/>
                <w:kern w:val="2"/>
                <w:sz w:val="21"/>
                <w:szCs w:val="21"/>
                <w:lang w:val="en-US" w:eastAsia="zh-CN" w:bidi="ar-SA"/>
              </w:rPr>
              <w:t>产生的离子交换树脂由厂家进行定期更换回收，不在厂区内贮存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土壤及</w:t>
            </w:r>
            <w:r>
              <w:rPr>
                <w:rFonts w:hint="eastAsia" w:cs="Times New Roman"/>
                <w:b/>
                <w:bCs/>
                <w:color w:val="000000" w:themeColor="text1"/>
                <w:sz w:val="21"/>
                <w:szCs w:val="21"/>
                <w:lang w:eastAsia="zh-CN"/>
                <w14:textFill>
                  <w14:solidFill>
                    <w14:schemeClr w14:val="tx1"/>
                  </w14:solidFill>
                </w14:textFill>
              </w:rPr>
              <w:t>地下水</w:t>
            </w:r>
            <w:r>
              <w:rPr>
                <w:rFonts w:cs="Times New Roman"/>
                <w:b/>
                <w:bCs/>
                <w:color w:val="000000" w:themeColor="text1"/>
                <w:sz w:val="21"/>
                <w:szCs w:val="21"/>
                <w14:textFill>
                  <w14:solidFill>
                    <w14:schemeClr w14:val="tx1"/>
                  </w14:solidFill>
                </w14:textFill>
              </w:rPr>
              <w:t>污染防治措施</w:t>
            </w:r>
          </w:p>
        </w:tc>
        <w:tc>
          <w:tcPr>
            <w:tcW w:w="4288"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cs="Times New Roman"/>
                <w:color w:val="000000" w:themeColor="text1"/>
                <w:sz w:val="21"/>
                <w:szCs w:val="21"/>
                <w14:textFill>
                  <w14:solidFill>
                    <w14:schemeClr w14:val="tx1"/>
                  </w14:solidFill>
                </w14:textFill>
              </w:rPr>
            </w:pPr>
            <w:r>
              <w:rPr>
                <w:rFonts w:hint="eastAsia" w:ascii="Times New Roman" w:hAnsi="Times New Roman" w:eastAsia="宋体" w:cstheme="minorBidi"/>
                <w:spacing w:val="0"/>
                <w:kern w:val="2"/>
                <w:sz w:val="21"/>
                <w:szCs w:val="21"/>
                <w:lang w:val="en-US" w:eastAsia="zh-CN" w:bidi="ar-SA"/>
              </w:rPr>
              <w:t>锅炉房地面进行一般防渗，排水管线做好防破损、防渗漏措施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生态保护措施</w:t>
            </w:r>
          </w:p>
        </w:tc>
        <w:tc>
          <w:tcPr>
            <w:tcW w:w="4288" w:type="pct"/>
            <w:gridSpan w:val="4"/>
            <w:vAlign w:val="center"/>
          </w:tcPr>
          <w:p>
            <w:pPr>
              <w:adjustRightInd w:val="0"/>
              <w:snapToGrid w:val="0"/>
              <w:spacing w:line="240" w:lineRule="auto"/>
              <w:ind w:firstLine="0" w:firstLineChars="0"/>
              <w:jc w:val="center"/>
              <w:textAlignment w:val="auto"/>
              <w:rPr>
                <w:rFonts w:cs="Times New Roman"/>
                <w:color w:val="000000" w:themeColor="text1"/>
                <w:sz w:val="21"/>
                <w:szCs w:val="21"/>
                <w14:textFill>
                  <w14:solidFill>
                    <w14:schemeClr w14:val="tx1"/>
                  </w14:solidFill>
                </w14:textFill>
              </w:rPr>
            </w:pPr>
            <w:r>
              <w:rPr>
                <w:rFonts w:hint="eastAsia" w:cs="Times New Roman"/>
                <w:color w:val="000000"/>
                <w:spacing w:val="5"/>
                <w:kern w:val="0"/>
                <w:sz w:val="21"/>
                <w:szCs w:val="22"/>
                <w:lang w:val="en-US" w:eastAsia="zh-CN" w:bidi="ar-SA"/>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pacing w:val="-8"/>
                <w:sz w:val="21"/>
                <w:szCs w:val="21"/>
                <w14:textFill>
                  <w14:solidFill>
                    <w14:schemeClr w14:val="tx1"/>
                  </w14:solidFill>
                </w14:textFill>
              </w:rPr>
            </w:pPr>
            <w:r>
              <w:rPr>
                <w:rFonts w:cs="Times New Roman"/>
                <w:b/>
                <w:bCs/>
                <w:color w:val="000000" w:themeColor="text1"/>
                <w:spacing w:val="-8"/>
                <w:sz w:val="21"/>
                <w:szCs w:val="21"/>
                <w14:textFill>
                  <w14:solidFill>
                    <w14:schemeClr w14:val="tx1"/>
                  </w14:solidFill>
                </w14:textFill>
              </w:rPr>
              <w:t>环境风险</w:t>
            </w:r>
          </w:p>
          <w:p>
            <w:pPr>
              <w:adjustRightInd w:val="0"/>
              <w:snapToGrid w:val="0"/>
              <w:spacing w:line="240" w:lineRule="auto"/>
              <w:ind w:firstLine="0" w:firstLineChars="0"/>
              <w:jc w:val="center"/>
              <w:textAlignment w:val="auto"/>
              <w:rPr>
                <w:rFonts w:cs="Times New Roman"/>
                <w:b/>
                <w:bCs/>
                <w:color w:val="000000" w:themeColor="text1"/>
                <w:spacing w:val="-8"/>
                <w:sz w:val="21"/>
                <w:szCs w:val="21"/>
                <w14:textFill>
                  <w14:solidFill>
                    <w14:schemeClr w14:val="tx1"/>
                  </w14:solidFill>
                </w14:textFill>
              </w:rPr>
            </w:pPr>
            <w:r>
              <w:rPr>
                <w:rFonts w:cs="Times New Roman"/>
                <w:b/>
                <w:bCs/>
                <w:color w:val="000000" w:themeColor="text1"/>
                <w:spacing w:val="-8"/>
                <w:sz w:val="21"/>
                <w:szCs w:val="21"/>
                <w14:textFill>
                  <w14:solidFill>
                    <w14:schemeClr w14:val="tx1"/>
                  </w14:solidFill>
                </w14:textFill>
              </w:rPr>
              <w:t>防范措施</w:t>
            </w:r>
          </w:p>
        </w:tc>
        <w:tc>
          <w:tcPr>
            <w:tcW w:w="4288" w:type="pct"/>
            <w:gridSpan w:val="4"/>
            <w:vAlign w:val="center"/>
          </w:tcPr>
          <w:p>
            <w:pPr>
              <w:pStyle w:val="33"/>
              <w:bidi w:val="0"/>
              <w:jc w:val="left"/>
            </w:pPr>
            <w:r>
              <w:t>（1）燃气使用风险防范措施</w:t>
            </w:r>
          </w:p>
          <w:p>
            <w:pPr>
              <w:pStyle w:val="33"/>
              <w:bidi w:val="0"/>
              <w:jc w:val="left"/>
            </w:pPr>
            <w:r>
              <w:t>①加强管理、提高防范意识；②规范操作、加强检查和维修，防止操作失误和违章作业，减少或杜绝人为操作所致的泄漏事故；③安装先进的泄漏检测设备和仪器，定期检查燃气管道等是否老化，是否被尖利物品或老鼠咬坏，接口是否松动，如发生上述现象应立即与燃气公司联系。④燃气使用过程中如遇突发供气中断，应及时关闭</w:t>
            </w:r>
            <w:r>
              <w:rPr>
                <w:rFonts w:hint="eastAsia"/>
                <w:lang w:eastAsia="zh-CN"/>
              </w:rPr>
              <w:t>天然气</w:t>
            </w:r>
            <w:r>
              <w:t>管道和设施开关，防止空气混入管道内，当恢复供气时应将管道内的空气排放后方可使用。⑤加强日常管理，禁止在锅炉房内存放易燃及易爆物品，并经常保持通风换气，保持良好的空气流通；禁止自行变更燃气管道走向或私接燃气设施。⑥加强自我管理，及时查改车间用电及其它方面存在的火灾隐患；加强职工消防安全宣传教育，懂得火灾扑救的基本方法，会报警、会使用灭火器材。</w:t>
            </w:r>
          </w:p>
          <w:p>
            <w:pPr>
              <w:pStyle w:val="33"/>
              <w:bidi w:val="0"/>
              <w:jc w:val="left"/>
            </w:pPr>
            <w:r>
              <w:t>燃气锅炉风险防范措施</w:t>
            </w:r>
            <w:r>
              <w:rPr>
                <w:rFonts w:hint="eastAsia"/>
                <w:lang w:eastAsia="zh-CN"/>
              </w:rPr>
              <w:t>：</w:t>
            </w:r>
          </w:p>
          <w:p>
            <w:pPr>
              <w:pStyle w:val="33"/>
              <w:bidi w:val="0"/>
              <w:jc w:val="left"/>
              <w:rPr>
                <w:rFonts w:hint="eastAsia" w:cs="Times New Roman"/>
                <w:color w:val="000000" w:themeColor="text1"/>
                <w:szCs w:val="21"/>
                <w14:textFill>
                  <w14:solidFill>
                    <w14:schemeClr w14:val="tx1"/>
                  </w14:solidFill>
                </w14:textFill>
              </w:rPr>
            </w:pPr>
            <w:r>
              <w:t>①燃气锅炉的点火和灭火必须严守操作程序；②锅炉运行照规章制度进行人工监控并做好记录；③锅炉房内设立灵敏的火灾自动报警装置，设置喷水灭火装置；④定期对锅炉房及其配套的电气线路、燃气管道等进行检测，发现隐患及时消除；并设置应急电源，并应经常检查确保安全通道的畅通；⑤完善消防安全制度，履行消防安全职责；认真执行消防安全操作规程，杜绝违章现象；确保消防设施完好有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4" w:hRule="atLeast"/>
          <w:jc w:val="center"/>
        </w:trPr>
        <w:tc>
          <w:tcPr>
            <w:tcW w:w="711" w:type="pct"/>
            <w:vAlign w:val="center"/>
          </w:tcPr>
          <w:p>
            <w:pPr>
              <w:adjustRightInd w:val="0"/>
              <w:snapToGrid w:val="0"/>
              <w:spacing w:line="240" w:lineRule="auto"/>
              <w:ind w:firstLine="0" w:firstLineChars="0"/>
              <w:jc w:val="center"/>
              <w:textAlignment w:val="auto"/>
              <w:rPr>
                <w:rFonts w:cs="Times New Roman"/>
                <w:b/>
                <w:bCs/>
                <w:color w:val="000000" w:themeColor="text1"/>
                <w:spacing w:val="-8"/>
                <w:sz w:val="21"/>
                <w:szCs w:val="21"/>
                <w14:textFill>
                  <w14:solidFill>
                    <w14:schemeClr w14:val="tx1"/>
                  </w14:solidFill>
                </w14:textFill>
              </w:rPr>
            </w:pPr>
            <w:r>
              <w:rPr>
                <w:rFonts w:cs="Times New Roman"/>
                <w:b/>
                <w:bCs/>
                <w:color w:val="000000" w:themeColor="text1"/>
                <w:spacing w:val="-8"/>
                <w:sz w:val="21"/>
                <w:szCs w:val="21"/>
                <w14:textFill>
                  <w14:solidFill>
                    <w14:schemeClr w14:val="tx1"/>
                  </w14:solidFill>
                </w14:textFill>
              </w:rPr>
              <w:t>其他环境</w:t>
            </w:r>
          </w:p>
          <w:p>
            <w:pPr>
              <w:adjustRightInd w:val="0"/>
              <w:snapToGrid w:val="0"/>
              <w:spacing w:line="240" w:lineRule="auto"/>
              <w:ind w:firstLine="0" w:firstLineChars="0"/>
              <w:jc w:val="center"/>
              <w:textAlignment w:val="auto"/>
              <w:rPr>
                <w:rFonts w:cs="Times New Roman"/>
                <w:b/>
                <w:bCs/>
                <w:color w:val="000000" w:themeColor="text1"/>
                <w:spacing w:val="-8"/>
                <w:sz w:val="21"/>
                <w:szCs w:val="21"/>
                <w14:textFill>
                  <w14:solidFill>
                    <w14:schemeClr w14:val="tx1"/>
                  </w14:solidFill>
                </w14:textFill>
              </w:rPr>
            </w:pPr>
            <w:r>
              <w:rPr>
                <w:rFonts w:cs="Times New Roman"/>
                <w:b/>
                <w:bCs/>
                <w:color w:val="000000" w:themeColor="text1"/>
                <w:spacing w:val="-8"/>
                <w:sz w:val="21"/>
                <w:szCs w:val="21"/>
                <w14:textFill>
                  <w14:solidFill>
                    <w14:schemeClr w14:val="tx1"/>
                  </w14:solidFill>
                </w14:textFill>
              </w:rPr>
              <w:t>管理要求</w:t>
            </w:r>
          </w:p>
        </w:tc>
        <w:tc>
          <w:tcPr>
            <w:tcW w:w="4288" w:type="pct"/>
            <w:gridSpan w:val="4"/>
            <w:vAlign w:val="center"/>
          </w:tcPr>
          <w:p>
            <w:pPr>
              <w:adjustRightInd w:val="0"/>
              <w:snapToGrid w:val="0"/>
              <w:spacing w:line="240" w:lineRule="auto"/>
              <w:ind w:firstLine="0" w:firstLineChars="0"/>
              <w:textAlignment w:val="auto"/>
              <w:rPr>
                <w:rFonts w:cs="Times New Roman"/>
                <w:sz w:val="21"/>
                <w:szCs w:val="21"/>
              </w:rPr>
            </w:pPr>
            <w:r>
              <w:rPr>
                <w:rFonts w:cs="Times New Roman"/>
                <w:sz w:val="21"/>
                <w:szCs w:val="21"/>
              </w:rPr>
              <w:t>一、</w:t>
            </w:r>
            <w:r>
              <w:rPr>
                <w:rFonts w:hint="eastAsia" w:cs="Times New Roman"/>
                <w:sz w:val="21"/>
                <w:szCs w:val="21"/>
              </w:rPr>
              <w:t>环境管理机构和职责</w:t>
            </w:r>
          </w:p>
          <w:p>
            <w:pPr>
              <w:adjustRightInd w:val="0"/>
              <w:snapToGrid w:val="0"/>
              <w:spacing w:line="240" w:lineRule="auto"/>
              <w:ind w:firstLine="420"/>
              <w:textAlignment w:val="auto"/>
              <w:rPr>
                <w:rFonts w:cs="Times New Roman"/>
                <w:sz w:val="21"/>
                <w:szCs w:val="21"/>
              </w:rPr>
            </w:pPr>
            <w:r>
              <w:rPr>
                <w:rFonts w:cs="Times New Roman"/>
                <w:sz w:val="21"/>
                <w:szCs w:val="21"/>
              </w:rPr>
              <w:t>根据国家有关环境保护法规的要求和本项目生产的实际需要，建议该企业配备专职环保管理人员。环保管理人员应由熟悉企业排污状况、具备一定清洁生产知识、责任心强和组织协调能力强的人员担任，以利于监督管理，负责全厂的环境保护管理工作，发现问题能及时解决并向上级环保主管部门报告</w:t>
            </w:r>
            <w:r>
              <w:rPr>
                <w:rFonts w:hint="eastAsia" w:cs="Times New Roman"/>
                <w:sz w:val="21"/>
                <w:szCs w:val="21"/>
              </w:rPr>
              <w:t>。</w:t>
            </w:r>
          </w:p>
          <w:p>
            <w:pPr>
              <w:adjustRightInd w:val="0"/>
              <w:snapToGrid w:val="0"/>
              <w:spacing w:line="240" w:lineRule="auto"/>
              <w:ind w:firstLine="0" w:firstLineChars="0"/>
              <w:textAlignment w:val="auto"/>
              <w:rPr>
                <w:rFonts w:cs="Times New Roman"/>
                <w:sz w:val="21"/>
                <w:szCs w:val="21"/>
              </w:rPr>
            </w:pPr>
            <w:r>
              <w:rPr>
                <w:rFonts w:hint="eastAsia" w:cs="Times New Roman"/>
                <w:sz w:val="21"/>
                <w:szCs w:val="21"/>
              </w:rPr>
              <w:t>二、环境管理内容</w:t>
            </w:r>
          </w:p>
          <w:p>
            <w:pPr>
              <w:adjustRightInd w:val="0"/>
              <w:snapToGrid w:val="0"/>
              <w:spacing w:line="240" w:lineRule="auto"/>
              <w:ind w:firstLine="420"/>
              <w:jc w:val="left"/>
              <w:textAlignment w:val="auto"/>
              <w:rPr>
                <w:rFonts w:cs="Times New Roman"/>
                <w:sz w:val="21"/>
                <w:szCs w:val="21"/>
              </w:rPr>
            </w:pPr>
            <w:r>
              <w:rPr>
                <w:rFonts w:cs="Times New Roman"/>
                <w:sz w:val="21"/>
                <w:szCs w:val="21"/>
              </w:rPr>
              <w:t>（1）</w:t>
            </w:r>
            <w:r>
              <w:rPr>
                <w:rFonts w:hint="eastAsia" w:cs="Times New Roman"/>
                <w:sz w:val="21"/>
                <w:szCs w:val="21"/>
              </w:rPr>
              <w:t>设置</w:t>
            </w:r>
            <w:r>
              <w:rPr>
                <w:rFonts w:cs="Times New Roman"/>
                <w:sz w:val="21"/>
                <w:szCs w:val="21"/>
              </w:rPr>
              <w:t>环境保护职责管理条例</w:t>
            </w:r>
            <w:r>
              <w:rPr>
                <w:rFonts w:hint="eastAsia" w:cs="Times New Roman"/>
                <w:sz w:val="21"/>
                <w:szCs w:val="21"/>
              </w:rPr>
              <w:t>和环境管理制度；</w:t>
            </w:r>
          </w:p>
          <w:p>
            <w:pPr>
              <w:adjustRightInd w:val="0"/>
              <w:snapToGrid w:val="0"/>
              <w:spacing w:line="240" w:lineRule="auto"/>
              <w:ind w:firstLine="420"/>
              <w:textAlignment w:val="auto"/>
              <w:rPr>
                <w:rFonts w:cs="Times New Roman"/>
                <w:sz w:val="21"/>
                <w:szCs w:val="21"/>
              </w:rPr>
            </w:pPr>
            <w:r>
              <w:rPr>
                <w:rFonts w:cs="Times New Roman"/>
                <w:sz w:val="21"/>
                <w:szCs w:val="21"/>
              </w:rPr>
              <w:t>（2）</w:t>
            </w:r>
            <w:r>
              <w:rPr>
                <w:rFonts w:hint="eastAsia" w:cs="Times New Roman"/>
                <w:sz w:val="21"/>
                <w:szCs w:val="21"/>
              </w:rPr>
              <w:t>督促和协助企业建立健全环境管理体系和管理人员；</w:t>
            </w:r>
          </w:p>
          <w:p>
            <w:pPr>
              <w:adjustRightInd w:val="0"/>
              <w:snapToGrid w:val="0"/>
              <w:spacing w:line="240" w:lineRule="auto"/>
              <w:ind w:firstLine="420"/>
              <w:textAlignment w:val="auto"/>
              <w:rPr>
                <w:rFonts w:cs="Times New Roman"/>
                <w:sz w:val="21"/>
                <w:szCs w:val="21"/>
              </w:rPr>
            </w:pPr>
            <w:r>
              <w:rPr>
                <w:rFonts w:cs="Times New Roman"/>
                <w:sz w:val="21"/>
                <w:szCs w:val="21"/>
              </w:rPr>
              <w:t>（3）</w:t>
            </w:r>
            <w:r>
              <w:rPr>
                <w:rFonts w:hint="eastAsia" w:cs="Times New Roman"/>
                <w:sz w:val="21"/>
                <w:szCs w:val="21"/>
              </w:rPr>
              <w:t>宣传国家、自治区、自治州有关环境保护方面的法律、法规和政策；</w:t>
            </w:r>
          </w:p>
          <w:p>
            <w:pPr>
              <w:adjustRightInd w:val="0"/>
              <w:snapToGrid w:val="0"/>
              <w:spacing w:line="240" w:lineRule="auto"/>
              <w:ind w:firstLine="420"/>
              <w:textAlignment w:val="auto"/>
              <w:rPr>
                <w:rFonts w:cs="Times New Roman"/>
                <w:sz w:val="21"/>
                <w:szCs w:val="21"/>
              </w:rPr>
            </w:pPr>
            <w:r>
              <w:rPr>
                <w:rFonts w:hint="eastAsia" w:cs="Times New Roman"/>
                <w:sz w:val="21"/>
                <w:szCs w:val="21"/>
              </w:rPr>
              <w:t>（4）实施</w:t>
            </w:r>
            <w:r>
              <w:rPr>
                <w:rFonts w:hint="eastAsia" w:cs="Times New Roman"/>
                <w:sz w:val="21"/>
                <w:szCs w:val="21"/>
                <w:lang w:eastAsia="zh-CN"/>
              </w:rPr>
              <w:t>“</w:t>
            </w:r>
            <w:r>
              <w:rPr>
                <w:rFonts w:hint="eastAsia" w:cs="Times New Roman"/>
                <w:sz w:val="21"/>
                <w:szCs w:val="21"/>
              </w:rPr>
              <w:t>三同时</w:t>
            </w:r>
            <w:r>
              <w:rPr>
                <w:rFonts w:hint="eastAsia" w:cs="Times New Roman"/>
                <w:sz w:val="21"/>
                <w:szCs w:val="21"/>
                <w:lang w:eastAsia="zh-CN"/>
              </w:rPr>
              <w:t>”</w:t>
            </w:r>
            <w:r>
              <w:rPr>
                <w:rFonts w:hint="eastAsia" w:cs="Times New Roman"/>
                <w:sz w:val="21"/>
                <w:szCs w:val="21"/>
              </w:rPr>
              <w:t>验收和污染物达标排放的监督管理；</w:t>
            </w:r>
          </w:p>
          <w:p>
            <w:pPr>
              <w:adjustRightInd w:val="0"/>
              <w:snapToGrid w:val="0"/>
              <w:spacing w:line="240" w:lineRule="auto"/>
              <w:ind w:firstLine="420"/>
              <w:textAlignment w:val="auto"/>
              <w:rPr>
                <w:rFonts w:cs="Times New Roman"/>
                <w:sz w:val="21"/>
                <w:szCs w:val="21"/>
              </w:rPr>
            </w:pPr>
            <w:r>
              <w:rPr>
                <w:rFonts w:hint="eastAsia" w:cs="Times New Roman"/>
                <w:sz w:val="21"/>
                <w:szCs w:val="21"/>
              </w:rPr>
              <w:t>（5）检查环保设施的运行状况和是否达标排放。</w:t>
            </w:r>
          </w:p>
          <w:p>
            <w:pPr>
              <w:adjustRightInd w:val="0"/>
              <w:snapToGrid w:val="0"/>
              <w:spacing w:line="240" w:lineRule="auto"/>
              <w:ind w:firstLine="0" w:firstLineChars="0"/>
              <w:textAlignment w:val="auto"/>
              <w:rPr>
                <w:rFonts w:cs="Times New Roman"/>
                <w:sz w:val="21"/>
                <w:szCs w:val="21"/>
              </w:rPr>
            </w:pPr>
            <w:r>
              <w:rPr>
                <w:rFonts w:hint="eastAsia" w:cs="Times New Roman"/>
                <w:sz w:val="21"/>
                <w:szCs w:val="21"/>
              </w:rPr>
              <w:t>三</w:t>
            </w:r>
            <w:r>
              <w:rPr>
                <w:rFonts w:cs="Times New Roman"/>
                <w:sz w:val="21"/>
                <w:szCs w:val="21"/>
              </w:rPr>
              <w:t>、</w:t>
            </w:r>
            <w:r>
              <w:rPr>
                <w:rFonts w:hint="eastAsia" w:cs="Times New Roman"/>
                <w:sz w:val="21"/>
                <w:szCs w:val="21"/>
              </w:rPr>
              <w:t>排污口规范化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center"/>
              <w:rPr>
                <w:rFonts w:cs="Times New Roman"/>
                <w:color w:val="000000" w:themeColor="text1"/>
                <w:sz w:val="21"/>
                <w:szCs w:val="21"/>
                <w14:textFill>
                  <w14:solidFill>
                    <w14:schemeClr w14:val="tx1"/>
                  </w14:solidFill>
                </w14:textFill>
              </w:rPr>
            </w:pPr>
            <w:r>
              <w:rPr>
                <w:rFonts w:hint="default" w:ascii="Times New Roman" w:hAnsi="Times New Roman" w:eastAsia="宋体" w:cs="Times New Roman"/>
                <w:sz w:val="21"/>
                <w:szCs w:val="21"/>
              </w:rPr>
              <w:t>排污口规范化设置根据国家标准《环境保护图形标志—排放口</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源</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》和国家环保总局《排污口规范化整治要求</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试行》的技术要求，企业所有排放口设置与之相适应的环境保护图形标志牌，绘制企业排污口分布图，排污口的规范化要符合环境监察部门的相关要求。在厂区“三废”及噪声排放点，设置明显标志，标志的设置应执行《环境保护图形标志—排放口</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源</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15562.1-1995</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、《环境保护图形标志固体废物贮存</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处置</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场》</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15562.2-1995</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及修改单中有关规定。</w:t>
            </w:r>
          </w:p>
        </w:tc>
      </w:tr>
      <w:bookmarkEnd w:id="24"/>
    </w:tbl>
    <w:p>
      <w:pPr>
        <w:ind w:firstLine="480"/>
        <w:rPr>
          <w:snapToGrid w:val="0"/>
        </w:rPr>
      </w:pPr>
    </w:p>
    <w:p>
      <w:pPr>
        <w:pStyle w:val="4"/>
        <w:rPr>
          <w:snapToGrid w:val="0"/>
          <w:color w:val="000000" w:themeColor="text1"/>
          <w14:textFill>
            <w14:solidFill>
              <w14:schemeClr w14:val="tx1"/>
            </w14:solidFill>
          </w14:textFill>
        </w:rPr>
      </w:pPr>
      <w:r>
        <w:rPr>
          <w:rFonts w:hint="eastAsia"/>
          <w:snapToGrid w:val="0"/>
          <w:color w:val="000000" w:themeColor="text1"/>
          <w14:textFill>
            <w14:solidFill>
              <w14:schemeClr w14:val="tx1"/>
            </w14:solidFill>
          </w14:textFill>
        </w:rPr>
        <w:t>六、结论</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060" w:type="dxa"/>
          </w:tcPr>
          <w:p>
            <w:pPr>
              <w:ind w:firstLine="480"/>
              <w:rPr>
                <w:color w:val="000000" w:themeColor="text1"/>
                <w14:textFill>
                  <w14:solidFill>
                    <w14:schemeClr w14:val="tx1"/>
                  </w14:solidFill>
                </w14:textFill>
              </w:rPr>
            </w:pPr>
            <w:bookmarkStart w:id="26" w:name="_Hlk97246050"/>
            <w:r>
              <w:rPr>
                <w:rFonts w:hint="eastAsia"/>
                <w:color w:val="000000" w:themeColor="text1"/>
                <w14:textFill>
                  <w14:solidFill>
                    <w14:schemeClr w14:val="tx1"/>
                  </w14:solidFill>
                </w14:textFill>
              </w:rPr>
              <w:t>综上所述，本项目符合国家产业政策及相关规划要求，工程选址可行，平面布置基本合理。在项目认真落实本报告提出的各项污染防治措施前提下，各项污染物能够实现达标排放，项目运营对周边地表水、环境空气、声环境等影响较小。因此，从环境角度分析，本项目环境影响可行。</w:t>
            </w:r>
          </w:p>
          <w:bookmarkEnd w:id="26"/>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p>
        </w:tc>
      </w:tr>
    </w:tbl>
    <w:p>
      <w:pPr>
        <w:ind w:firstLine="0" w:firstLineChars="0"/>
        <w:rPr>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4"/>
        <w:rPr>
          <w:snapToGrid w:val="0"/>
          <w:color w:val="000000" w:themeColor="text1"/>
          <w:highlight w:val="none"/>
          <w14:textFill>
            <w14:solidFill>
              <w14:schemeClr w14:val="tx1"/>
            </w14:solidFill>
          </w14:textFill>
        </w:rPr>
      </w:pPr>
      <w:r>
        <w:rPr>
          <w:rFonts w:hint="eastAsia"/>
          <w:snapToGrid w:val="0"/>
          <w:color w:val="000000" w:themeColor="text1"/>
          <w:highlight w:val="none"/>
          <w14:textFill>
            <w14:solidFill>
              <w14:schemeClr w14:val="tx1"/>
            </w14:solidFill>
          </w14:textFill>
        </w:rPr>
        <w:t>建设项目污染物排放量汇总表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9"/>
        <w:gridCol w:w="1599"/>
        <w:gridCol w:w="1652"/>
        <w:gridCol w:w="1377"/>
        <w:gridCol w:w="1666"/>
        <w:gridCol w:w="1526"/>
        <w:gridCol w:w="1666"/>
        <w:gridCol w:w="1666"/>
        <w:gridCol w:w="1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545" w:type="pct"/>
            <w:tcBorders>
              <w:tl2br w:val="single" w:color="auto" w:sz="12" w:space="0"/>
            </w:tcBorders>
            <w:tcMar>
              <w:left w:w="28" w:type="dxa"/>
              <w:right w:w="28" w:type="dxa"/>
            </w:tcMar>
            <w:vAlign w:val="center"/>
          </w:tcPr>
          <w:p>
            <w:pPr>
              <w:pStyle w:val="26"/>
              <w:rPr>
                <w:rFonts w:cs="Times New Roman"/>
                <w:snapToGrid w:val="0"/>
                <w:color w:val="000000" w:themeColor="text1"/>
                <w14:textFill>
                  <w14:solidFill>
                    <w14:schemeClr w14:val="tx1"/>
                  </w14:solidFill>
                </w14:textFill>
              </w:rPr>
            </w:pPr>
            <w:bookmarkStart w:id="27" w:name="_Hlk72769786"/>
            <w:r>
              <w:rPr>
                <w:rFonts w:hint="eastAsia" w:cs="Times New Roman"/>
                <w:snapToGrid w:val="0"/>
                <w:color w:val="000000" w:themeColor="text1"/>
                <w14:textFill>
                  <w14:solidFill>
                    <w14:schemeClr w14:val="tx1"/>
                  </w14:solidFill>
                </w14:textFill>
              </w:rPr>
              <w:t xml:space="preserve"> </w:t>
            </w:r>
            <w:r>
              <w:rPr>
                <w:rFonts w:cs="Times New Roman"/>
                <w:snapToGrid w:val="0"/>
                <w:color w:val="000000" w:themeColor="text1"/>
                <w14:textFill>
                  <w14:solidFill>
                    <w14:schemeClr w14:val="tx1"/>
                  </w14:solidFill>
                </w14:textFill>
              </w:rPr>
              <w:t xml:space="preserve">     项目</w:t>
            </w:r>
          </w:p>
          <w:p>
            <w:pPr>
              <w:pStyle w:val="26"/>
              <w:jc w:val="both"/>
              <w:rPr>
                <w:rFonts w:cs="Times New Roman"/>
                <w:snapToGrid w:val="0"/>
                <w:color w:val="000000" w:themeColor="text1"/>
                <w14:textFill>
                  <w14:solidFill>
                    <w14:schemeClr w14:val="tx1"/>
                  </w14:solidFill>
                </w14:textFill>
              </w:rPr>
            </w:pPr>
          </w:p>
          <w:p>
            <w:pPr>
              <w:pStyle w:val="26"/>
              <w:ind w:firstLine="210" w:firstLineChars="100"/>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分类</w:t>
            </w:r>
          </w:p>
        </w:tc>
        <w:tc>
          <w:tcPr>
            <w:tcW w:w="570" w:type="pct"/>
            <w:tcMar>
              <w:left w:w="28" w:type="dxa"/>
              <w:right w:w="28" w:type="dxa"/>
            </w:tcMar>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污染物名称</w:t>
            </w:r>
          </w:p>
        </w:tc>
        <w:tc>
          <w:tcPr>
            <w:tcW w:w="589" w:type="pct"/>
            <w:tcMar>
              <w:left w:w="28" w:type="dxa"/>
              <w:right w:w="28" w:type="dxa"/>
            </w:tcMar>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现有工程</w:t>
            </w:r>
          </w:p>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排放量（固体废物产生量）</w:t>
            </w:r>
            <w:r>
              <w:rPr>
                <w:rFonts w:cs="Times New Roman"/>
                <w:snapToGrid w:val="0"/>
                <w:color w:val="000000" w:themeColor="text1"/>
                <w14:textFill>
                  <w14:solidFill>
                    <w14:schemeClr w14:val="tx1"/>
                  </w14:solidFill>
                </w14:textFill>
              </w:rPr>
              <w:fldChar w:fldCharType="begin"/>
            </w:r>
            <w:r>
              <w:rPr>
                <w:rFonts w:cs="Times New Roman"/>
                <w:snapToGrid w:val="0"/>
                <w:color w:val="000000" w:themeColor="text1"/>
                <w14:textFill>
                  <w14:solidFill>
                    <w14:schemeClr w14:val="tx1"/>
                  </w14:solidFill>
                </w14:textFill>
              </w:rPr>
              <w:instrText xml:space="preserve"> = 1 \* GB3 \* MERGEFORMAT </w:instrText>
            </w:r>
            <w:r>
              <w:rPr>
                <w:rFonts w:cs="Times New Roman"/>
                <w:snapToGrid w:val="0"/>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rFonts w:cs="Times New Roman"/>
                <w:snapToGrid w:val="0"/>
                <w:color w:val="000000" w:themeColor="text1"/>
                <w14:textFill>
                  <w14:solidFill>
                    <w14:schemeClr w14:val="tx1"/>
                  </w14:solidFill>
                </w14:textFill>
              </w:rPr>
              <w:fldChar w:fldCharType="end"/>
            </w:r>
          </w:p>
        </w:tc>
        <w:tc>
          <w:tcPr>
            <w:tcW w:w="491" w:type="pct"/>
            <w:tcMar>
              <w:left w:w="28" w:type="dxa"/>
              <w:right w:w="28" w:type="dxa"/>
            </w:tcMar>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现有工程</w:t>
            </w:r>
          </w:p>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许可排放量</w:t>
            </w:r>
          </w:p>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fldChar w:fldCharType="begin"/>
            </w:r>
            <w:r>
              <w:rPr>
                <w:rFonts w:cs="Times New Roman"/>
                <w:snapToGrid w:val="0"/>
                <w:color w:val="000000" w:themeColor="text1"/>
                <w14:textFill>
                  <w14:solidFill>
                    <w14:schemeClr w14:val="tx1"/>
                  </w14:solidFill>
                </w14:textFill>
              </w:rPr>
              <w:instrText xml:space="preserve"> = 2 \* GB3 \* MERGEFORMAT </w:instrText>
            </w:r>
            <w:r>
              <w:rPr>
                <w:rFonts w:cs="Times New Roman"/>
                <w:snapToGrid w:val="0"/>
                <w:color w:val="000000" w:themeColor="text1"/>
                <w14:textFill>
                  <w14:solidFill>
                    <w14:schemeClr w14:val="tx1"/>
                  </w14:solidFill>
                </w14:textFill>
              </w:rPr>
              <w:fldChar w:fldCharType="separate"/>
            </w:r>
            <w:r>
              <w:rPr>
                <w:rFonts w:hint="eastAsia" w:ascii="宋体" w:hAnsi="宋体" w:cs="宋体"/>
                <w:snapToGrid w:val="0"/>
                <w:color w:val="000000" w:themeColor="text1"/>
                <w14:textFill>
                  <w14:solidFill>
                    <w14:schemeClr w14:val="tx1"/>
                  </w14:solidFill>
                </w14:textFill>
              </w:rPr>
              <w:t>②</w:t>
            </w:r>
            <w:r>
              <w:rPr>
                <w:rFonts w:cs="Times New Roman"/>
                <w:snapToGrid w:val="0"/>
                <w:color w:val="000000" w:themeColor="text1"/>
                <w14:textFill>
                  <w14:solidFill>
                    <w14:schemeClr w14:val="tx1"/>
                  </w14:solidFill>
                </w14:textFill>
              </w:rPr>
              <w:fldChar w:fldCharType="end"/>
            </w:r>
          </w:p>
        </w:tc>
        <w:tc>
          <w:tcPr>
            <w:tcW w:w="594" w:type="pct"/>
            <w:tcMar>
              <w:left w:w="28" w:type="dxa"/>
              <w:right w:w="28" w:type="dxa"/>
            </w:tcMar>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在建工程</w:t>
            </w:r>
          </w:p>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排放量（固体废物产生量）</w:t>
            </w:r>
            <w:r>
              <w:rPr>
                <w:rFonts w:cs="Times New Roman"/>
                <w:snapToGrid w:val="0"/>
                <w:color w:val="000000" w:themeColor="text1"/>
                <w14:textFill>
                  <w14:solidFill>
                    <w14:schemeClr w14:val="tx1"/>
                  </w14:solidFill>
                </w14:textFill>
              </w:rPr>
              <w:fldChar w:fldCharType="begin"/>
            </w:r>
            <w:r>
              <w:rPr>
                <w:rFonts w:cs="Times New Roman"/>
                <w:snapToGrid w:val="0"/>
                <w:color w:val="000000" w:themeColor="text1"/>
                <w14:textFill>
                  <w14:solidFill>
                    <w14:schemeClr w14:val="tx1"/>
                  </w14:solidFill>
                </w14:textFill>
              </w:rPr>
              <w:instrText xml:space="preserve"> = 3 \* GB3 \* MERGEFORMAT </w:instrText>
            </w:r>
            <w:r>
              <w:rPr>
                <w:rFonts w:cs="Times New Roman"/>
                <w:snapToGrid w:val="0"/>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rFonts w:cs="Times New Roman"/>
                <w:snapToGrid w:val="0"/>
                <w:color w:val="000000" w:themeColor="text1"/>
                <w14:textFill>
                  <w14:solidFill>
                    <w14:schemeClr w14:val="tx1"/>
                  </w14:solidFill>
                </w14:textFill>
              </w:rPr>
              <w:fldChar w:fldCharType="end"/>
            </w:r>
          </w:p>
        </w:tc>
        <w:tc>
          <w:tcPr>
            <w:tcW w:w="544" w:type="pct"/>
            <w:tcMar>
              <w:left w:w="28" w:type="dxa"/>
              <w:right w:w="28" w:type="dxa"/>
            </w:tcMar>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本项目</w:t>
            </w:r>
          </w:p>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排放量（固体废物产生量）</w:t>
            </w:r>
            <w:r>
              <w:rPr>
                <w:rFonts w:cs="Times New Roman"/>
                <w:snapToGrid w:val="0"/>
                <w:color w:val="000000" w:themeColor="text1"/>
                <w14:textFill>
                  <w14:solidFill>
                    <w14:schemeClr w14:val="tx1"/>
                  </w14:solidFill>
                </w14:textFill>
              </w:rPr>
              <w:fldChar w:fldCharType="begin"/>
            </w:r>
            <w:r>
              <w:rPr>
                <w:rFonts w:cs="Times New Roman"/>
                <w:snapToGrid w:val="0"/>
                <w:color w:val="000000" w:themeColor="text1"/>
                <w14:textFill>
                  <w14:solidFill>
                    <w14:schemeClr w14:val="tx1"/>
                  </w14:solidFill>
                </w14:textFill>
              </w:rPr>
              <w:instrText xml:space="preserve"> = 4 \* GB3 \* MERGEFORMAT </w:instrText>
            </w:r>
            <w:r>
              <w:rPr>
                <w:rFonts w:cs="Times New Roman"/>
                <w:snapToGrid w:val="0"/>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rFonts w:cs="Times New Roman"/>
                <w:snapToGrid w:val="0"/>
                <w:color w:val="000000" w:themeColor="text1"/>
                <w14:textFill>
                  <w14:solidFill>
                    <w14:schemeClr w14:val="tx1"/>
                  </w14:solidFill>
                </w14:textFill>
              </w:rPr>
              <w:fldChar w:fldCharType="end"/>
            </w:r>
          </w:p>
        </w:tc>
        <w:tc>
          <w:tcPr>
            <w:tcW w:w="594" w:type="pct"/>
            <w:tcMar>
              <w:left w:w="28" w:type="dxa"/>
              <w:right w:w="28" w:type="dxa"/>
            </w:tcMar>
            <w:vAlign w:val="center"/>
          </w:tcPr>
          <w:p>
            <w:pPr>
              <w:pStyle w:val="26"/>
              <w:rPr>
                <w:rFonts w:cs="Times New Roman"/>
                <w:snapToGrid w:val="0"/>
                <w:color w:val="000000" w:themeColor="text1"/>
                <w:spacing w:val="-16"/>
                <w14:textFill>
                  <w14:solidFill>
                    <w14:schemeClr w14:val="tx1"/>
                  </w14:solidFill>
                </w14:textFill>
              </w:rPr>
            </w:pPr>
            <w:r>
              <w:rPr>
                <w:rFonts w:cs="Times New Roman"/>
                <w:snapToGrid w:val="0"/>
                <w:color w:val="000000" w:themeColor="text1"/>
                <w:spacing w:val="-16"/>
                <w14:textFill>
                  <w14:solidFill>
                    <w14:schemeClr w14:val="tx1"/>
                  </w14:solidFill>
                </w14:textFill>
              </w:rPr>
              <w:t>以新带老削减量</w:t>
            </w:r>
          </w:p>
          <w:p>
            <w:pPr>
              <w:pStyle w:val="26"/>
              <w:rPr>
                <w:rFonts w:cs="Times New Roman"/>
                <w:snapToGrid w:val="0"/>
                <w:color w:val="000000" w:themeColor="text1"/>
                <w:spacing w:val="-16"/>
                <w14:textFill>
                  <w14:solidFill>
                    <w14:schemeClr w14:val="tx1"/>
                  </w14:solidFill>
                </w14:textFill>
              </w:rPr>
            </w:pPr>
            <w:r>
              <w:rPr>
                <w:rFonts w:cs="Times New Roman"/>
                <w:snapToGrid w:val="0"/>
                <w:color w:val="000000" w:themeColor="text1"/>
                <w:spacing w:val="-16"/>
                <w14:textFill>
                  <w14:solidFill>
                    <w14:schemeClr w14:val="tx1"/>
                  </w14:solidFill>
                </w14:textFill>
              </w:rPr>
              <w:t>（新建项目不填）</w:t>
            </w:r>
            <w:r>
              <w:rPr>
                <w:rFonts w:cs="Times New Roman"/>
                <w:snapToGrid w:val="0"/>
                <w:color w:val="000000" w:themeColor="text1"/>
                <w:spacing w:val="-16"/>
                <w14:textFill>
                  <w14:solidFill>
                    <w14:schemeClr w14:val="tx1"/>
                  </w14:solidFill>
                </w14:textFill>
              </w:rPr>
              <w:fldChar w:fldCharType="begin"/>
            </w:r>
            <w:r>
              <w:rPr>
                <w:rFonts w:cs="Times New Roman"/>
                <w:snapToGrid w:val="0"/>
                <w:color w:val="000000" w:themeColor="text1"/>
                <w:spacing w:val="-16"/>
                <w14:textFill>
                  <w14:solidFill>
                    <w14:schemeClr w14:val="tx1"/>
                  </w14:solidFill>
                </w14:textFill>
              </w:rPr>
              <w:instrText xml:space="preserve"> = 5 \* GB3 \* MERGEFORMAT </w:instrText>
            </w:r>
            <w:r>
              <w:rPr>
                <w:rFonts w:cs="Times New Roman"/>
                <w:snapToGrid w:val="0"/>
                <w:color w:val="000000" w:themeColor="text1"/>
                <w:spacing w:val="-16"/>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⑤</w:t>
            </w:r>
            <w:r>
              <w:rPr>
                <w:rFonts w:cs="Times New Roman"/>
                <w:snapToGrid w:val="0"/>
                <w:color w:val="000000" w:themeColor="text1"/>
                <w:spacing w:val="-16"/>
                <w14:textFill>
                  <w14:solidFill>
                    <w14:schemeClr w14:val="tx1"/>
                  </w14:solidFill>
                </w14:textFill>
              </w:rPr>
              <w:fldChar w:fldCharType="end"/>
            </w:r>
          </w:p>
        </w:tc>
        <w:tc>
          <w:tcPr>
            <w:tcW w:w="594" w:type="pct"/>
            <w:tcMar>
              <w:left w:w="28" w:type="dxa"/>
              <w:right w:w="28" w:type="dxa"/>
            </w:tcMar>
            <w:vAlign w:val="center"/>
          </w:tcPr>
          <w:p>
            <w:pPr>
              <w:pStyle w:val="26"/>
              <w:rPr>
                <w:rFonts w:cs="Times New Roman"/>
                <w:snapToGrid w:val="0"/>
                <w:color w:val="000000" w:themeColor="text1"/>
                <w:spacing w:val="-16"/>
                <w14:textFill>
                  <w14:solidFill>
                    <w14:schemeClr w14:val="tx1"/>
                  </w14:solidFill>
                </w14:textFill>
              </w:rPr>
            </w:pPr>
            <w:r>
              <w:rPr>
                <w:rFonts w:cs="Times New Roman"/>
                <w:snapToGrid w:val="0"/>
                <w:color w:val="000000" w:themeColor="text1"/>
                <w:spacing w:val="-16"/>
                <w14:textFill>
                  <w14:solidFill>
                    <w14:schemeClr w14:val="tx1"/>
                  </w14:solidFill>
                </w14:textFill>
              </w:rPr>
              <w:t>本项目建成后</w:t>
            </w:r>
          </w:p>
          <w:p>
            <w:pPr>
              <w:pStyle w:val="26"/>
              <w:rPr>
                <w:rFonts w:cs="Times New Roman"/>
                <w:snapToGrid w:val="0"/>
                <w:color w:val="000000" w:themeColor="text1"/>
                <w:spacing w:val="-16"/>
                <w14:textFill>
                  <w14:solidFill>
                    <w14:schemeClr w14:val="tx1"/>
                  </w14:solidFill>
                </w14:textFill>
              </w:rPr>
            </w:pPr>
            <w:r>
              <w:rPr>
                <w:rFonts w:cs="Times New Roman"/>
                <w:snapToGrid w:val="0"/>
                <w:color w:val="000000" w:themeColor="text1"/>
                <w:spacing w:val="-16"/>
                <w14:textFill>
                  <w14:solidFill>
                    <w14:schemeClr w14:val="tx1"/>
                  </w14:solidFill>
                </w14:textFill>
              </w:rPr>
              <w:t>全厂排放量（固体废物产生量）</w:t>
            </w:r>
            <w:r>
              <w:rPr>
                <w:rFonts w:cs="Times New Roman"/>
                <w:snapToGrid w:val="0"/>
                <w:color w:val="000000" w:themeColor="text1"/>
                <w:spacing w:val="-16"/>
                <w14:textFill>
                  <w14:solidFill>
                    <w14:schemeClr w14:val="tx1"/>
                  </w14:solidFill>
                </w14:textFill>
              </w:rPr>
              <w:fldChar w:fldCharType="begin"/>
            </w:r>
            <w:r>
              <w:rPr>
                <w:rFonts w:cs="Times New Roman"/>
                <w:snapToGrid w:val="0"/>
                <w:color w:val="000000" w:themeColor="text1"/>
                <w:spacing w:val="-16"/>
                <w14:textFill>
                  <w14:solidFill>
                    <w14:schemeClr w14:val="tx1"/>
                  </w14:solidFill>
                </w14:textFill>
              </w:rPr>
              <w:instrText xml:space="preserve"> = 6 \* GB3 \* MERGEFORMAT </w:instrText>
            </w:r>
            <w:r>
              <w:rPr>
                <w:rFonts w:cs="Times New Roman"/>
                <w:snapToGrid w:val="0"/>
                <w:color w:val="000000" w:themeColor="text1"/>
                <w:spacing w:val="-16"/>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⑥</w:t>
            </w:r>
            <w:r>
              <w:rPr>
                <w:rFonts w:cs="Times New Roman"/>
                <w:snapToGrid w:val="0"/>
                <w:color w:val="000000" w:themeColor="text1"/>
                <w:spacing w:val="-16"/>
                <w14:textFill>
                  <w14:solidFill>
                    <w14:schemeClr w14:val="tx1"/>
                  </w14:solidFill>
                </w14:textFill>
              </w:rPr>
              <w:fldChar w:fldCharType="end"/>
            </w:r>
          </w:p>
        </w:tc>
        <w:tc>
          <w:tcPr>
            <w:tcW w:w="475" w:type="pct"/>
            <w:tcMar>
              <w:left w:w="28" w:type="dxa"/>
              <w:right w:w="28" w:type="dxa"/>
            </w:tcMar>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变化量</w:t>
            </w:r>
            <w:r>
              <w:rPr>
                <w:rFonts w:cs="Times New Roman"/>
                <w:snapToGrid w:val="0"/>
                <w:color w:val="000000" w:themeColor="text1"/>
                <w14:textFill>
                  <w14:solidFill>
                    <w14:schemeClr w14:val="tx1"/>
                  </w14:solidFill>
                </w14:textFill>
              </w:rPr>
              <w:fldChar w:fldCharType="begin"/>
            </w:r>
            <w:r>
              <w:rPr>
                <w:rFonts w:cs="Times New Roman"/>
                <w:snapToGrid w:val="0"/>
                <w:color w:val="000000" w:themeColor="text1"/>
                <w14:textFill>
                  <w14:solidFill>
                    <w14:schemeClr w14:val="tx1"/>
                  </w14:solidFill>
                </w14:textFill>
              </w:rPr>
              <w:instrText xml:space="preserve"> = 7 \* GB3 \* MERGEFORMAT </w:instrText>
            </w:r>
            <w:r>
              <w:rPr>
                <w:rFonts w:cs="Times New Roman"/>
                <w:snapToGrid w:val="0"/>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⑦</w:t>
            </w:r>
            <w:r>
              <w:rPr>
                <w:rFonts w:cs="Times New Roman"/>
                <w:snapToGrid w:val="0"/>
                <w:color w:val="000000" w:themeColor="text1"/>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545" w:type="pct"/>
            <w:vMerge w:val="restart"/>
            <w:vAlign w:val="center"/>
          </w:tcPr>
          <w:p>
            <w:pPr>
              <w:pStyle w:val="26"/>
              <w:rPr>
                <w:rFonts w:hint="eastAsia"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废气</w:t>
            </w:r>
          </w:p>
        </w:tc>
        <w:tc>
          <w:tcPr>
            <w:tcW w:w="570" w:type="pct"/>
            <w:vAlign w:val="center"/>
          </w:tcPr>
          <w:p>
            <w:pPr>
              <w:pStyle w:val="26"/>
              <w:rPr>
                <w:rFonts w:hint="default"/>
                <w:lang w:val="en-US" w:eastAsia="zh-CN"/>
              </w:rPr>
            </w:pPr>
            <w:r>
              <w:rPr>
                <w:rFonts w:hint="eastAsia" w:cs="Times New Roman"/>
                <w:color w:val="000000" w:themeColor="text1"/>
                <w:szCs w:val="21"/>
                <w:lang w:val="en-US" w:eastAsia="zh-CN"/>
                <w14:textFill>
                  <w14:solidFill>
                    <w14:schemeClr w14:val="tx1"/>
                  </w14:solidFill>
                </w14:textFill>
              </w:rPr>
              <w:t>烟气量</w:t>
            </w:r>
          </w:p>
        </w:tc>
        <w:tc>
          <w:tcPr>
            <w:tcW w:w="589" w:type="pct"/>
            <w:vAlign w:val="center"/>
          </w:tcPr>
          <w:p>
            <w:pPr>
              <w:pStyle w:val="26"/>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547.385</w:t>
            </w:r>
            <w:r>
              <w:rPr>
                <w:rFonts w:hint="eastAsia"/>
                <w:lang w:val="en-US" w:eastAsia="zh-CN"/>
              </w:rPr>
              <w:t>万Nm</w:t>
            </w:r>
            <w:r>
              <w:rPr>
                <w:rFonts w:hint="eastAsia"/>
                <w:vertAlign w:val="superscript"/>
                <w:lang w:val="en-US" w:eastAsia="zh-CN"/>
              </w:rPr>
              <w:t>3</w:t>
            </w:r>
            <w:r>
              <w:rPr>
                <w:rFonts w:hint="eastAsia"/>
                <w:lang w:val="en-US" w:eastAsia="zh-CN"/>
              </w:rPr>
              <w:t>/a</w:t>
            </w:r>
          </w:p>
        </w:tc>
        <w:tc>
          <w:tcPr>
            <w:tcW w:w="491" w:type="pct"/>
            <w:vAlign w:val="center"/>
          </w:tcPr>
          <w:p>
            <w:pPr>
              <w:pStyle w:val="26"/>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594" w:type="pct"/>
            <w:vAlign w:val="center"/>
          </w:tcPr>
          <w:p>
            <w:pPr>
              <w:pStyle w:val="26"/>
              <w:rPr>
                <w:rFonts w:hint="eastAsia"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544" w:type="pct"/>
            <w:vAlign w:val="center"/>
          </w:tcPr>
          <w:p>
            <w:pPr>
              <w:pStyle w:val="26"/>
              <w:rPr>
                <w:rFonts w:hint="eastAsia" w:cs="Times New Roman"/>
                <w:color w:val="000000" w:themeColor="text1"/>
                <w:kern w:val="0"/>
                <w:szCs w:val="21"/>
                <w14:textFill>
                  <w14:solidFill>
                    <w14:schemeClr w14:val="tx1"/>
                  </w14:solidFill>
                </w14:textFill>
              </w:rPr>
            </w:pPr>
            <w:r>
              <w:rPr>
                <w:rFonts w:hint="eastAsia"/>
                <w:lang w:val="en-US" w:eastAsia="zh-CN"/>
              </w:rPr>
              <w:t>1259.1394万Nm</w:t>
            </w:r>
            <w:r>
              <w:rPr>
                <w:rFonts w:hint="eastAsia"/>
                <w:vertAlign w:val="superscript"/>
                <w:lang w:val="en-US" w:eastAsia="zh-CN"/>
              </w:rPr>
              <w:t>3</w:t>
            </w:r>
            <w:r>
              <w:rPr>
                <w:rFonts w:hint="eastAsia"/>
                <w:lang w:val="en-US" w:eastAsia="zh-CN"/>
              </w:rPr>
              <w:t>/a</w:t>
            </w:r>
          </w:p>
        </w:tc>
        <w:tc>
          <w:tcPr>
            <w:tcW w:w="1666" w:type="dxa"/>
            <w:vAlign w:val="center"/>
          </w:tcPr>
          <w:p>
            <w:pPr>
              <w:pStyle w:val="26"/>
              <w:ind w:firstLine="0" w:firstLineChars="0"/>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547.385</w:t>
            </w:r>
            <w:r>
              <w:rPr>
                <w:rFonts w:hint="eastAsia"/>
                <w:lang w:val="en-US" w:eastAsia="zh-CN"/>
              </w:rPr>
              <w:t>万Nm</w:t>
            </w:r>
            <w:r>
              <w:rPr>
                <w:rFonts w:hint="eastAsia"/>
                <w:vertAlign w:val="superscript"/>
                <w:lang w:val="en-US" w:eastAsia="zh-CN"/>
              </w:rPr>
              <w:t>3</w:t>
            </w:r>
            <w:r>
              <w:rPr>
                <w:rFonts w:hint="eastAsia"/>
                <w:lang w:val="en-US" w:eastAsia="zh-CN"/>
              </w:rPr>
              <w:t>/a</w:t>
            </w:r>
          </w:p>
        </w:tc>
        <w:tc>
          <w:tcPr>
            <w:tcW w:w="1666" w:type="dxa"/>
            <w:vAlign w:val="center"/>
          </w:tcPr>
          <w:p>
            <w:pPr>
              <w:pStyle w:val="26"/>
              <w:ind w:firstLine="0" w:firstLineChars="0"/>
              <w:rPr>
                <w:rFonts w:hint="default" w:eastAsia="宋体" w:cs="Times New Roman"/>
                <w:color w:val="000000" w:themeColor="text1"/>
                <w:kern w:val="0"/>
                <w:szCs w:val="21"/>
                <w:lang w:val="en-US" w:eastAsia="zh-CN"/>
                <w14:textFill>
                  <w14:solidFill>
                    <w14:schemeClr w14:val="tx1"/>
                  </w14:solidFill>
                </w14:textFill>
              </w:rPr>
            </w:pPr>
            <w:r>
              <w:rPr>
                <w:rFonts w:hint="eastAsia"/>
                <w:lang w:val="en-US" w:eastAsia="zh-CN"/>
              </w:rPr>
              <w:t>1259.1394万Nm</w:t>
            </w:r>
            <w:r>
              <w:rPr>
                <w:rFonts w:hint="eastAsia"/>
                <w:vertAlign w:val="superscript"/>
                <w:lang w:val="en-US" w:eastAsia="zh-CN"/>
              </w:rPr>
              <w:t>3</w:t>
            </w:r>
            <w:r>
              <w:rPr>
                <w:rFonts w:hint="eastAsia"/>
                <w:lang w:val="en-US" w:eastAsia="zh-CN"/>
              </w:rPr>
              <w:t>/a</w:t>
            </w:r>
          </w:p>
        </w:tc>
        <w:tc>
          <w:tcPr>
            <w:tcW w:w="475" w:type="pct"/>
            <w:vAlign w:val="center"/>
          </w:tcPr>
          <w:p>
            <w:pPr>
              <w:pStyle w:val="26"/>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+711.7544</w:t>
            </w:r>
            <w:r>
              <w:rPr>
                <w:rFonts w:hint="eastAsia"/>
                <w:lang w:val="en-US" w:eastAsia="zh-CN"/>
              </w:rPr>
              <w:t>万Nm</w:t>
            </w:r>
            <w:r>
              <w:rPr>
                <w:rFonts w:hint="eastAsia"/>
                <w:vertAlign w:val="superscript"/>
                <w:lang w:val="en-US" w:eastAsia="zh-CN"/>
              </w:rPr>
              <w:t>3</w:t>
            </w:r>
            <w:r>
              <w:rPr>
                <w:rFonts w:hint="eastAsia"/>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8" w:hRule="atLeast"/>
        </w:trPr>
        <w:tc>
          <w:tcPr>
            <w:tcW w:w="545" w:type="pct"/>
            <w:vMerge w:val="continue"/>
            <w:vAlign w:val="center"/>
          </w:tcPr>
          <w:p>
            <w:pPr>
              <w:pStyle w:val="26"/>
              <w:rPr>
                <w:rFonts w:hint="eastAsia" w:cs="Times New Roman"/>
                <w:snapToGrid w:val="0"/>
                <w:color w:val="000000" w:themeColor="text1"/>
                <w:lang w:val="en-US" w:eastAsia="zh-CN"/>
                <w14:textFill>
                  <w14:solidFill>
                    <w14:schemeClr w14:val="tx1"/>
                  </w14:solidFill>
                </w14:textFill>
              </w:rPr>
            </w:pPr>
          </w:p>
        </w:tc>
        <w:tc>
          <w:tcPr>
            <w:tcW w:w="570" w:type="pct"/>
            <w:vAlign w:val="center"/>
          </w:tcPr>
          <w:p>
            <w:pPr>
              <w:pStyle w:val="26"/>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589" w:type="pct"/>
            <w:vAlign w:val="center"/>
          </w:tcPr>
          <w:p>
            <w:pPr>
              <w:pStyle w:val="26"/>
              <w:tabs>
                <w:tab w:val="center" w:pos="778"/>
                <w:tab w:val="right" w:pos="1436"/>
              </w:tabs>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0.0588</w:t>
            </w:r>
            <w:r>
              <w:rPr>
                <w:rFonts w:cs="Times New Roman"/>
                <w:snapToGrid w:val="0"/>
                <w:color w:val="000000" w:themeColor="text1"/>
                <w14:textFill>
                  <w14:solidFill>
                    <w14:schemeClr w14:val="tx1"/>
                  </w14:solidFill>
                </w14:textFill>
              </w:rPr>
              <w:t>t/a</w:t>
            </w:r>
          </w:p>
        </w:tc>
        <w:tc>
          <w:tcPr>
            <w:tcW w:w="491" w:type="pct"/>
            <w:vAlign w:val="center"/>
          </w:tcPr>
          <w:p>
            <w:pPr>
              <w:ind w:left="0" w:leftChars="0" w:firstLine="0" w:firstLineChars="0"/>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594" w:type="pct"/>
            <w:vAlign w:val="center"/>
          </w:tcPr>
          <w:p>
            <w:pPr>
              <w:pStyle w:val="26"/>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544" w:type="pct"/>
            <w:vAlign w:val="center"/>
          </w:tcPr>
          <w:p>
            <w:pPr>
              <w:pStyle w:val="33"/>
              <w:ind w:firstLine="0" w:firstLineChars="0"/>
              <w:rPr>
                <w:rFonts w:hint="eastAsia" w:cs="Times New Roman"/>
                <w:color w:val="000000" w:themeColor="text1"/>
                <w:kern w:val="0"/>
                <w:szCs w:val="21"/>
                <w14:textFill>
                  <w14:solidFill>
                    <w14:schemeClr w14:val="tx1"/>
                  </w14:solidFill>
                </w14:textFill>
              </w:rPr>
            </w:pPr>
            <w:r>
              <w:rPr>
                <w:rFonts w:hint="eastAsia"/>
                <w:highlight w:val="none"/>
                <w:lang w:val="en-US" w:eastAsia="zh-CN"/>
              </w:rPr>
              <w:t>0.142</w:t>
            </w:r>
            <w:r>
              <w:rPr>
                <w:rFonts w:cs="Times New Roman"/>
                <w:snapToGrid w:val="0"/>
                <w:color w:val="000000" w:themeColor="text1"/>
                <w14:textFill>
                  <w14:solidFill>
                    <w14:schemeClr w14:val="tx1"/>
                  </w14:solidFill>
                </w14:textFill>
              </w:rPr>
              <w:t>t/a</w:t>
            </w:r>
          </w:p>
        </w:tc>
        <w:tc>
          <w:tcPr>
            <w:tcW w:w="1666" w:type="dxa"/>
            <w:vAlign w:val="center"/>
          </w:tcPr>
          <w:p>
            <w:pPr>
              <w:pStyle w:val="26"/>
              <w:tabs>
                <w:tab w:val="center" w:pos="778"/>
                <w:tab w:val="right" w:pos="1436"/>
              </w:tabs>
              <w:ind w:firstLine="0" w:firstLineChars="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0.0588</w:t>
            </w:r>
            <w:r>
              <w:rPr>
                <w:rFonts w:cs="Times New Roman"/>
                <w:snapToGrid w:val="0"/>
                <w:color w:val="000000" w:themeColor="text1"/>
                <w14:textFill>
                  <w14:solidFill>
                    <w14:schemeClr w14:val="tx1"/>
                  </w14:solidFill>
                </w14:textFill>
              </w:rPr>
              <w:t>t/a</w:t>
            </w:r>
          </w:p>
        </w:tc>
        <w:tc>
          <w:tcPr>
            <w:tcW w:w="1666" w:type="dxa"/>
            <w:vAlign w:val="center"/>
          </w:tcPr>
          <w:p>
            <w:pPr>
              <w:pStyle w:val="33"/>
              <w:ind w:firstLine="0" w:firstLineChars="0"/>
              <w:rPr>
                <w:rFonts w:hint="default" w:eastAsia="宋体" w:cs="Times New Roman"/>
                <w:color w:val="000000" w:themeColor="text1"/>
                <w:kern w:val="0"/>
                <w:szCs w:val="21"/>
                <w:lang w:val="en-US" w:eastAsia="zh-CN"/>
                <w14:textFill>
                  <w14:solidFill>
                    <w14:schemeClr w14:val="tx1"/>
                  </w14:solidFill>
                </w14:textFill>
              </w:rPr>
            </w:pPr>
            <w:r>
              <w:rPr>
                <w:rFonts w:hint="eastAsia"/>
                <w:highlight w:val="none"/>
                <w:lang w:val="en-US" w:eastAsia="zh-CN"/>
              </w:rPr>
              <w:t>0.142</w:t>
            </w:r>
            <w:r>
              <w:rPr>
                <w:rFonts w:cs="Times New Roman"/>
                <w:snapToGrid w:val="0"/>
                <w:color w:val="000000" w:themeColor="text1"/>
                <w14:textFill>
                  <w14:solidFill>
                    <w14:schemeClr w14:val="tx1"/>
                  </w14:solidFill>
                </w14:textFill>
              </w:rPr>
              <w:t>t/a</w:t>
            </w:r>
          </w:p>
        </w:tc>
        <w:tc>
          <w:tcPr>
            <w:tcW w:w="475" w:type="pct"/>
            <w:vAlign w:val="center"/>
          </w:tcPr>
          <w:p>
            <w:pPr>
              <w:pStyle w:val="26"/>
              <w:rPr>
                <w:rFonts w:hint="default"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+0.0832</w:t>
            </w:r>
            <w:r>
              <w:rPr>
                <w:rFonts w:cs="Times New Roman"/>
                <w:snapToGrid w:val="0"/>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545" w:type="pct"/>
            <w:vMerge w:val="continue"/>
            <w:vAlign w:val="center"/>
          </w:tcPr>
          <w:p>
            <w:pPr>
              <w:pStyle w:val="26"/>
              <w:rPr>
                <w:rFonts w:hint="eastAsia" w:cs="Times New Roman"/>
                <w:snapToGrid w:val="0"/>
                <w:color w:val="000000" w:themeColor="text1"/>
                <w:lang w:val="en-US" w:eastAsia="zh-CN"/>
                <w14:textFill>
                  <w14:solidFill>
                    <w14:schemeClr w14:val="tx1"/>
                  </w14:solidFill>
                </w14:textFill>
              </w:rPr>
            </w:pPr>
          </w:p>
        </w:tc>
        <w:tc>
          <w:tcPr>
            <w:tcW w:w="570" w:type="pct"/>
            <w:vAlign w:val="center"/>
          </w:tcPr>
          <w:p>
            <w:pPr>
              <w:pStyle w:val="26"/>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二氧化硫</w:t>
            </w:r>
          </w:p>
        </w:tc>
        <w:tc>
          <w:tcPr>
            <w:tcW w:w="589" w:type="pct"/>
            <w:vAlign w:val="center"/>
          </w:tcPr>
          <w:p>
            <w:pPr>
              <w:pStyle w:val="26"/>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0.1016</w:t>
            </w:r>
            <w:r>
              <w:rPr>
                <w:rFonts w:cs="Times New Roman"/>
                <w:snapToGrid w:val="0"/>
                <w:color w:val="000000" w:themeColor="text1"/>
                <w14:textFill>
                  <w14:solidFill>
                    <w14:schemeClr w14:val="tx1"/>
                  </w14:solidFill>
                </w14:textFill>
              </w:rPr>
              <w:t>t/a</w:t>
            </w:r>
          </w:p>
        </w:tc>
        <w:tc>
          <w:tcPr>
            <w:tcW w:w="491" w:type="pct"/>
            <w:vAlign w:val="center"/>
          </w:tcPr>
          <w:p>
            <w:pPr>
              <w:ind w:left="0" w:leftChars="0" w:firstLine="0" w:firstLineChars="0"/>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594" w:type="pct"/>
            <w:vAlign w:val="center"/>
          </w:tcPr>
          <w:p>
            <w:pPr>
              <w:pStyle w:val="26"/>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544" w:type="pct"/>
            <w:vAlign w:val="center"/>
          </w:tcPr>
          <w:p>
            <w:pPr>
              <w:pStyle w:val="33"/>
              <w:ind w:firstLine="0" w:firstLineChars="0"/>
              <w:rPr>
                <w:rFonts w:hint="eastAsia" w:cs="Times New Roman"/>
                <w:color w:val="000000" w:themeColor="text1"/>
                <w:kern w:val="0"/>
                <w:szCs w:val="21"/>
                <w14:textFill>
                  <w14:solidFill>
                    <w14:schemeClr w14:val="tx1"/>
                  </w14:solidFill>
                </w14:textFill>
              </w:rPr>
            </w:pPr>
            <w:r>
              <w:rPr>
                <w:rFonts w:hint="eastAsia"/>
                <w:highlight w:val="none"/>
                <w:lang w:val="en-US" w:eastAsia="zh-CN"/>
              </w:rPr>
              <w:t>0.273</w:t>
            </w:r>
            <w:r>
              <w:rPr>
                <w:rFonts w:cs="Times New Roman"/>
                <w:snapToGrid w:val="0"/>
                <w:color w:val="000000" w:themeColor="text1"/>
                <w14:textFill>
                  <w14:solidFill>
                    <w14:schemeClr w14:val="tx1"/>
                  </w14:solidFill>
                </w14:textFill>
              </w:rPr>
              <w:t>t/a</w:t>
            </w:r>
          </w:p>
        </w:tc>
        <w:tc>
          <w:tcPr>
            <w:tcW w:w="1666" w:type="dxa"/>
            <w:vAlign w:val="center"/>
          </w:tcPr>
          <w:p>
            <w:pPr>
              <w:pStyle w:val="26"/>
              <w:ind w:firstLine="0" w:firstLineChars="0"/>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0.1016</w:t>
            </w:r>
            <w:r>
              <w:rPr>
                <w:rFonts w:cs="Times New Roman"/>
                <w:snapToGrid w:val="0"/>
                <w:color w:val="000000" w:themeColor="text1"/>
                <w14:textFill>
                  <w14:solidFill>
                    <w14:schemeClr w14:val="tx1"/>
                  </w14:solidFill>
                </w14:textFill>
              </w:rPr>
              <w:t>t/a</w:t>
            </w:r>
          </w:p>
        </w:tc>
        <w:tc>
          <w:tcPr>
            <w:tcW w:w="1666" w:type="dxa"/>
            <w:vAlign w:val="center"/>
          </w:tcPr>
          <w:p>
            <w:pPr>
              <w:pStyle w:val="33"/>
              <w:ind w:firstLine="0" w:firstLineChars="0"/>
              <w:rPr>
                <w:rFonts w:hint="default" w:eastAsia="宋体" w:cs="Times New Roman"/>
                <w:color w:val="000000" w:themeColor="text1"/>
                <w:kern w:val="0"/>
                <w:szCs w:val="21"/>
                <w:lang w:val="en-US" w:eastAsia="zh-CN"/>
                <w14:textFill>
                  <w14:solidFill>
                    <w14:schemeClr w14:val="tx1"/>
                  </w14:solidFill>
                </w14:textFill>
              </w:rPr>
            </w:pPr>
            <w:r>
              <w:rPr>
                <w:rFonts w:hint="eastAsia"/>
                <w:highlight w:val="none"/>
                <w:lang w:val="en-US" w:eastAsia="zh-CN"/>
              </w:rPr>
              <w:t>0.273</w:t>
            </w:r>
            <w:r>
              <w:rPr>
                <w:rFonts w:cs="Times New Roman"/>
                <w:snapToGrid w:val="0"/>
                <w:color w:val="000000" w:themeColor="text1"/>
                <w14:textFill>
                  <w14:solidFill>
                    <w14:schemeClr w14:val="tx1"/>
                  </w14:solidFill>
                </w14:textFill>
              </w:rPr>
              <w:t>t/a</w:t>
            </w:r>
          </w:p>
        </w:tc>
        <w:tc>
          <w:tcPr>
            <w:tcW w:w="475" w:type="pct"/>
            <w:vAlign w:val="center"/>
          </w:tcPr>
          <w:p>
            <w:pPr>
              <w:pStyle w:val="26"/>
              <w:rPr>
                <w:rFonts w:hint="default"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+0.1714</w:t>
            </w:r>
            <w:r>
              <w:rPr>
                <w:rFonts w:cs="Times New Roman"/>
                <w:snapToGrid w:val="0"/>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545" w:type="pct"/>
            <w:vMerge w:val="continue"/>
            <w:vAlign w:val="center"/>
          </w:tcPr>
          <w:p>
            <w:pPr>
              <w:pStyle w:val="26"/>
              <w:rPr>
                <w:rFonts w:hint="eastAsia" w:cs="Times New Roman"/>
                <w:snapToGrid w:val="0"/>
                <w:color w:val="000000" w:themeColor="text1"/>
                <w:lang w:val="en-US" w:eastAsia="zh-CN"/>
                <w14:textFill>
                  <w14:solidFill>
                    <w14:schemeClr w14:val="tx1"/>
                  </w14:solidFill>
                </w14:textFill>
              </w:rPr>
            </w:pPr>
          </w:p>
        </w:tc>
        <w:tc>
          <w:tcPr>
            <w:tcW w:w="570" w:type="pct"/>
            <w:vAlign w:val="center"/>
          </w:tcPr>
          <w:p>
            <w:pPr>
              <w:pStyle w:val="26"/>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氮氧化物</w:t>
            </w:r>
          </w:p>
        </w:tc>
        <w:tc>
          <w:tcPr>
            <w:tcW w:w="589" w:type="pct"/>
            <w:vAlign w:val="center"/>
          </w:tcPr>
          <w:p>
            <w:pPr>
              <w:pStyle w:val="26"/>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0.1515</w:t>
            </w:r>
            <w:r>
              <w:rPr>
                <w:rFonts w:cs="Times New Roman"/>
                <w:snapToGrid w:val="0"/>
                <w:color w:val="000000" w:themeColor="text1"/>
                <w14:textFill>
                  <w14:solidFill>
                    <w14:schemeClr w14:val="tx1"/>
                  </w14:solidFill>
                </w14:textFill>
              </w:rPr>
              <w:t>t/a</w:t>
            </w:r>
          </w:p>
        </w:tc>
        <w:tc>
          <w:tcPr>
            <w:tcW w:w="491" w:type="pct"/>
            <w:vAlign w:val="center"/>
          </w:tcPr>
          <w:p>
            <w:pPr>
              <w:pStyle w:val="26"/>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0.15</w:t>
            </w:r>
            <w:r>
              <w:rPr>
                <w:rFonts w:cs="Times New Roman"/>
                <w:snapToGrid w:val="0"/>
                <w:color w:val="000000" w:themeColor="text1"/>
                <w14:textFill>
                  <w14:solidFill>
                    <w14:schemeClr w14:val="tx1"/>
                  </w14:solidFill>
                </w14:textFill>
              </w:rPr>
              <w:t>t/a</w:t>
            </w:r>
          </w:p>
        </w:tc>
        <w:tc>
          <w:tcPr>
            <w:tcW w:w="594" w:type="pct"/>
            <w:vAlign w:val="center"/>
          </w:tcPr>
          <w:p>
            <w:pPr>
              <w:pStyle w:val="26"/>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544" w:type="pct"/>
            <w:vAlign w:val="center"/>
          </w:tcPr>
          <w:p>
            <w:pPr>
              <w:pStyle w:val="33"/>
              <w:ind w:firstLine="0" w:firstLineChars="0"/>
              <w:rPr>
                <w:rFonts w:hint="eastAsia" w:cs="Times New Roman"/>
                <w:color w:val="000000" w:themeColor="text1"/>
                <w:kern w:val="0"/>
                <w:szCs w:val="21"/>
                <w14:textFill>
                  <w14:solidFill>
                    <w14:schemeClr w14:val="tx1"/>
                  </w14:solidFill>
                </w14:textFill>
              </w:rPr>
            </w:pPr>
            <w:r>
              <w:rPr>
                <w:rFonts w:hint="eastAsia"/>
                <w:highlight w:val="none"/>
                <w:lang w:val="en-US" w:eastAsia="zh-CN"/>
              </w:rPr>
              <w:t>0.63</w:t>
            </w:r>
            <w:r>
              <w:rPr>
                <w:rFonts w:cs="Times New Roman"/>
                <w:snapToGrid w:val="0"/>
                <w:color w:val="000000" w:themeColor="text1"/>
                <w14:textFill>
                  <w14:solidFill>
                    <w14:schemeClr w14:val="tx1"/>
                  </w14:solidFill>
                </w14:textFill>
              </w:rPr>
              <w:t>t/a</w:t>
            </w:r>
          </w:p>
        </w:tc>
        <w:tc>
          <w:tcPr>
            <w:tcW w:w="1666" w:type="dxa"/>
            <w:vAlign w:val="center"/>
          </w:tcPr>
          <w:p>
            <w:pPr>
              <w:pStyle w:val="26"/>
              <w:ind w:firstLine="0" w:firstLineChars="0"/>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0.1515</w:t>
            </w:r>
            <w:r>
              <w:rPr>
                <w:rFonts w:cs="Times New Roman"/>
                <w:snapToGrid w:val="0"/>
                <w:color w:val="000000" w:themeColor="text1"/>
                <w14:textFill>
                  <w14:solidFill>
                    <w14:schemeClr w14:val="tx1"/>
                  </w14:solidFill>
                </w14:textFill>
              </w:rPr>
              <w:t>t/a</w:t>
            </w:r>
          </w:p>
        </w:tc>
        <w:tc>
          <w:tcPr>
            <w:tcW w:w="1666" w:type="dxa"/>
            <w:vAlign w:val="center"/>
          </w:tcPr>
          <w:p>
            <w:pPr>
              <w:pStyle w:val="33"/>
              <w:ind w:firstLine="0" w:firstLineChars="0"/>
              <w:rPr>
                <w:rFonts w:hint="default" w:eastAsia="宋体" w:cs="Times New Roman"/>
                <w:color w:val="000000" w:themeColor="text1"/>
                <w:kern w:val="0"/>
                <w:szCs w:val="21"/>
                <w:lang w:val="en-US" w:eastAsia="zh-CN"/>
                <w14:textFill>
                  <w14:solidFill>
                    <w14:schemeClr w14:val="tx1"/>
                  </w14:solidFill>
                </w14:textFill>
              </w:rPr>
            </w:pPr>
            <w:r>
              <w:rPr>
                <w:rFonts w:hint="eastAsia"/>
                <w:highlight w:val="none"/>
                <w:lang w:val="en-US" w:eastAsia="zh-CN"/>
              </w:rPr>
              <w:t>0.63</w:t>
            </w:r>
            <w:r>
              <w:rPr>
                <w:rFonts w:cs="Times New Roman"/>
                <w:snapToGrid w:val="0"/>
                <w:color w:val="000000" w:themeColor="text1"/>
                <w14:textFill>
                  <w14:solidFill>
                    <w14:schemeClr w14:val="tx1"/>
                  </w14:solidFill>
                </w14:textFill>
              </w:rPr>
              <w:t>t/a</w:t>
            </w:r>
          </w:p>
        </w:tc>
        <w:tc>
          <w:tcPr>
            <w:tcW w:w="475" w:type="pct"/>
            <w:vAlign w:val="center"/>
          </w:tcPr>
          <w:p>
            <w:pPr>
              <w:pStyle w:val="26"/>
              <w:rPr>
                <w:rFonts w:hint="default"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+0.4785</w:t>
            </w:r>
            <w:r>
              <w:rPr>
                <w:rFonts w:cs="Times New Roman"/>
                <w:snapToGrid w:val="0"/>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545" w:type="pct"/>
            <w:vMerge w:val="restart"/>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废水</w:t>
            </w:r>
          </w:p>
        </w:tc>
        <w:tc>
          <w:tcPr>
            <w:tcW w:w="570" w:type="pct"/>
            <w:vAlign w:val="center"/>
          </w:tcPr>
          <w:p>
            <w:pPr>
              <w:pStyle w:val="26"/>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废水量</w:t>
            </w:r>
          </w:p>
        </w:tc>
        <w:tc>
          <w:tcPr>
            <w:tcW w:w="589" w:type="pct"/>
            <w:vAlign w:val="center"/>
          </w:tcPr>
          <w:p>
            <w:pPr>
              <w:pStyle w:val="26"/>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200</w:t>
            </w:r>
            <w:r>
              <w:rPr>
                <w:rFonts w:cs="Times New Roman"/>
                <w:snapToGrid w:val="0"/>
                <w:color w:val="000000" w:themeColor="text1"/>
                <w14:textFill>
                  <w14:solidFill>
                    <w14:schemeClr w14:val="tx1"/>
                  </w14:solidFill>
                </w14:textFill>
              </w:rPr>
              <w:t>t/a</w:t>
            </w:r>
          </w:p>
        </w:tc>
        <w:tc>
          <w:tcPr>
            <w:tcW w:w="491" w:type="pct"/>
            <w:vAlign w:val="center"/>
          </w:tcPr>
          <w:p>
            <w:pPr>
              <w:pStyle w:val="26"/>
              <w:rPr>
                <w:rFonts w:cs="Times New Roman"/>
                <w:snapToGrid w:val="0"/>
                <w:color w:val="000000" w:themeColor="text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594" w:type="pct"/>
            <w:vAlign w:val="center"/>
          </w:tcPr>
          <w:p>
            <w:pPr>
              <w:pStyle w:val="26"/>
              <w:rPr>
                <w:rFonts w:cs="Times New Roman"/>
                <w:snapToGrid w:val="0"/>
                <w:color w:val="000000" w:themeColor="text1"/>
                <w14:textFill>
                  <w14:solidFill>
                    <w14:schemeClr w14:val="tx1"/>
                  </w14:solidFill>
                </w14:textFill>
              </w:rPr>
            </w:pPr>
            <w:r>
              <w:rPr>
                <w:rFonts w:cs="Times New Roman"/>
                <w:color w:val="000000" w:themeColor="text1"/>
                <w:kern w:val="0"/>
                <w:szCs w:val="21"/>
                <w14:textFill>
                  <w14:solidFill>
                    <w14:schemeClr w14:val="tx1"/>
                  </w14:solidFill>
                </w14:textFill>
              </w:rPr>
              <w:t>0</w:t>
            </w:r>
          </w:p>
        </w:tc>
        <w:tc>
          <w:tcPr>
            <w:tcW w:w="544" w:type="pct"/>
            <w:vAlign w:val="center"/>
          </w:tcPr>
          <w:p>
            <w:pPr>
              <w:pStyle w:val="26"/>
              <w:rPr>
                <w:rFonts w:cs="Times New Roman"/>
                <w:snapToGrid w:val="0"/>
                <w:color w:val="000000" w:themeColor="text1"/>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2592</w:t>
            </w:r>
            <w:r>
              <w:rPr>
                <w:rFonts w:cs="Times New Roman"/>
                <w:snapToGrid w:val="0"/>
                <w:color w:val="000000" w:themeColor="text1"/>
                <w14:textFill>
                  <w14:solidFill>
                    <w14:schemeClr w14:val="tx1"/>
                  </w14:solidFill>
                </w14:textFill>
              </w:rPr>
              <w:t>t/a</w:t>
            </w:r>
          </w:p>
        </w:tc>
        <w:tc>
          <w:tcPr>
            <w:tcW w:w="1666" w:type="dxa"/>
            <w:vAlign w:val="center"/>
          </w:tcPr>
          <w:p>
            <w:pPr>
              <w:pStyle w:val="26"/>
              <w:ind w:firstLine="0" w:firstLineChars="0"/>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200</w:t>
            </w:r>
            <w:r>
              <w:rPr>
                <w:rFonts w:cs="Times New Roman"/>
                <w:snapToGrid w:val="0"/>
                <w:color w:val="000000" w:themeColor="text1"/>
                <w14:textFill>
                  <w14:solidFill>
                    <w14:schemeClr w14:val="tx1"/>
                  </w14:solidFill>
                </w14:textFill>
              </w:rPr>
              <w:t>t/a</w:t>
            </w:r>
          </w:p>
        </w:tc>
        <w:tc>
          <w:tcPr>
            <w:tcW w:w="1666" w:type="dxa"/>
            <w:vAlign w:val="center"/>
          </w:tcPr>
          <w:p>
            <w:pPr>
              <w:pStyle w:val="26"/>
              <w:ind w:firstLine="0" w:firstLineChars="0"/>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2592</w:t>
            </w:r>
            <w:r>
              <w:rPr>
                <w:rFonts w:cs="Times New Roman"/>
                <w:snapToGrid w:val="0"/>
                <w:color w:val="000000" w:themeColor="text1"/>
                <w14:textFill>
                  <w14:solidFill>
                    <w14:schemeClr w14:val="tx1"/>
                  </w14:solidFill>
                </w14:textFill>
              </w:rPr>
              <w:t>t/a</w:t>
            </w:r>
          </w:p>
        </w:tc>
        <w:tc>
          <w:tcPr>
            <w:tcW w:w="475" w:type="pct"/>
            <w:vAlign w:val="center"/>
          </w:tcPr>
          <w:p>
            <w:pPr>
              <w:pStyle w:val="26"/>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+2392</w:t>
            </w:r>
            <w:r>
              <w:rPr>
                <w:rFonts w:cs="Times New Roman"/>
                <w:snapToGrid w:val="0"/>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trPr>
        <w:tc>
          <w:tcPr>
            <w:tcW w:w="545" w:type="pct"/>
            <w:vMerge w:val="continue"/>
            <w:vAlign w:val="center"/>
          </w:tcPr>
          <w:p>
            <w:pPr>
              <w:pStyle w:val="26"/>
              <w:rPr>
                <w:rFonts w:cs="Times New Roman"/>
                <w:snapToGrid w:val="0"/>
                <w:color w:val="000000" w:themeColor="text1"/>
                <w14:textFill>
                  <w14:solidFill>
                    <w14:schemeClr w14:val="tx1"/>
                  </w14:solidFill>
                </w14:textFill>
              </w:rPr>
            </w:pPr>
          </w:p>
        </w:tc>
        <w:tc>
          <w:tcPr>
            <w:tcW w:w="570" w:type="pct"/>
            <w:vAlign w:val="center"/>
          </w:tcPr>
          <w:p>
            <w:pPr>
              <w:pStyle w:val="26"/>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COD</w:t>
            </w:r>
          </w:p>
        </w:tc>
        <w:tc>
          <w:tcPr>
            <w:tcW w:w="589" w:type="pct"/>
            <w:vAlign w:val="center"/>
          </w:tcPr>
          <w:p>
            <w:pPr>
              <w:pStyle w:val="33"/>
              <w:bidi w:val="0"/>
              <w:ind w:right="0" w:rightChars="0" w:firstLine="0" w:firstLineChars="0"/>
              <w:jc w:val="center"/>
              <w:rPr>
                <w:rFonts w:hint="default" w:eastAsia="宋体" w:cs="Times New Roman"/>
                <w:snapToGrid w:val="0"/>
                <w:color w:val="000000" w:themeColor="text1"/>
                <w:lang w:val="en-US" w:eastAsia="zh-CN"/>
                <w14:textFill>
                  <w14:solidFill>
                    <w14:schemeClr w14:val="tx1"/>
                  </w14:solidFill>
                </w14:textFill>
              </w:rPr>
            </w:pPr>
            <w:r>
              <w:rPr>
                <w:rFonts w:hint="eastAsia"/>
                <w:lang w:val="en-US" w:eastAsia="zh-CN"/>
              </w:rPr>
              <w:t>0.055</w:t>
            </w:r>
          </w:p>
        </w:tc>
        <w:tc>
          <w:tcPr>
            <w:tcW w:w="491" w:type="pct"/>
            <w:vAlign w:val="center"/>
          </w:tcPr>
          <w:p>
            <w:pPr>
              <w:pStyle w:val="26"/>
              <w:rPr>
                <w:rFonts w:cs="Times New Roman"/>
                <w:snapToGrid w:val="0"/>
                <w:color w:val="000000" w:themeColor="text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594" w:type="pct"/>
            <w:vAlign w:val="center"/>
          </w:tcPr>
          <w:p>
            <w:pPr>
              <w:pStyle w:val="26"/>
              <w:rPr>
                <w:rFonts w:cs="Times New Roman"/>
                <w:snapToGrid w:val="0"/>
                <w:color w:val="000000" w:themeColor="text1"/>
                <w14:textFill>
                  <w14:solidFill>
                    <w14:schemeClr w14:val="tx1"/>
                  </w14:solidFill>
                </w14:textFill>
              </w:rPr>
            </w:pPr>
            <w:r>
              <w:rPr>
                <w:rFonts w:cs="Times New Roman"/>
                <w:color w:val="000000" w:themeColor="text1"/>
                <w:kern w:val="0"/>
                <w:szCs w:val="21"/>
                <w14:textFill>
                  <w14:solidFill>
                    <w14:schemeClr w14:val="tx1"/>
                  </w14:solidFill>
                </w14:textFill>
              </w:rPr>
              <w:t>0</w:t>
            </w:r>
          </w:p>
        </w:tc>
        <w:tc>
          <w:tcPr>
            <w:tcW w:w="544" w:type="pct"/>
            <w:vAlign w:val="center"/>
          </w:tcPr>
          <w:p>
            <w:pPr>
              <w:pStyle w:val="26"/>
              <w:rPr>
                <w:rFonts w:cs="Times New Roman"/>
                <w:snapToGrid w:val="0"/>
                <w:color w:val="000000" w:themeColor="text1"/>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0.1472</w:t>
            </w:r>
            <w:r>
              <w:rPr>
                <w:rFonts w:cs="Times New Roman"/>
                <w:snapToGrid w:val="0"/>
                <w:color w:val="000000" w:themeColor="text1"/>
                <w14:textFill>
                  <w14:solidFill>
                    <w14:schemeClr w14:val="tx1"/>
                  </w14:solidFill>
                </w14:textFill>
              </w:rPr>
              <w:t>t/a</w:t>
            </w:r>
          </w:p>
        </w:tc>
        <w:tc>
          <w:tcPr>
            <w:tcW w:w="1666" w:type="dxa"/>
            <w:vAlign w:val="center"/>
          </w:tcPr>
          <w:p>
            <w:pPr>
              <w:pStyle w:val="33"/>
              <w:bidi w:val="0"/>
              <w:ind w:right="0" w:rightChars="0" w:firstLine="0" w:firstLineChars="0"/>
              <w:jc w:val="center"/>
              <w:rPr>
                <w:rFonts w:cs="Times New Roman"/>
                <w:snapToGrid w:val="0"/>
                <w:color w:val="000000" w:themeColor="text1"/>
                <w14:textFill>
                  <w14:solidFill>
                    <w14:schemeClr w14:val="tx1"/>
                  </w14:solidFill>
                </w14:textFill>
              </w:rPr>
            </w:pPr>
            <w:r>
              <w:rPr>
                <w:rFonts w:hint="eastAsia"/>
                <w:lang w:val="en-US" w:eastAsia="zh-CN"/>
              </w:rPr>
              <w:t>0.055</w:t>
            </w:r>
          </w:p>
        </w:tc>
        <w:tc>
          <w:tcPr>
            <w:tcW w:w="1666" w:type="dxa"/>
            <w:vAlign w:val="center"/>
          </w:tcPr>
          <w:p>
            <w:pPr>
              <w:pStyle w:val="26"/>
              <w:ind w:firstLine="0" w:firstLineChars="0"/>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0.1472</w:t>
            </w:r>
            <w:r>
              <w:rPr>
                <w:rFonts w:cs="Times New Roman"/>
                <w:snapToGrid w:val="0"/>
                <w:color w:val="000000" w:themeColor="text1"/>
                <w14:textFill>
                  <w14:solidFill>
                    <w14:schemeClr w14:val="tx1"/>
                  </w14:solidFill>
                </w14:textFill>
              </w:rPr>
              <w:t>t/a</w:t>
            </w:r>
          </w:p>
        </w:tc>
        <w:tc>
          <w:tcPr>
            <w:tcW w:w="475" w:type="pct"/>
            <w:vAlign w:val="center"/>
          </w:tcPr>
          <w:p>
            <w:pPr>
              <w:pStyle w:val="26"/>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+0.0922</w:t>
            </w:r>
            <w:r>
              <w:rPr>
                <w:rFonts w:cs="Times New Roman"/>
                <w:snapToGrid w:val="0"/>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trPr>
        <w:tc>
          <w:tcPr>
            <w:tcW w:w="545" w:type="pct"/>
            <w:vAlign w:val="center"/>
          </w:tcPr>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一般工业</w:t>
            </w:r>
          </w:p>
          <w:p>
            <w:pPr>
              <w:pStyle w:val="26"/>
              <w:rPr>
                <w:rFonts w:cs="Times New Roman"/>
                <w:snapToGrid w:val="0"/>
                <w:color w:val="000000" w:themeColor="text1"/>
                <w14:textFill>
                  <w14:solidFill>
                    <w14:schemeClr w14:val="tx1"/>
                  </w14:solidFill>
                </w14:textFill>
              </w:rPr>
            </w:pPr>
            <w:r>
              <w:rPr>
                <w:rFonts w:cs="Times New Roman"/>
                <w:snapToGrid w:val="0"/>
                <w:color w:val="000000" w:themeColor="text1"/>
                <w14:textFill>
                  <w14:solidFill>
                    <w14:schemeClr w14:val="tx1"/>
                  </w14:solidFill>
                </w14:textFill>
              </w:rPr>
              <w:t>固体废物</w:t>
            </w:r>
          </w:p>
        </w:tc>
        <w:tc>
          <w:tcPr>
            <w:tcW w:w="570" w:type="pct"/>
            <w:vAlign w:val="center"/>
          </w:tcPr>
          <w:p>
            <w:pPr>
              <w:pStyle w:val="26"/>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离子交换树脂</w:t>
            </w:r>
          </w:p>
        </w:tc>
        <w:tc>
          <w:tcPr>
            <w:tcW w:w="589" w:type="pct"/>
            <w:vAlign w:val="center"/>
          </w:tcPr>
          <w:p>
            <w:pPr>
              <w:pStyle w:val="26"/>
              <w:rPr>
                <w:rFonts w:hint="default"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0.01</w:t>
            </w:r>
          </w:p>
        </w:tc>
        <w:tc>
          <w:tcPr>
            <w:tcW w:w="491" w:type="pct"/>
            <w:vAlign w:val="center"/>
          </w:tcPr>
          <w:p>
            <w:pPr>
              <w:pStyle w:val="26"/>
              <w:rPr>
                <w:rFonts w:hint="eastAsia"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594" w:type="pct"/>
            <w:vAlign w:val="center"/>
          </w:tcPr>
          <w:p>
            <w:pPr>
              <w:pStyle w:val="26"/>
              <w:ind w:firstLine="0" w:firstLineChars="0"/>
              <w:rPr>
                <w:rFonts w:hint="eastAsia"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544" w:type="pct"/>
            <w:vAlign w:val="center"/>
          </w:tcPr>
          <w:p>
            <w:pPr>
              <w:pStyle w:val="26"/>
              <w:rPr>
                <w:rFonts w:hint="eastAsia" w:eastAsia="宋体" w:cs="Times New Roman"/>
                <w:color w:val="000000" w:themeColor="text1"/>
                <w:kern w:val="0"/>
                <w:szCs w:val="2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0.05</w:t>
            </w:r>
            <w:r>
              <w:rPr>
                <w:rFonts w:cs="Times New Roman"/>
                <w:snapToGrid w:val="0"/>
                <w:color w:val="000000" w:themeColor="text1"/>
                <w14:textFill>
                  <w14:solidFill>
                    <w14:schemeClr w14:val="tx1"/>
                  </w14:solidFill>
                </w14:textFill>
              </w:rPr>
              <w:t>t/a</w:t>
            </w:r>
          </w:p>
        </w:tc>
        <w:tc>
          <w:tcPr>
            <w:tcW w:w="1666" w:type="dxa"/>
            <w:vAlign w:val="center"/>
          </w:tcPr>
          <w:p>
            <w:pPr>
              <w:pStyle w:val="26"/>
              <w:ind w:firstLine="0" w:firstLineChars="0"/>
              <w:rPr>
                <w:rFonts w:hint="eastAsia"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0.01</w:t>
            </w:r>
          </w:p>
        </w:tc>
        <w:tc>
          <w:tcPr>
            <w:tcW w:w="1666" w:type="dxa"/>
            <w:vAlign w:val="center"/>
          </w:tcPr>
          <w:p>
            <w:pPr>
              <w:pStyle w:val="26"/>
              <w:ind w:firstLine="0" w:firstLineChars="0"/>
              <w:rPr>
                <w:rFonts w:cs="Times New Roman"/>
                <w:color w:val="000000" w:themeColor="text1"/>
                <w:kern w:val="0"/>
                <w:szCs w:val="21"/>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0.05</w:t>
            </w:r>
            <w:r>
              <w:rPr>
                <w:rFonts w:cs="Times New Roman"/>
                <w:snapToGrid w:val="0"/>
                <w:color w:val="000000" w:themeColor="text1"/>
                <w14:textFill>
                  <w14:solidFill>
                    <w14:schemeClr w14:val="tx1"/>
                  </w14:solidFill>
                </w14:textFill>
              </w:rPr>
              <w:t>t/a</w:t>
            </w:r>
          </w:p>
        </w:tc>
        <w:tc>
          <w:tcPr>
            <w:tcW w:w="475" w:type="pct"/>
            <w:vAlign w:val="center"/>
          </w:tcPr>
          <w:p>
            <w:pPr>
              <w:pStyle w:val="26"/>
              <w:rPr>
                <w:rFonts w:hint="default" w:eastAsia="宋体" w:cs="Times New Roman"/>
                <w:snapToGrid w:val="0"/>
                <w:color w:val="000000" w:themeColor="text1"/>
                <w:lang w:val="en-US" w:eastAsia="zh-CN"/>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+0.04</w:t>
            </w:r>
            <w:r>
              <w:rPr>
                <w:rFonts w:cs="Times New Roman"/>
                <w:snapToGrid w:val="0"/>
                <w:color w:val="000000" w:themeColor="text1"/>
                <w14:textFill>
                  <w14:solidFill>
                    <w14:schemeClr w14:val="tx1"/>
                  </w14:solidFill>
                </w14:textFill>
              </w:rPr>
              <w:t>t/a</w:t>
            </w:r>
          </w:p>
        </w:tc>
      </w:tr>
      <w:bookmarkEnd w:id="27"/>
    </w:tbl>
    <w:p>
      <w:pPr>
        <w:ind w:firstLine="0" w:firstLineChars="0"/>
      </w:pPr>
      <w:r>
        <w:rPr>
          <w:rFonts w:hint="eastAsia"/>
          <w:color w:val="000000" w:themeColor="text1"/>
          <w14:textFill>
            <w14:solidFill>
              <w14:schemeClr w14:val="tx1"/>
            </w14:solidFill>
          </w14:textFill>
        </w:rPr>
        <w:t>注：</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4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5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7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6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rFonts w:hint="eastAsia"/>
          <w:color w:val="000000" w:themeColor="text1"/>
          <w14:textFill>
            <w14:solidFill>
              <w14:schemeClr w14:val="tx1"/>
            </w14:solidFill>
          </w14:textFill>
        </w:rPr>
        <w:fldChar w:fldCharType="end"/>
      </w:r>
      <w:r>
        <w:rPr>
          <w:rFonts w:ascii="宋体" w:hAnsi="宋体" w:cs="Times New Roman"/>
          <w:snapToGrid w:val="0"/>
          <w:color w:val="000000"/>
          <w:spacing w:val="-16"/>
          <w:kern w:val="21"/>
          <w:sz w:val="21"/>
          <w:szCs w:val="21"/>
        </w:rPr>
        <w:t>-</w:t>
      </w:r>
      <w:r>
        <w:rPr>
          <w:rFonts w:ascii="宋体" w:hAnsi="宋体" w:cs="Times New Roman"/>
          <w:snapToGrid w:val="0"/>
          <w:color w:val="000000"/>
          <w:spacing w:val="-6"/>
          <w:kern w:val="21"/>
          <w:sz w:val="21"/>
          <w:szCs w:val="21"/>
        </w:rPr>
        <w:fldChar w:fldCharType="begin"/>
      </w:r>
      <w:r>
        <w:rPr>
          <w:rFonts w:ascii="宋体" w:hAnsi="宋体" w:cs="Times New Roman"/>
          <w:snapToGrid w:val="0"/>
          <w:color w:val="000000"/>
          <w:spacing w:val="-6"/>
          <w:kern w:val="21"/>
          <w:sz w:val="21"/>
          <w:szCs w:val="21"/>
        </w:rPr>
        <w:instrText xml:space="preserve"> = 1 \* GB3 \* MERGEFORMAT </w:instrText>
      </w:r>
      <w:r>
        <w:rPr>
          <w:rFonts w:ascii="宋体" w:hAnsi="宋体" w:cs="Times New Roman"/>
          <w:snapToGrid w:val="0"/>
          <w:color w:val="000000"/>
          <w:spacing w:val="-6"/>
          <w:kern w:val="21"/>
          <w:sz w:val="21"/>
          <w:szCs w:val="21"/>
        </w:rPr>
        <w:fldChar w:fldCharType="separate"/>
      </w:r>
      <w:r>
        <w:rPr>
          <w:rFonts w:ascii="宋体" w:hAnsi="宋体" w:cs="Times New Roman"/>
          <w:kern w:val="0"/>
          <w:sz w:val="21"/>
          <w:szCs w:val="21"/>
        </w:rPr>
        <w:t>①</w:t>
      </w:r>
      <w:r>
        <w:rPr>
          <w:rFonts w:ascii="宋体" w:hAnsi="宋体" w:cs="Times New Roman"/>
          <w:snapToGrid w:val="0"/>
          <w:color w:val="000000"/>
          <w:spacing w:val="-6"/>
          <w:kern w:val="21"/>
          <w:sz w:val="21"/>
          <w:szCs w:val="21"/>
        </w:rPr>
        <w:fldChar w:fldCharType="end"/>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7F" w:usb3="00000000" w:csb0="203F01FF" w:csb1="D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䅂䍄䕅⯋컌">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321"/>
                          </w:sdtPr>
                          <w:sdtContent>
                            <w:p>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sdt>
                    <w:sdtPr>
                      <w:id w:val="147478321"/>
                    </w:sdtPr>
                    <w:sdtContent>
                      <w:p>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687DF1"/>
    <w:multiLevelType w:val="singleLevel"/>
    <w:tmpl w:val="27687DF1"/>
    <w:lvl w:ilvl="0" w:tentative="0">
      <w:start w:val="1"/>
      <w:numFmt w:val="decimal"/>
      <w:suff w:val="nothing"/>
      <w:lvlText w:val="（%1）"/>
      <w:lvlJc w:val="left"/>
    </w:lvl>
  </w:abstractNum>
  <w:abstractNum w:abstractNumId="1">
    <w:nsid w:val="4D44C97B"/>
    <w:multiLevelType w:val="singleLevel"/>
    <w:tmpl w:val="4D44C97B"/>
    <w:lvl w:ilvl="0" w:tentative="0">
      <w:start w:val="1"/>
      <w:numFmt w:val="decimal"/>
      <w:suff w:val="nothing"/>
      <w:lvlText w:val="（%1）"/>
      <w:lvlJc w:val="left"/>
    </w:lvl>
  </w:abstractNum>
  <w:abstractNum w:abstractNumId="2">
    <w:nsid w:val="556EF34F"/>
    <w:multiLevelType w:val="singleLevel"/>
    <w:tmpl w:val="556EF34F"/>
    <w:lvl w:ilvl="0" w:tentative="0">
      <w:start w:val="4"/>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D86"/>
    <w:rsid w:val="0002117A"/>
    <w:rsid w:val="00082D86"/>
    <w:rsid w:val="000969AD"/>
    <w:rsid w:val="000C1FF9"/>
    <w:rsid w:val="00276E33"/>
    <w:rsid w:val="00AB7843"/>
    <w:rsid w:val="00BA7818"/>
    <w:rsid w:val="00C14B91"/>
    <w:rsid w:val="00C83900"/>
    <w:rsid w:val="00EE6428"/>
    <w:rsid w:val="013D4B60"/>
    <w:rsid w:val="018C486D"/>
    <w:rsid w:val="01E21263"/>
    <w:rsid w:val="022831DB"/>
    <w:rsid w:val="022D45E9"/>
    <w:rsid w:val="025E0CBC"/>
    <w:rsid w:val="027A621D"/>
    <w:rsid w:val="02943E97"/>
    <w:rsid w:val="03561A79"/>
    <w:rsid w:val="03836A76"/>
    <w:rsid w:val="03EB45AA"/>
    <w:rsid w:val="046E5030"/>
    <w:rsid w:val="04857571"/>
    <w:rsid w:val="04877EA0"/>
    <w:rsid w:val="048B4B6D"/>
    <w:rsid w:val="058C7C62"/>
    <w:rsid w:val="06817C04"/>
    <w:rsid w:val="069B7C33"/>
    <w:rsid w:val="06A967F3"/>
    <w:rsid w:val="06AE3E0A"/>
    <w:rsid w:val="06F7130D"/>
    <w:rsid w:val="070103DE"/>
    <w:rsid w:val="075810F7"/>
    <w:rsid w:val="076B5857"/>
    <w:rsid w:val="0797489E"/>
    <w:rsid w:val="082C531D"/>
    <w:rsid w:val="083E2F6B"/>
    <w:rsid w:val="08892439"/>
    <w:rsid w:val="08EB6C4F"/>
    <w:rsid w:val="0910093F"/>
    <w:rsid w:val="0A12645E"/>
    <w:rsid w:val="0B4B7E79"/>
    <w:rsid w:val="0B534F80"/>
    <w:rsid w:val="0BC55E7E"/>
    <w:rsid w:val="0BC814CA"/>
    <w:rsid w:val="0C0B0A9F"/>
    <w:rsid w:val="0C0F7A1D"/>
    <w:rsid w:val="0DA67CA4"/>
    <w:rsid w:val="0DEF2C07"/>
    <w:rsid w:val="0E2F5830"/>
    <w:rsid w:val="0F02651B"/>
    <w:rsid w:val="0F6459AD"/>
    <w:rsid w:val="0FDA626A"/>
    <w:rsid w:val="100A68BC"/>
    <w:rsid w:val="10157FD4"/>
    <w:rsid w:val="101831FE"/>
    <w:rsid w:val="104C76E6"/>
    <w:rsid w:val="10D156D7"/>
    <w:rsid w:val="110F2CF1"/>
    <w:rsid w:val="11250E82"/>
    <w:rsid w:val="119C4668"/>
    <w:rsid w:val="121605AD"/>
    <w:rsid w:val="12414F26"/>
    <w:rsid w:val="13075171"/>
    <w:rsid w:val="139C15CC"/>
    <w:rsid w:val="13EF7C2B"/>
    <w:rsid w:val="141F6347"/>
    <w:rsid w:val="153B0F5F"/>
    <w:rsid w:val="154047C7"/>
    <w:rsid w:val="1569563D"/>
    <w:rsid w:val="15C947BC"/>
    <w:rsid w:val="164555D3"/>
    <w:rsid w:val="16BB25A4"/>
    <w:rsid w:val="17080DD6"/>
    <w:rsid w:val="18100480"/>
    <w:rsid w:val="18581E27"/>
    <w:rsid w:val="1863536C"/>
    <w:rsid w:val="18C179CD"/>
    <w:rsid w:val="19341F4D"/>
    <w:rsid w:val="195B397D"/>
    <w:rsid w:val="19A10856"/>
    <w:rsid w:val="19F67B09"/>
    <w:rsid w:val="19FF23A4"/>
    <w:rsid w:val="1AC75042"/>
    <w:rsid w:val="1AD82DAC"/>
    <w:rsid w:val="1AF5570C"/>
    <w:rsid w:val="1C391B7E"/>
    <w:rsid w:val="1CC80DB9"/>
    <w:rsid w:val="1CDC4DD5"/>
    <w:rsid w:val="1D434E54"/>
    <w:rsid w:val="1D9E3644"/>
    <w:rsid w:val="1DCE30F7"/>
    <w:rsid w:val="1E2B7563"/>
    <w:rsid w:val="1EA9518B"/>
    <w:rsid w:val="1EA96F39"/>
    <w:rsid w:val="1EF34C34"/>
    <w:rsid w:val="1F212F73"/>
    <w:rsid w:val="1F811AAA"/>
    <w:rsid w:val="1FE4051E"/>
    <w:rsid w:val="204F58BE"/>
    <w:rsid w:val="207E071B"/>
    <w:rsid w:val="20927A81"/>
    <w:rsid w:val="21091F11"/>
    <w:rsid w:val="215019FD"/>
    <w:rsid w:val="22903D7B"/>
    <w:rsid w:val="22956632"/>
    <w:rsid w:val="22BB723B"/>
    <w:rsid w:val="235D02F2"/>
    <w:rsid w:val="23680666"/>
    <w:rsid w:val="23A423C5"/>
    <w:rsid w:val="23CB5BA3"/>
    <w:rsid w:val="23DA7B95"/>
    <w:rsid w:val="23E50738"/>
    <w:rsid w:val="24164EA6"/>
    <w:rsid w:val="241A0381"/>
    <w:rsid w:val="2432177F"/>
    <w:rsid w:val="2443398C"/>
    <w:rsid w:val="244B7932"/>
    <w:rsid w:val="245931AF"/>
    <w:rsid w:val="24601168"/>
    <w:rsid w:val="24A25CBF"/>
    <w:rsid w:val="24A3267C"/>
    <w:rsid w:val="262C5057"/>
    <w:rsid w:val="26E825C8"/>
    <w:rsid w:val="277C0423"/>
    <w:rsid w:val="27CC5A46"/>
    <w:rsid w:val="28060F58"/>
    <w:rsid w:val="28177609"/>
    <w:rsid w:val="28BE0B56"/>
    <w:rsid w:val="28C01A4F"/>
    <w:rsid w:val="28F03886"/>
    <w:rsid w:val="29400549"/>
    <w:rsid w:val="294206B6"/>
    <w:rsid w:val="297C07A3"/>
    <w:rsid w:val="29937EF5"/>
    <w:rsid w:val="29C00052"/>
    <w:rsid w:val="29DA3908"/>
    <w:rsid w:val="2A582EF5"/>
    <w:rsid w:val="2ACA7EA3"/>
    <w:rsid w:val="2B201FFC"/>
    <w:rsid w:val="2B401585"/>
    <w:rsid w:val="2BDE3F9A"/>
    <w:rsid w:val="2BFD6F9D"/>
    <w:rsid w:val="2C610E53"/>
    <w:rsid w:val="2C6E517C"/>
    <w:rsid w:val="2CB96BFC"/>
    <w:rsid w:val="2CC26143"/>
    <w:rsid w:val="2CF0667B"/>
    <w:rsid w:val="2D4D683A"/>
    <w:rsid w:val="2E0614A0"/>
    <w:rsid w:val="2E073C7C"/>
    <w:rsid w:val="2ECC16D0"/>
    <w:rsid w:val="2EDA6C9B"/>
    <w:rsid w:val="2EEA298A"/>
    <w:rsid w:val="2F1B2D83"/>
    <w:rsid w:val="2F300FB0"/>
    <w:rsid w:val="2F6D5D61"/>
    <w:rsid w:val="2F9C03F4"/>
    <w:rsid w:val="2FB4573E"/>
    <w:rsid w:val="304545E8"/>
    <w:rsid w:val="30AC6CFD"/>
    <w:rsid w:val="30B33C47"/>
    <w:rsid w:val="30D66CF2"/>
    <w:rsid w:val="30F77FD8"/>
    <w:rsid w:val="314F1BC2"/>
    <w:rsid w:val="31762CCE"/>
    <w:rsid w:val="3291620A"/>
    <w:rsid w:val="32C82A26"/>
    <w:rsid w:val="32F860CE"/>
    <w:rsid w:val="33385662"/>
    <w:rsid w:val="33495094"/>
    <w:rsid w:val="33623BA2"/>
    <w:rsid w:val="3384026F"/>
    <w:rsid w:val="343B61AA"/>
    <w:rsid w:val="34D57EF5"/>
    <w:rsid w:val="35170C48"/>
    <w:rsid w:val="35305866"/>
    <w:rsid w:val="35942E1A"/>
    <w:rsid w:val="36B97EDD"/>
    <w:rsid w:val="36CB4CD2"/>
    <w:rsid w:val="37012AEF"/>
    <w:rsid w:val="37741F14"/>
    <w:rsid w:val="37AA5E95"/>
    <w:rsid w:val="37BE182B"/>
    <w:rsid w:val="37D23EA2"/>
    <w:rsid w:val="37F232A7"/>
    <w:rsid w:val="37FB65FF"/>
    <w:rsid w:val="386F2D08"/>
    <w:rsid w:val="38C05153"/>
    <w:rsid w:val="3950297B"/>
    <w:rsid w:val="39B21C1C"/>
    <w:rsid w:val="39B244EF"/>
    <w:rsid w:val="3A774A84"/>
    <w:rsid w:val="3AF20A03"/>
    <w:rsid w:val="3B131744"/>
    <w:rsid w:val="3B182918"/>
    <w:rsid w:val="3BA26C3C"/>
    <w:rsid w:val="3BDF7FE6"/>
    <w:rsid w:val="3C2123AD"/>
    <w:rsid w:val="3C4A30C0"/>
    <w:rsid w:val="3CB11983"/>
    <w:rsid w:val="3CCF643E"/>
    <w:rsid w:val="3CE04016"/>
    <w:rsid w:val="3D2B4112"/>
    <w:rsid w:val="3D49148E"/>
    <w:rsid w:val="3D6E29AE"/>
    <w:rsid w:val="3DA212CB"/>
    <w:rsid w:val="3DB01C3A"/>
    <w:rsid w:val="3DC053B1"/>
    <w:rsid w:val="3DD26D72"/>
    <w:rsid w:val="3DF104C0"/>
    <w:rsid w:val="3E030C93"/>
    <w:rsid w:val="3E3536D0"/>
    <w:rsid w:val="3E9E1AB8"/>
    <w:rsid w:val="3EE65ED1"/>
    <w:rsid w:val="3F1F76E8"/>
    <w:rsid w:val="3FD124CF"/>
    <w:rsid w:val="40153FD6"/>
    <w:rsid w:val="4038621E"/>
    <w:rsid w:val="40B44F0C"/>
    <w:rsid w:val="40CD6681"/>
    <w:rsid w:val="40E41474"/>
    <w:rsid w:val="41210759"/>
    <w:rsid w:val="41383EF5"/>
    <w:rsid w:val="4191768D"/>
    <w:rsid w:val="419B701A"/>
    <w:rsid w:val="41BF3EBB"/>
    <w:rsid w:val="41CE268F"/>
    <w:rsid w:val="41FD2F74"/>
    <w:rsid w:val="42047653"/>
    <w:rsid w:val="421828D8"/>
    <w:rsid w:val="424A0387"/>
    <w:rsid w:val="427A5293"/>
    <w:rsid w:val="42836415"/>
    <w:rsid w:val="42F34775"/>
    <w:rsid w:val="43525B39"/>
    <w:rsid w:val="4374370A"/>
    <w:rsid w:val="438A6A5F"/>
    <w:rsid w:val="43AC4C52"/>
    <w:rsid w:val="44B46E03"/>
    <w:rsid w:val="44C24879"/>
    <w:rsid w:val="44FE5706"/>
    <w:rsid w:val="472D7E58"/>
    <w:rsid w:val="47B219EE"/>
    <w:rsid w:val="47EF7816"/>
    <w:rsid w:val="481728B6"/>
    <w:rsid w:val="4856518C"/>
    <w:rsid w:val="485673C8"/>
    <w:rsid w:val="48E374F8"/>
    <w:rsid w:val="491A0170"/>
    <w:rsid w:val="491C0184"/>
    <w:rsid w:val="494122F8"/>
    <w:rsid w:val="4977360C"/>
    <w:rsid w:val="49986026"/>
    <w:rsid w:val="4A6C6703"/>
    <w:rsid w:val="4A6F7FAC"/>
    <w:rsid w:val="4B0233A9"/>
    <w:rsid w:val="4B086918"/>
    <w:rsid w:val="4B271062"/>
    <w:rsid w:val="4B3B2C6F"/>
    <w:rsid w:val="4BF70D1F"/>
    <w:rsid w:val="4C7958ED"/>
    <w:rsid w:val="4CA2551F"/>
    <w:rsid w:val="4CE801C3"/>
    <w:rsid w:val="4D004273"/>
    <w:rsid w:val="4D5A571F"/>
    <w:rsid w:val="4D8B1D7C"/>
    <w:rsid w:val="4DD3727F"/>
    <w:rsid w:val="4E573A0C"/>
    <w:rsid w:val="4EC97BA1"/>
    <w:rsid w:val="4ED076C4"/>
    <w:rsid w:val="4F045C18"/>
    <w:rsid w:val="4F2F6737"/>
    <w:rsid w:val="4F611715"/>
    <w:rsid w:val="4F9C201E"/>
    <w:rsid w:val="4FE15C83"/>
    <w:rsid w:val="50B7657A"/>
    <w:rsid w:val="51453FF0"/>
    <w:rsid w:val="52036385"/>
    <w:rsid w:val="5288688A"/>
    <w:rsid w:val="528A1057"/>
    <w:rsid w:val="52D25D57"/>
    <w:rsid w:val="52FB4F04"/>
    <w:rsid w:val="539B439B"/>
    <w:rsid w:val="53F32429"/>
    <w:rsid w:val="54331512"/>
    <w:rsid w:val="543466B3"/>
    <w:rsid w:val="5451136D"/>
    <w:rsid w:val="54635E47"/>
    <w:rsid w:val="54B8129B"/>
    <w:rsid w:val="54BC6CBF"/>
    <w:rsid w:val="54FC1DED"/>
    <w:rsid w:val="55387B54"/>
    <w:rsid w:val="5592453F"/>
    <w:rsid w:val="55A737D5"/>
    <w:rsid w:val="56B77FB6"/>
    <w:rsid w:val="57045D3E"/>
    <w:rsid w:val="57A51C8C"/>
    <w:rsid w:val="57FB7AFE"/>
    <w:rsid w:val="58387563"/>
    <w:rsid w:val="58586CFE"/>
    <w:rsid w:val="5896478A"/>
    <w:rsid w:val="59172716"/>
    <w:rsid w:val="5996188C"/>
    <w:rsid w:val="59977233"/>
    <w:rsid w:val="5A215D13"/>
    <w:rsid w:val="5A2C21F1"/>
    <w:rsid w:val="5A753DA0"/>
    <w:rsid w:val="5AC10B8B"/>
    <w:rsid w:val="5AC661A1"/>
    <w:rsid w:val="5B402790"/>
    <w:rsid w:val="5BF25739"/>
    <w:rsid w:val="5C0D0065"/>
    <w:rsid w:val="5C2C472A"/>
    <w:rsid w:val="5C512D32"/>
    <w:rsid w:val="5CDA23D8"/>
    <w:rsid w:val="5CF526CE"/>
    <w:rsid w:val="5D3C5BBE"/>
    <w:rsid w:val="5DCA244C"/>
    <w:rsid w:val="5DEF4E55"/>
    <w:rsid w:val="5E0F7E5F"/>
    <w:rsid w:val="5E1D0ABE"/>
    <w:rsid w:val="5E7E6D93"/>
    <w:rsid w:val="5E915E5E"/>
    <w:rsid w:val="5EA66A16"/>
    <w:rsid w:val="5F6E6E08"/>
    <w:rsid w:val="5F702B80"/>
    <w:rsid w:val="5F8605F5"/>
    <w:rsid w:val="5FB74EED"/>
    <w:rsid w:val="5FBC5DC5"/>
    <w:rsid w:val="5FFA069B"/>
    <w:rsid w:val="60244B2B"/>
    <w:rsid w:val="60675D31"/>
    <w:rsid w:val="606F2E37"/>
    <w:rsid w:val="60830FAA"/>
    <w:rsid w:val="611B4D6D"/>
    <w:rsid w:val="616404C2"/>
    <w:rsid w:val="61F71336"/>
    <w:rsid w:val="624164DE"/>
    <w:rsid w:val="62A2257D"/>
    <w:rsid w:val="62BE1E0E"/>
    <w:rsid w:val="630F445E"/>
    <w:rsid w:val="6351155E"/>
    <w:rsid w:val="638135AD"/>
    <w:rsid w:val="63C65464"/>
    <w:rsid w:val="64475103"/>
    <w:rsid w:val="64994927"/>
    <w:rsid w:val="64A62BA0"/>
    <w:rsid w:val="651027B1"/>
    <w:rsid w:val="65A74E21"/>
    <w:rsid w:val="65BD2897"/>
    <w:rsid w:val="66F66060"/>
    <w:rsid w:val="670C6C95"/>
    <w:rsid w:val="672E5483"/>
    <w:rsid w:val="676353B3"/>
    <w:rsid w:val="6792309A"/>
    <w:rsid w:val="68210EBB"/>
    <w:rsid w:val="6852376A"/>
    <w:rsid w:val="690F51B7"/>
    <w:rsid w:val="692D445E"/>
    <w:rsid w:val="693E59C0"/>
    <w:rsid w:val="69743E14"/>
    <w:rsid w:val="69D32689"/>
    <w:rsid w:val="6A322FC2"/>
    <w:rsid w:val="6A503CD9"/>
    <w:rsid w:val="6AE03628"/>
    <w:rsid w:val="6AE67270"/>
    <w:rsid w:val="6AE77FF8"/>
    <w:rsid w:val="6B1D34D2"/>
    <w:rsid w:val="6B3E3B32"/>
    <w:rsid w:val="6B4052E2"/>
    <w:rsid w:val="6B560E7C"/>
    <w:rsid w:val="6B6827F1"/>
    <w:rsid w:val="6BCB6A79"/>
    <w:rsid w:val="6C7F08A6"/>
    <w:rsid w:val="6C9E35A5"/>
    <w:rsid w:val="6D226EED"/>
    <w:rsid w:val="6D5C0A81"/>
    <w:rsid w:val="6D723F67"/>
    <w:rsid w:val="6DEB3D14"/>
    <w:rsid w:val="6E470F4F"/>
    <w:rsid w:val="6E5813AF"/>
    <w:rsid w:val="6E745DD6"/>
    <w:rsid w:val="6E873A42"/>
    <w:rsid w:val="6EAA6C4C"/>
    <w:rsid w:val="6EB81E4D"/>
    <w:rsid w:val="6ED00F45"/>
    <w:rsid w:val="6F011A46"/>
    <w:rsid w:val="6F4A6F49"/>
    <w:rsid w:val="708B529E"/>
    <w:rsid w:val="708B7819"/>
    <w:rsid w:val="709309E2"/>
    <w:rsid w:val="70A60867"/>
    <w:rsid w:val="70C20D61"/>
    <w:rsid w:val="70CD78BC"/>
    <w:rsid w:val="70F133F4"/>
    <w:rsid w:val="717169A4"/>
    <w:rsid w:val="71754F65"/>
    <w:rsid w:val="71C56D5B"/>
    <w:rsid w:val="7265011E"/>
    <w:rsid w:val="73474DF1"/>
    <w:rsid w:val="73500B9C"/>
    <w:rsid w:val="737722D7"/>
    <w:rsid w:val="73A8315F"/>
    <w:rsid w:val="73B314ED"/>
    <w:rsid w:val="73C27007"/>
    <w:rsid w:val="743E609F"/>
    <w:rsid w:val="748E1A5D"/>
    <w:rsid w:val="74F811F5"/>
    <w:rsid w:val="756643B1"/>
    <w:rsid w:val="75743E29"/>
    <w:rsid w:val="757C5983"/>
    <w:rsid w:val="75AE6855"/>
    <w:rsid w:val="761727B1"/>
    <w:rsid w:val="7647571C"/>
    <w:rsid w:val="76EC4D8A"/>
    <w:rsid w:val="770B3462"/>
    <w:rsid w:val="7746449A"/>
    <w:rsid w:val="77F42148"/>
    <w:rsid w:val="786F6C79"/>
    <w:rsid w:val="78960E3E"/>
    <w:rsid w:val="78E438AC"/>
    <w:rsid w:val="78E57CE3"/>
    <w:rsid w:val="78EC2805"/>
    <w:rsid w:val="790B77C1"/>
    <w:rsid w:val="79BC6C95"/>
    <w:rsid w:val="7A6730A5"/>
    <w:rsid w:val="7AD93877"/>
    <w:rsid w:val="7B2B38B8"/>
    <w:rsid w:val="7B526294"/>
    <w:rsid w:val="7B796D31"/>
    <w:rsid w:val="7B827A6B"/>
    <w:rsid w:val="7BA37F1B"/>
    <w:rsid w:val="7BA54F82"/>
    <w:rsid w:val="7BBC2F7D"/>
    <w:rsid w:val="7BF1074D"/>
    <w:rsid w:val="7BF5648F"/>
    <w:rsid w:val="7C046106"/>
    <w:rsid w:val="7C6D071B"/>
    <w:rsid w:val="7CBE1AB8"/>
    <w:rsid w:val="7CFE5817"/>
    <w:rsid w:val="7D1C0211"/>
    <w:rsid w:val="7D364FB1"/>
    <w:rsid w:val="7D4B5EB2"/>
    <w:rsid w:val="7D615AD7"/>
    <w:rsid w:val="7DB258B3"/>
    <w:rsid w:val="7E2C493A"/>
    <w:rsid w:val="7E9E2E0E"/>
    <w:rsid w:val="7EB73BB7"/>
    <w:rsid w:val="7EC37C99"/>
    <w:rsid w:val="7ED72BF7"/>
    <w:rsid w:val="7F2C0419"/>
    <w:rsid w:val="7F604041"/>
    <w:rsid w:val="7FB8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textAlignment w:val="center"/>
    </w:pPr>
    <w:rPr>
      <w:rFonts w:ascii="Times New Roman" w:hAnsi="Times New Roman" w:eastAsia="宋体" w:cstheme="minorBidi"/>
      <w:kern w:val="2"/>
      <w:sz w:val="24"/>
      <w:szCs w:val="22"/>
      <w:lang w:val="en-US" w:eastAsia="zh-CN" w:bidi="ar-SA"/>
    </w:rPr>
  </w:style>
  <w:style w:type="paragraph" w:styleId="4">
    <w:name w:val="heading 1"/>
    <w:basedOn w:val="1"/>
    <w:next w:val="1"/>
    <w:qFormat/>
    <w:uiPriority w:val="9"/>
    <w:pPr>
      <w:keepNext/>
      <w:keepLines/>
      <w:pageBreakBefore/>
      <w:spacing w:before="240" w:after="120" w:line="240" w:lineRule="auto"/>
      <w:ind w:firstLine="0" w:firstLineChars="0"/>
      <w:jc w:val="left"/>
      <w:outlineLvl w:val="0"/>
    </w:pPr>
    <w:rPr>
      <w:b/>
      <w:bCs/>
      <w:kern w:val="44"/>
      <w:sz w:val="28"/>
      <w:szCs w:val="44"/>
    </w:rPr>
  </w:style>
  <w:style w:type="paragraph" w:styleId="5">
    <w:name w:val="heading 2"/>
    <w:basedOn w:val="1"/>
    <w:next w:val="1"/>
    <w:unhideWhenUsed/>
    <w:qFormat/>
    <w:uiPriority w:val="9"/>
    <w:pPr>
      <w:keepNext/>
      <w:keepLines/>
      <w:spacing w:before="120" w:after="60" w:line="240" w:lineRule="auto"/>
      <w:ind w:firstLine="0" w:firstLineChars="0"/>
      <w:outlineLvl w:val="1"/>
    </w:pPr>
    <w:rPr>
      <w:rFonts w:cstheme="majorBidi"/>
      <w:b/>
      <w:bCs/>
      <w:szCs w:val="32"/>
    </w:rPr>
  </w:style>
  <w:style w:type="paragraph" w:styleId="6">
    <w:name w:val="heading 3"/>
    <w:basedOn w:val="1"/>
    <w:next w:val="1"/>
    <w:unhideWhenUsed/>
    <w:qFormat/>
    <w:uiPriority w:val="9"/>
    <w:pPr>
      <w:keepNext/>
      <w:keepLines/>
      <w:spacing w:before="120" w:after="60" w:line="240" w:lineRule="auto"/>
      <w:ind w:firstLine="0" w:firstLineChars="0"/>
      <w:outlineLvl w:val="2"/>
    </w:pPr>
    <w:rPr>
      <w:b/>
      <w:bCs/>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after="120"/>
      <w:ind w:left="420" w:leftChars="200"/>
    </w:pPr>
  </w:style>
  <w:style w:type="paragraph" w:styleId="7">
    <w:name w:val="Normal Indent"/>
    <w:basedOn w:val="1"/>
    <w:next w:val="8"/>
    <w:qFormat/>
    <w:uiPriority w:val="0"/>
    <w:pPr>
      <w:ind w:firstLine="420"/>
    </w:pPr>
    <w:rPr>
      <w:sz w:val="21"/>
    </w:rPr>
  </w:style>
  <w:style w:type="paragraph" w:customStyle="1" w:styleId="8">
    <w:name w:val="文字"/>
    <w:qFormat/>
    <w:uiPriority w:val="0"/>
    <w:pPr>
      <w:adjustRightInd w:val="0"/>
      <w:snapToGrid w:val="0"/>
      <w:spacing w:line="360" w:lineRule="auto"/>
      <w:ind w:firstLine="200" w:firstLineChars="200"/>
    </w:pPr>
    <w:rPr>
      <w:rFonts w:ascii="Calibri" w:hAnsi="Calibri" w:eastAsia="Calibri" w:cs="Arial"/>
      <w:bCs/>
      <w:kern w:val="2"/>
      <w:sz w:val="24"/>
      <w:szCs w:val="28"/>
      <w:lang w:val="en-US" w:eastAsia="zh-CN" w:bidi="ar-SA"/>
    </w:rPr>
  </w:style>
  <w:style w:type="paragraph" w:styleId="9">
    <w:name w:val="annotation text"/>
    <w:basedOn w:val="1"/>
    <w:link w:val="36"/>
    <w:qFormat/>
    <w:uiPriority w:val="0"/>
    <w:pPr>
      <w:jc w:val="left"/>
    </w:pPr>
  </w:style>
  <w:style w:type="paragraph" w:styleId="10">
    <w:name w:val="Body Text"/>
    <w:basedOn w:val="1"/>
    <w:next w:val="11"/>
    <w:qFormat/>
    <w:uiPriority w:val="1"/>
    <w:rPr>
      <w:sz w:val="24"/>
      <w:szCs w:val="24"/>
    </w:rPr>
  </w:style>
  <w:style w:type="paragraph" w:styleId="11">
    <w:name w:val="Body Text First Indent"/>
    <w:basedOn w:val="10"/>
    <w:qFormat/>
    <w:uiPriority w:val="0"/>
    <w:pPr>
      <w:ind w:firstLine="420" w:firstLineChars="100"/>
    </w:pPr>
  </w:style>
  <w:style w:type="paragraph" w:styleId="12">
    <w:name w:val="Body Text Indent 2"/>
    <w:basedOn w:val="1"/>
    <w:next w:val="13"/>
    <w:qFormat/>
    <w:uiPriority w:val="0"/>
    <w:pPr>
      <w:ind w:firstLine="573"/>
    </w:pPr>
    <w:rPr>
      <w:sz w:val="28"/>
    </w:rPr>
  </w:style>
  <w:style w:type="paragraph" w:customStyle="1" w:styleId="13">
    <w:name w:val="reader-word-layer reader-word-s46-2"/>
    <w:basedOn w:val="1"/>
    <w:next w:val="14"/>
    <w:qFormat/>
    <w:uiPriority w:val="0"/>
    <w:pPr>
      <w:widowControl/>
      <w:spacing w:before="280" w:after="280" w:line="240" w:lineRule="auto"/>
      <w:jc w:val="both"/>
    </w:pPr>
    <w:rPr>
      <w:rFonts w:ascii="宋体"/>
      <w:sz w:val="24"/>
    </w:rPr>
  </w:style>
  <w:style w:type="paragraph" w:customStyle="1" w:styleId="14">
    <w:name w:val="xl35"/>
    <w:basedOn w:val="1"/>
    <w:next w:val="1"/>
    <w:qFormat/>
    <w:uiPriority w:val="0"/>
    <w:pPr>
      <w:widowControl/>
      <w:shd w:val="clear" w:color="FFFFFF" w:fill="FFFFFF"/>
      <w:spacing w:before="280" w:after="280" w:line="240" w:lineRule="auto"/>
      <w:jc w:val="both"/>
    </w:pPr>
    <w:rPr>
      <w:rFonts w:ascii="Arial Unicode MS" w:eastAsia="Arial Unicode MS"/>
      <w:sz w:val="24"/>
    </w:rPr>
  </w:style>
  <w:style w:type="paragraph" w:styleId="15">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next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List"/>
    <w:basedOn w:val="1"/>
    <w:semiHidden/>
    <w:unhideWhenUsed/>
    <w:qFormat/>
    <w:uiPriority w:val="99"/>
    <w:pPr>
      <w:ind w:left="200" w:hanging="200" w:hangingChars="200"/>
      <w:contextualSpacing/>
    </w:pPr>
  </w:style>
  <w:style w:type="paragraph" w:styleId="18">
    <w:name w:val="Body Text Indent 3"/>
    <w:basedOn w:val="1"/>
    <w:qFormat/>
    <w:uiPriority w:val="0"/>
    <w:pPr>
      <w:ind w:firstLine="560"/>
    </w:pPr>
    <w:rPr>
      <w:color w:val="000000"/>
      <w:sz w:val="28"/>
    </w:rPr>
  </w:style>
  <w:style w:type="paragraph" w:styleId="19">
    <w:name w:val="Normal (Web)"/>
    <w:basedOn w:val="1"/>
    <w:qFormat/>
    <w:uiPriority w:val="0"/>
    <w:pPr>
      <w:widowControl/>
      <w:spacing w:before="100" w:beforeAutospacing="1" w:after="100" w:afterAutospacing="1"/>
      <w:jc w:val="left"/>
    </w:pPr>
    <w:rPr>
      <w:rFonts w:ascii="宋体" w:hAnsi="宋体"/>
      <w:kern w:val="0"/>
      <w:szCs w:val="20"/>
    </w:rPr>
  </w:style>
  <w:style w:type="paragraph" w:styleId="20">
    <w:name w:val="annotation subject"/>
    <w:basedOn w:val="9"/>
    <w:next w:val="9"/>
    <w:link w:val="37"/>
    <w:qFormat/>
    <w:uiPriority w:val="0"/>
    <w:rPr>
      <w:b/>
      <w:bCs/>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basedOn w:val="23"/>
    <w:qFormat/>
    <w:uiPriority w:val="0"/>
    <w:rPr>
      <w:sz w:val="21"/>
      <w:szCs w:val="21"/>
    </w:rPr>
  </w:style>
  <w:style w:type="paragraph" w:customStyle="1" w:styleId="25">
    <w:name w:val="表题"/>
    <w:basedOn w:val="1"/>
    <w:next w:val="1"/>
    <w:link w:val="30"/>
    <w:qFormat/>
    <w:uiPriority w:val="0"/>
    <w:pPr>
      <w:spacing w:before="50" w:beforeLines="50" w:line="240" w:lineRule="auto"/>
      <w:ind w:firstLine="0" w:firstLineChars="0"/>
      <w:jc w:val="center"/>
    </w:pPr>
    <w:rPr>
      <w:b/>
      <w:sz w:val="21"/>
    </w:rPr>
  </w:style>
  <w:style w:type="paragraph" w:styleId="26">
    <w:name w:val="No Spacing"/>
    <w:basedOn w:val="1"/>
    <w:next w:val="1"/>
    <w:qFormat/>
    <w:uiPriority w:val="1"/>
    <w:pPr>
      <w:spacing w:line="240" w:lineRule="auto"/>
      <w:ind w:firstLine="0" w:firstLineChars="0"/>
      <w:jc w:val="center"/>
    </w:pPr>
    <w:rPr>
      <w:sz w:val="21"/>
    </w:rPr>
  </w:style>
  <w:style w:type="paragraph" w:customStyle="1" w:styleId="27">
    <w:name w:val="【表格】"/>
    <w:next w:val="1"/>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28">
    <w:name w:val="文本"/>
    <w:qFormat/>
    <w:uiPriority w:val="0"/>
    <w:pPr>
      <w:adjustRightInd w:val="0"/>
      <w:snapToGrid w:val="0"/>
      <w:spacing w:line="480" w:lineRule="exact"/>
      <w:ind w:firstLine="200" w:firstLineChars="200"/>
      <w:jc w:val="both"/>
    </w:pPr>
    <w:rPr>
      <w:rFonts w:ascii="宋体" w:hAnsi="Calibri" w:eastAsia="宋体" w:cs="Times New Roman"/>
      <w:spacing w:val="5"/>
      <w:sz w:val="25"/>
      <w:szCs w:val="22"/>
      <w:lang w:val="en-US" w:eastAsia="zh-CN" w:bidi="ar-SA"/>
    </w:rPr>
  </w:style>
  <w:style w:type="paragraph" w:customStyle="1" w:styleId="29">
    <w:name w:val="表内容"/>
    <w:basedOn w:val="1"/>
    <w:next w:val="1"/>
    <w:link w:val="31"/>
    <w:qFormat/>
    <w:uiPriority w:val="0"/>
    <w:pPr>
      <w:jc w:val="center"/>
    </w:pPr>
    <w:rPr>
      <w:sz w:val="21"/>
    </w:rPr>
  </w:style>
  <w:style w:type="character" w:customStyle="1" w:styleId="30">
    <w:name w:val="表题 Char"/>
    <w:link w:val="25"/>
    <w:qFormat/>
    <w:uiPriority w:val="0"/>
    <w:rPr>
      <w:b/>
      <w:sz w:val="21"/>
    </w:rPr>
  </w:style>
  <w:style w:type="character" w:customStyle="1" w:styleId="31">
    <w:name w:val="表内容 Char"/>
    <w:link w:val="29"/>
    <w:qFormat/>
    <w:uiPriority w:val="0"/>
    <w:rPr>
      <w:rFonts w:ascii="Times New Roman" w:hAnsi="Times New Roman" w:eastAsia="宋体"/>
      <w:kern w:val="2"/>
      <w:sz w:val="21"/>
      <w:lang w:val="en-US" w:eastAsia="zh-CN" w:bidi="ar-SA"/>
    </w:rPr>
  </w:style>
  <w:style w:type="paragraph" w:customStyle="1" w:styleId="32">
    <w:name w:val="表格"/>
    <w:next w:val="1"/>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33">
    <w:name w:val="表中文字"/>
    <w:basedOn w:val="1"/>
    <w:qFormat/>
    <w:uiPriority w:val="0"/>
    <w:pPr>
      <w:tabs>
        <w:tab w:val="left" w:pos="2700"/>
      </w:tabs>
      <w:adjustRightInd w:val="0"/>
      <w:snapToGrid w:val="0"/>
      <w:spacing w:line="240" w:lineRule="auto"/>
      <w:ind w:firstLine="0" w:firstLineChars="0"/>
      <w:jc w:val="center"/>
    </w:pPr>
    <w:rPr>
      <w:sz w:val="21"/>
      <w:szCs w:val="21"/>
    </w:rPr>
  </w:style>
  <w:style w:type="paragraph" w:customStyle="1" w:styleId="34">
    <w:name w:val="图表名称"/>
    <w:next w:val="1"/>
    <w:qFormat/>
    <w:uiPriority w:val="0"/>
    <w:pPr>
      <w:adjustRightInd w:val="0"/>
      <w:snapToGrid w:val="0"/>
      <w:jc w:val="center"/>
    </w:pPr>
    <w:rPr>
      <w:rFonts w:ascii="Times New Roman" w:hAnsi="Times New Roman" w:eastAsia="宋体" w:cstheme="minorBidi"/>
      <w:b/>
      <w:bCs/>
      <w:kern w:val="28"/>
      <w:sz w:val="24"/>
      <w:szCs w:val="32"/>
      <w:lang w:val="en-US" w:eastAsia="zh-CN" w:bidi="ar-SA"/>
    </w:rPr>
  </w:style>
  <w:style w:type="table" w:customStyle="1" w:styleId="35">
    <w:name w:val="网格型2"/>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
    <w:name w:val="批注文字 字符"/>
    <w:basedOn w:val="23"/>
    <w:link w:val="9"/>
    <w:qFormat/>
    <w:uiPriority w:val="0"/>
    <w:rPr>
      <w:rFonts w:cstheme="minorBidi"/>
      <w:kern w:val="2"/>
      <w:sz w:val="24"/>
      <w:szCs w:val="22"/>
    </w:rPr>
  </w:style>
  <w:style w:type="character" w:customStyle="1" w:styleId="37">
    <w:name w:val="批注主题 字符"/>
    <w:basedOn w:val="36"/>
    <w:link w:val="20"/>
    <w:qFormat/>
    <w:uiPriority w:val="0"/>
    <w:rPr>
      <w:rFonts w:cstheme="minorBidi"/>
      <w:b/>
      <w:bCs/>
      <w:kern w:val="2"/>
      <w:sz w:val="24"/>
      <w:szCs w:val="22"/>
    </w:rPr>
  </w:style>
  <w:style w:type="paragraph" w:customStyle="1" w:styleId="38">
    <w:name w:val="主表格"/>
    <w:basedOn w:val="1"/>
    <w:qFormat/>
    <w:uiPriority w:val="0"/>
    <w:pPr>
      <w:tabs>
        <w:tab w:val="left" w:pos="2700"/>
      </w:tabs>
      <w:spacing w:line="240" w:lineRule="auto"/>
      <w:ind w:firstLine="0" w:firstLineChars="0"/>
      <w:jc w:val="center"/>
      <w:textAlignment w:val="center"/>
    </w:pPr>
    <w:rPr>
      <w:szCs w:val="21"/>
    </w:rPr>
  </w:style>
  <w:style w:type="paragraph" w:customStyle="1" w:styleId="39">
    <w:name w:val="表"/>
    <w:basedOn w:val="1"/>
    <w:qFormat/>
    <w:uiPriority w:val="0"/>
    <w:pPr>
      <w:keepNext/>
      <w:keepLines/>
      <w:autoSpaceDE w:val="0"/>
      <w:autoSpaceDN w:val="0"/>
      <w:spacing w:line="240" w:lineRule="auto"/>
      <w:ind w:firstLine="0" w:firstLineChars="0"/>
      <w:jc w:val="center"/>
    </w:pPr>
    <w:rPr>
      <w:kern w:val="21"/>
      <w:sz w:val="21"/>
      <w:szCs w:val="20"/>
    </w:rPr>
  </w:style>
  <w:style w:type="paragraph" w:customStyle="1" w:styleId="40">
    <w:name w:val="图名、表头"/>
    <w:next w:val="1"/>
    <w:qFormat/>
    <w:uiPriority w:val="0"/>
    <w:pPr>
      <w:widowControl w:val="0"/>
      <w:jc w:val="center"/>
    </w:pPr>
    <w:rPr>
      <w:rFonts w:ascii="Times New Roman" w:hAnsi="Times New Roman" w:eastAsia="宋体" w:cs="Times New Roman"/>
      <w:b/>
      <w:color w:val="000000" w:themeColor="text1"/>
      <w:kern w:val="2"/>
      <w:sz w:val="21"/>
      <w:lang w:val="en-US" w:eastAsia="zh-CN" w:bidi="ar-SA"/>
      <w14:textFill>
        <w14:solidFill>
          <w14:schemeClr w14:val="tx1"/>
        </w14:solidFill>
      </w14:textFill>
    </w:rPr>
  </w:style>
  <w:style w:type="paragraph" w:customStyle="1" w:styleId="41">
    <w:name w:val="Table Text"/>
    <w:basedOn w:val="1"/>
    <w:semiHidden/>
    <w:qFormat/>
    <w:uiPriority w:val="0"/>
    <w:rPr>
      <w:rFonts w:ascii="宋体" w:hAnsi="宋体" w:eastAsia="宋体" w:cs="宋体"/>
      <w:sz w:val="20"/>
      <w:szCs w:val="20"/>
      <w:lang w:val="en-US" w:eastAsia="en-US" w:bidi="ar-SA"/>
    </w:rPr>
  </w:style>
  <w:style w:type="table" w:customStyle="1" w:styleId="42">
    <w:name w:val="Table Normal"/>
    <w:semiHidden/>
    <w:unhideWhenUsed/>
    <w:qFormat/>
    <w:uiPriority w:val="0"/>
    <w:tblPr>
      <w:tblCellMar>
        <w:top w:w="0" w:type="dxa"/>
        <w:left w:w="0" w:type="dxa"/>
        <w:bottom w:w="0" w:type="dxa"/>
        <w:right w:w="0" w:type="dxa"/>
      </w:tblCellMar>
    </w:tblPr>
  </w:style>
  <w:style w:type="paragraph" w:customStyle="1" w:styleId="43">
    <w:name w:val="标题4"/>
    <w:basedOn w:val="44"/>
    <w:next w:val="1"/>
    <w:qFormat/>
    <w:uiPriority w:val="0"/>
    <w:pPr>
      <w:outlineLvl w:val="3"/>
    </w:pPr>
  </w:style>
  <w:style w:type="paragraph" w:customStyle="1" w:styleId="44">
    <w:name w:val="标题3"/>
    <w:basedOn w:val="1"/>
    <w:next w:val="1"/>
    <w:qFormat/>
    <w:uiPriority w:val="0"/>
    <w:pPr>
      <w:spacing w:before="120" w:after="60" w:line="240" w:lineRule="auto"/>
      <w:ind w:firstLine="0" w:firstLineChars="0"/>
      <w:jc w:val="left"/>
      <w:outlineLvl w:val="2"/>
    </w:pPr>
    <w:rPr>
      <w:rFonts w:cstheme="majorBidi"/>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27954</Words>
  <Characters>31695</Characters>
  <Lines>2351</Lines>
  <Paragraphs>2264</Paragraphs>
  <TotalTime>2</TotalTime>
  <ScaleCrop>false</ScaleCrop>
  <LinksUpToDate>false</LinksUpToDate>
  <CharactersWithSpaces>31864</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2023-04-24T08:30:00Z</dcterms:created>
  <dc:creator>Administrator</dc:creator>
  <cp:lastModifiedBy>Administrator</cp:lastModifiedBy>
  <cp:lastPrinted>2025-08-18T08:26:00Z</cp:lastPrinted>
  <dcterms:modified xsi:type="dcterms:W3CDTF">2025-12-02T11:56:55Z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5CA10EE6DCFC4305A0A0F5D20C5C50C6_12</vt:lpwstr>
  </property>
  <property fmtid="{D5CDD505-2E9C-101B-9397-08002B2CF9AE}" pid="4" name="KSOTemplateDocerSaveRecord">
    <vt:lpwstr>eyJoZGlkIjoiOGFiMGMxZmYwZTYyNDQzMzU3ZmUyOTY0YmRmYjFhMGMiLCJ1c2VySWQiOiI0MDI5MDUzODAifQ==</vt:lpwstr>
  </property>
</Properties>
</file>