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3A228">
      <w:pPr>
        <w:ind w:firstLine="0" w:firstLineChars="0"/>
        <w:jc w:val="center"/>
        <w:outlineLvl w:val="0"/>
        <w:rPr>
          <w:rFonts w:ascii="方正小标宋_GBK" w:eastAsia="方正小标宋_GBK"/>
          <w:bCs/>
          <w:sz w:val="72"/>
          <w:szCs w:val="72"/>
        </w:rPr>
      </w:pPr>
    </w:p>
    <w:p w14:paraId="6B20918D">
      <w:pPr>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5B7CB0D4">
      <w:pPr>
        <w:spacing w:before="192" w:beforeLines="80"/>
        <w:ind w:firstLine="0" w:firstLineChars="0"/>
        <w:jc w:val="center"/>
        <w:rPr>
          <w:rFonts w:ascii="楷体_GB2312" w:eastAsia="楷体_GB2312"/>
          <w:bCs/>
          <w:sz w:val="48"/>
          <w:szCs w:val="48"/>
        </w:rPr>
      </w:pPr>
      <w:r>
        <w:rPr>
          <w:rFonts w:hint="eastAsia" w:ascii="楷体_GB2312" w:eastAsia="楷体_GB2312"/>
          <w:bCs/>
          <w:sz w:val="48"/>
          <w:szCs w:val="48"/>
        </w:rPr>
        <w:t>（污染影响类）</w:t>
      </w:r>
    </w:p>
    <w:p w14:paraId="5998905A">
      <w:pPr>
        <w:ind w:firstLine="0" w:firstLineChars="0"/>
        <w:rPr>
          <w:b/>
          <w:bCs/>
          <w:sz w:val="36"/>
          <w:szCs w:val="36"/>
        </w:rPr>
      </w:pPr>
    </w:p>
    <w:p w14:paraId="4CE6B6A5">
      <w:pPr>
        <w:ind w:firstLine="0" w:firstLineChars="0"/>
        <w:rPr>
          <w:b/>
          <w:bCs/>
          <w:sz w:val="36"/>
          <w:szCs w:val="36"/>
        </w:rPr>
      </w:pPr>
    </w:p>
    <w:p w14:paraId="49F9ABA3">
      <w:pPr>
        <w:ind w:firstLine="0" w:firstLineChars="0"/>
        <w:rPr>
          <w:b/>
          <w:bCs/>
          <w:sz w:val="36"/>
          <w:szCs w:val="36"/>
        </w:rPr>
      </w:pPr>
    </w:p>
    <w:p w14:paraId="0A3A61F0">
      <w:pPr>
        <w:ind w:firstLine="0" w:firstLineChars="0"/>
        <w:rPr>
          <w:b/>
          <w:bCs/>
          <w:sz w:val="36"/>
          <w:szCs w:val="36"/>
        </w:rPr>
      </w:pPr>
    </w:p>
    <w:p w14:paraId="7CCBDFDE">
      <w:pPr>
        <w:ind w:firstLine="0" w:firstLineChars="0"/>
        <w:rPr>
          <w:b/>
          <w:bCs/>
          <w:sz w:val="36"/>
          <w:szCs w:val="36"/>
        </w:rPr>
      </w:pPr>
    </w:p>
    <w:p w14:paraId="345843E1">
      <w:pPr>
        <w:keepNext w:val="0"/>
        <w:keepLines w:val="0"/>
        <w:pageBreakBefore w:val="0"/>
        <w:widowControl w:val="0"/>
        <w:kinsoku/>
        <w:wordWrap/>
        <w:overflowPunct/>
        <w:topLinePunct w:val="0"/>
        <w:autoSpaceDE/>
        <w:autoSpaceDN/>
        <w:bidi w:val="0"/>
        <w:adjustRightInd w:val="0"/>
        <w:snapToGrid w:val="0"/>
        <w:spacing w:line="360" w:lineRule="auto"/>
        <w:ind w:left="1800" w:leftChars="0" w:hanging="1800" w:hangingChars="500"/>
        <w:textAlignment w:val="auto"/>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lang w:eastAsia="zh-CN"/>
        </w:rPr>
        <w:t>：</w:t>
      </w:r>
      <w:r>
        <w:rPr>
          <w:rFonts w:hint="eastAsia" w:ascii="宋体" w:hAnsi="宋体" w:eastAsia="宋体" w:cs="宋体"/>
          <w:sz w:val="36"/>
          <w:szCs w:val="36"/>
          <w:u w:val="single"/>
        </w:rPr>
        <w:t>新疆科瑞新材料有限公司一般工业固体废弃物综合利用项目</w:t>
      </w:r>
      <w:r>
        <w:rPr>
          <w:rFonts w:hint="eastAsia" w:ascii="仿宋_GB2312" w:eastAsia="仿宋_GB2312"/>
          <w:spacing w:val="-20"/>
          <w:sz w:val="36"/>
          <w:szCs w:val="36"/>
          <w:u w:val="single"/>
        </w:rPr>
        <w:t xml:space="preserve">      </w:t>
      </w:r>
      <w:r>
        <w:rPr>
          <w:rFonts w:hint="eastAsia" w:ascii="仿宋_GB2312" w:eastAsia="仿宋_GB2312"/>
          <w:spacing w:val="-20"/>
          <w:sz w:val="36"/>
          <w:szCs w:val="36"/>
          <w:u w:val="single"/>
          <w:lang w:val="en-US" w:eastAsia="zh-CN"/>
        </w:rPr>
        <w:t xml:space="preserve">                  </w:t>
      </w:r>
    </w:p>
    <w:p w14:paraId="3930EEDF">
      <w:pPr>
        <w:keepNext w:val="0"/>
        <w:keepLines w:val="0"/>
        <w:pageBreakBefore w:val="0"/>
        <w:widowControl w:val="0"/>
        <w:kinsoku/>
        <w:wordWrap/>
        <w:overflowPunct/>
        <w:topLinePunct w:val="0"/>
        <w:autoSpaceDE/>
        <w:autoSpaceDN/>
        <w:bidi w:val="0"/>
        <w:adjustRightInd w:val="0"/>
        <w:snapToGrid w:val="0"/>
        <w:spacing w:line="360" w:lineRule="auto"/>
        <w:ind w:left="1800" w:hanging="1800" w:hangingChars="500"/>
        <w:textAlignment w:val="auto"/>
        <w:rPr>
          <w:rFonts w:ascii="仿宋_GB2312" w:eastAsia="仿宋_GB2312"/>
          <w:spacing w:val="-20"/>
          <w:sz w:val="36"/>
          <w:szCs w:val="36"/>
          <w:u w:val="single"/>
        </w:rPr>
      </w:pPr>
      <w:r>
        <w:rPr>
          <w:rFonts w:hint="eastAsia" w:ascii="仿宋_GB2312" w:eastAsia="仿宋_GB2312"/>
          <w:sz w:val="36"/>
          <w:szCs w:val="36"/>
        </w:rPr>
        <w:t>建设单位</w:t>
      </w:r>
      <w:r>
        <w:rPr>
          <w:rFonts w:hint="eastAsia" w:ascii="仿宋_GB2312" w:eastAsia="仿宋_GB2312"/>
          <w:sz w:val="36"/>
          <w:szCs w:val="36"/>
          <w:lang w:eastAsia="zh-CN"/>
        </w:rPr>
        <w:t>（</w:t>
      </w:r>
      <w:r>
        <w:rPr>
          <w:rFonts w:hint="eastAsia" w:ascii="仿宋_GB2312" w:eastAsia="仿宋_GB2312"/>
          <w:sz w:val="36"/>
          <w:szCs w:val="36"/>
        </w:rPr>
        <w:t>盖章</w:t>
      </w:r>
      <w:r>
        <w:rPr>
          <w:rFonts w:hint="eastAsia" w:ascii="仿宋_GB2312" w:eastAsia="仿宋_GB2312"/>
          <w:sz w:val="36"/>
          <w:szCs w:val="36"/>
          <w:lang w:eastAsia="zh-CN"/>
        </w:rPr>
        <w:t>）</w:t>
      </w:r>
      <w:r>
        <w:rPr>
          <w:rFonts w:hint="eastAsia" w:ascii="仿宋_GB2312" w:eastAsia="仿宋_GB2312"/>
          <w:sz w:val="36"/>
          <w:szCs w:val="36"/>
        </w:rPr>
        <w:t>:</w:t>
      </w:r>
      <w:r>
        <w:rPr>
          <w:rFonts w:hint="eastAsia" w:ascii="仿宋_GB2312" w:eastAsia="仿宋_GB2312"/>
          <w:spacing w:val="-20"/>
          <w:sz w:val="36"/>
          <w:szCs w:val="36"/>
          <w:u w:val="single"/>
        </w:rPr>
        <w:t xml:space="preserve">  </w:t>
      </w:r>
      <w:r>
        <w:rPr>
          <w:rFonts w:hint="eastAsia" w:ascii="宋体" w:hAnsi="宋体" w:eastAsia="宋体" w:cs="宋体"/>
          <w:spacing w:val="-20"/>
          <w:sz w:val="36"/>
          <w:szCs w:val="36"/>
          <w:u w:val="single"/>
        </w:rPr>
        <w:t xml:space="preserve">  </w:t>
      </w:r>
      <w:r>
        <w:rPr>
          <w:rFonts w:hint="eastAsia" w:ascii="仿宋_GB2312" w:eastAsia="仿宋_GB2312"/>
          <w:spacing w:val="-20"/>
          <w:sz w:val="36"/>
          <w:szCs w:val="36"/>
          <w:u w:val="single"/>
        </w:rPr>
        <w:t xml:space="preserve"> </w:t>
      </w:r>
      <w:r>
        <w:rPr>
          <w:rFonts w:hint="eastAsia" w:ascii="宋体" w:hAnsi="宋体" w:eastAsia="宋体" w:cs="宋体"/>
          <w:spacing w:val="-20"/>
          <w:sz w:val="36"/>
          <w:szCs w:val="36"/>
          <w:u w:val="single"/>
        </w:rPr>
        <w:t>新疆科瑞新材料有限公司</w:t>
      </w:r>
      <w:r>
        <w:rPr>
          <w:rFonts w:hint="eastAsia" w:ascii="仿宋_GB2312" w:eastAsia="仿宋_GB2312"/>
          <w:spacing w:val="-20"/>
          <w:sz w:val="36"/>
          <w:szCs w:val="36"/>
          <w:u w:val="single"/>
        </w:rPr>
        <w:t xml:space="preserve">    </w:t>
      </w:r>
      <w:r>
        <w:rPr>
          <w:rFonts w:hint="eastAsia" w:ascii="仿宋_GB2312" w:eastAsia="仿宋_GB2312"/>
          <w:spacing w:val="-20"/>
          <w:sz w:val="36"/>
          <w:szCs w:val="36"/>
          <w:u w:val="single"/>
          <w:lang w:val="en-US" w:eastAsia="zh-CN"/>
        </w:rPr>
        <w:t xml:space="preserve">  </w:t>
      </w:r>
    </w:p>
    <w:p w14:paraId="2548BC93">
      <w:pPr>
        <w:keepNext w:val="0"/>
        <w:keepLines w:val="0"/>
        <w:pageBreakBefore w:val="0"/>
        <w:widowControl w:val="0"/>
        <w:kinsoku/>
        <w:wordWrap/>
        <w:overflowPunct/>
        <w:topLinePunct w:val="0"/>
        <w:autoSpaceDE/>
        <w:autoSpaceDN/>
        <w:bidi w:val="0"/>
        <w:adjustRightInd w:val="0"/>
        <w:snapToGrid w:val="0"/>
        <w:spacing w:line="360" w:lineRule="auto"/>
        <w:ind w:left="1800" w:hanging="1800" w:hangingChars="500"/>
        <w:textAlignment w:val="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hint="eastAsia" w:ascii="宋体" w:hAnsi="宋体" w:eastAsia="宋体" w:cs="宋体"/>
          <w:sz w:val="36"/>
          <w:szCs w:val="36"/>
          <w:u w:val="single"/>
        </w:rPr>
        <w:t>202</w:t>
      </w:r>
      <w:r>
        <w:rPr>
          <w:rFonts w:hint="eastAsia" w:ascii="宋体" w:hAnsi="宋体" w:cs="宋体"/>
          <w:sz w:val="36"/>
          <w:szCs w:val="36"/>
          <w:u w:val="single"/>
          <w:lang w:val="en-US" w:eastAsia="zh-CN"/>
        </w:rPr>
        <w:t>5</w:t>
      </w:r>
      <w:r>
        <w:rPr>
          <w:rFonts w:hint="eastAsia" w:ascii="宋体" w:hAnsi="宋体" w:eastAsia="宋体" w:cs="宋体"/>
          <w:sz w:val="36"/>
          <w:szCs w:val="36"/>
          <w:u w:val="single"/>
        </w:rPr>
        <w:t>年</w:t>
      </w:r>
      <w:r>
        <w:rPr>
          <w:rFonts w:hint="eastAsia" w:ascii="宋体" w:hAnsi="宋体" w:cs="宋体"/>
          <w:color w:val="auto"/>
          <w:sz w:val="36"/>
          <w:szCs w:val="36"/>
          <w:u w:val="single"/>
          <w:lang w:val="en-US" w:eastAsia="zh-CN"/>
        </w:rPr>
        <w:t>12</w:t>
      </w:r>
      <w:r>
        <w:rPr>
          <w:rFonts w:hint="eastAsia" w:ascii="宋体" w:hAnsi="宋体" w:eastAsia="宋体" w:cs="宋体"/>
          <w:sz w:val="36"/>
          <w:szCs w:val="36"/>
          <w:u w:val="single"/>
        </w:rPr>
        <w:t xml:space="preserve">月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72772BE4">
      <w:pPr>
        <w:spacing w:line="288" w:lineRule="auto"/>
        <w:rPr>
          <w:rFonts w:ascii="仿宋_GB2312" w:eastAsia="仿宋_GB2312"/>
          <w:sz w:val="36"/>
          <w:szCs w:val="36"/>
          <w:u w:val="single"/>
        </w:rPr>
      </w:pPr>
      <w:bookmarkStart w:id="0" w:name="_Hlk57884087"/>
    </w:p>
    <w:p w14:paraId="60DBB785">
      <w:pPr>
        <w:spacing w:line="288" w:lineRule="auto"/>
        <w:rPr>
          <w:rFonts w:ascii="仿宋_GB2312" w:eastAsia="仿宋_GB2312"/>
          <w:sz w:val="36"/>
          <w:szCs w:val="36"/>
        </w:rPr>
      </w:pPr>
    </w:p>
    <w:p w14:paraId="681C6685">
      <w:pPr>
        <w:spacing w:line="288" w:lineRule="auto"/>
        <w:rPr>
          <w:rFonts w:ascii="仿宋_GB2312" w:eastAsia="仿宋_GB2312"/>
          <w:sz w:val="36"/>
          <w:szCs w:val="36"/>
        </w:rPr>
      </w:pPr>
    </w:p>
    <w:bookmarkEnd w:id="0"/>
    <w:p w14:paraId="2495EA2A">
      <w:pPr>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3DF6A0AB">
      <w:pPr>
        <w:ind w:firstLine="0" w:firstLineChars="0"/>
        <w:jc w:val="both"/>
        <w:rPr>
          <w:rFonts w:hint="eastAsia" w:ascii="黑体" w:hAnsi="黑体" w:eastAsia="黑体" w:cs="黑体"/>
          <w:sz w:val="36"/>
          <w:szCs w:val="36"/>
        </w:rPr>
        <w:sectPr>
          <w:footerReference r:id="rId5" w:type="default"/>
          <w:pgSz w:w="11906" w:h="16838"/>
          <w:pgMar w:top="1701" w:right="1531" w:bottom="1701" w:left="1531" w:header="851" w:footer="1077" w:gutter="0"/>
          <w:cols w:space="720" w:num="1"/>
          <w:docGrid w:linePitch="312" w:charSpace="0"/>
        </w:sectPr>
      </w:pPr>
    </w:p>
    <w:p w14:paraId="41DDAB16">
      <w:pPr>
        <w:pStyle w:val="2"/>
        <w:rPr>
          <w:color w:val="auto"/>
        </w:rPr>
      </w:pPr>
      <w:bookmarkStart w:id="1" w:name="_Toc21366"/>
      <w:r>
        <w:rPr>
          <w:rFonts w:hint="eastAsia"/>
          <w:color w:val="auto"/>
        </w:rPr>
        <w:t>一、建设项目基本情况</w:t>
      </w:r>
      <w:bookmarkEnd w:id="1"/>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9"/>
        <w:gridCol w:w="465"/>
        <w:gridCol w:w="2225"/>
        <w:gridCol w:w="1813"/>
        <w:gridCol w:w="3288"/>
      </w:tblGrid>
      <w:tr w14:paraId="7F306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6FF95084">
            <w:pPr>
              <w:pStyle w:val="56"/>
              <w:rPr>
                <w:color w:val="auto"/>
                <w:highlight w:val="none"/>
              </w:rPr>
            </w:pPr>
            <w:r>
              <w:rPr>
                <w:rFonts w:hint="eastAsia"/>
                <w:color w:val="auto"/>
                <w:highlight w:val="none"/>
              </w:rPr>
              <w:t>建设项目名称</w:t>
            </w:r>
          </w:p>
        </w:tc>
        <w:tc>
          <w:tcPr>
            <w:tcW w:w="7326" w:type="dxa"/>
            <w:gridSpan w:val="3"/>
            <w:vAlign w:val="center"/>
          </w:tcPr>
          <w:p w14:paraId="4A92DCE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highlight w:val="none"/>
              </w:rPr>
            </w:pPr>
            <w:r>
              <w:rPr>
                <w:rFonts w:hint="eastAsia" w:cs="宋体"/>
                <w:color w:val="auto"/>
                <w:szCs w:val="28"/>
                <w:highlight w:val="none"/>
                <w:lang w:val="zh-CN"/>
              </w:rPr>
              <w:t>新疆科瑞新材料有限公司一般工业固体废弃物综合利用项目</w:t>
            </w:r>
          </w:p>
        </w:tc>
      </w:tr>
      <w:tr w14:paraId="1862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7DE79B21">
            <w:pPr>
              <w:pStyle w:val="56"/>
              <w:rPr>
                <w:color w:val="auto"/>
                <w:highlight w:val="none"/>
              </w:rPr>
            </w:pPr>
            <w:r>
              <w:rPr>
                <w:rFonts w:hint="eastAsia"/>
                <w:color w:val="auto"/>
                <w:highlight w:val="none"/>
              </w:rPr>
              <w:t>项目代码</w:t>
            </w:r>
          </w:p>
        </w:tc>
        <w:tc>
          <w:tcPr>
            <w:tcW w:w="7326" w:type="dxa"/>
            <w:gridSpan w:val="3"/>
            <w:vAlign w:val="center"/>
          </w:tcPr>
          <w:p w14:paraId="39374516">
            <w:pPr>
              <w:pStyle w:val="56"/>
              <w:rPr>
                <w:color w:val="auto"/>
                <w:highlight w:val="none"/>
              </w:rPr>
            </w:pPr>
          </w:p>
        </w:tc>
      </w:tr>
      <w:tr w14:paraId="5A428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0C374B89">
            <w:pPr>
              <w:pStyle w:val="56"/>
              <w:rPr>
                <w:color w:val="auto"/>
                <w:highlight w:val="none"/>
              </w:rPr>
            </w:pPr>
            <w:r>
              <w:rPr>
                <w:rFonts w:hint="eastAsia"/>
                <w:color w:val="auto"/>
                <w:highlight w:val="none"/>
              </w:rPr>
              <w:t>建设单位联系人</w:t>
            </w:r>
          </w:p>
        </w:tc>
        <w:tc>
          <w:tcPr>
            <w:tcW w:w="2225" w:type="dxa"/>
            <w:vAlign w:val="center"/>
          </w:tcPr>
          <w:p w14:paraId="40597DFE">
            <w:pPr>
              <w:pStyle w:val="56"/>
              <w:rPr>
                <w:rFonts w:hint="default" w:eastAsia="宋体"/>
                <w:color w:val="auto"/>
                <w:highlight w:val="none"/>
                <w:lang w:val="en-US" w:eastAsia="zh-CN"/>
              </w:rPr>
            </w:pPr>
          </w:p>
        </w:tc>
        <w:tc>
          <w:tcPr>
            <w:tcW w:w="1813" w:type="dxa"/>
            <w:vAlign w:val="center"/>
          </w:tcPr>
          <w:p w14:paraId="44434E18">
            <w:pPr>
              <w:pStyle w:val="56"/>
              <w:rPr>
                <w:color w:val="auto"/>
                <w:highlight w:val="none"/>
              </w:rPr>
            </w:pPr>
          </w:p>
        </w:tc>
        <w:tc>
          <w:tcPr>
            <w:tcW w:w="3288" w:type="dxa"/>
            <w:vAlign w:val="center"/>
          </w:tcPr>
          <w:p w14:paraId="6517B9DF">
            <w:pPr>
              <w:pStyle w:val="56"/>
              <w:rPr>
                <w:rFonts w:hint="default" w:eastAsia="宋体"/>
                <w:color w:val="auto"/>
                <w:highlight w:val="none"/>
                <w:lang w:val="en-US" w:eastAsia="zh-CN"/>
              </w:rPr>
            </w:pPr>
          </w:p>
        </w:tc>
      </w:tr>
      <w:tr w14:paraId="68ABB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544" w:type="dxa"/>
            <w:gridSpan w:val="2"/>
            <w:tcMar>
              <w:top w:w="16" w:type="dxa"/>
              <w:left w:w="16" w:type="dxa"/>
              <w:right w:w="16" w:type="dxa"/>
            </w:tcMar>
            <w:vAlign w:val="center"/>
          </w:tcPr>
          <w:p w14:paraId="445A8595">
            <w:pPr>
              <w:pStyle w:val="56"/>
              <w:rPr>
                <w:color w:val="auto"/>
                <w:highlight w:val="none"/>
              </w:rPr>
            </w:pPr>
            <w:r>
              <w:rPr>
                <w:rFonts w:hint="eastAsia"/>
                <w:color w:val="auto"/>
                <w:highlight w:val="none"/>
              </w:rPr>
              <w:t>建设地点</w:t>
            </w:r>
          </w:p>
        </w:tc>
        <w:tc>
          <w:tcPr>
            <w:tcW w:w="7326" w:type="dxa"/>
            <w:gridSpan w:val="3"/>
            <w:vAlign w:val="center"/>
          </w:tcPr>
          <w:p w14:paraId="5FC376A6">
            <w:pPr>
              <w:pStyle w:val="56"/>
              <w:rPr>
                <w:color w:val="auto"/>
                <w:highlight w:val="none"/>
              </w:rPr>
            </w:pPr>
          </w:p>
        </w:tc>
      </w:tr>
      <w:tr w14:paraId="32475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1D906BBB">
            <w:pPr>
              <w:pStyle w:val="56"/>
              <w:rPr>
                <w:color w:val="auto"/>
                <w:highlight w:val="none"/>
              </w:rPr>
            </w:pPr>
            <w:r>
              <w:rPr>
                <w:rFonts w:hint="eastAsia"/>
                <w:color w:val="auto"/>
                <w:highlight w:val="none"/>
              </w:rPr>
              <w:t>地理坐标</w:t>
            </w:r>
          </w:p>
        </w:tc>
        <w:tc>
          <w:tcPr>
            <w:tcW w:w="7326" w:type="dxa"/>
            <w:gridSpan w:val="3"/>
            <w:vAlign w:val="center"/>
          </w:tcPr>
          <w:p w14:paraId="4881AFF0">
            <w:pPr>
              <w:pStyle w:val="56"/>
              <w:rPr>
                <w:color w:val="auto"/>
                <w:highlight w:val="none"/>
              </w:rPr>
            </w:pPr>
          </w:p>
        </w:tc>
      </w:tr>
      <w:tr w14:paraId="02D8C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44" w:type="dxa"/>
            <w:gridSpan w:val="2"/>
            <w:tcMar>
              <w:top w:w="16" w:type="dxa"/>
              <w:left w:w="16" w:type="dxa"/>
              <w:right w:w="16" w:type="dxa"/>
            </w:tcMar>
            <w:vAlign w:val="center"/>
          </w:tcPr>
          <w:p w14:paraId="76CF9DFB">
            <w:pPr>
              <w:pStyle w:val="56"/>
              <w:rPr>
                <w:color w:val="auto"/>
                <w:highlight w:val="none"/>
              </w:rPr>
            </w:pPr>
            <w:r>
              <w:rPr>
                <w:rFonts w:hint="eastAsia"/>
                <w:color w:val="auto"/>
                <w:highlight w:val="none"/>
              </w:rPr>
              <w:t>国民经济</w:t>
            </w:r>
          </w:p>
          <w:p w14:paraId="15EC9D53">
            <w:pPr>
              <w:pStyle w:val="56"/>
              <w:rPr>
                <w:color w:val="auto"/>
                <w:highlight w:val="none"/>
              </w:rPr>
            </w:pPr>
            <w:r>
              <w:rPr>
                <w:rFonts w:hint="eastAsia"/>
                <w:color w:val="auto"/>
                <w:highlight w:val="none"/>
              </w:rPr>
              <w:t>行业类别</w:t>
            </w:r>
          </w:p>
        </w:tc>
        <w:tc>
          <w:tcPr>
            <w:tcW w:w="2225" w:type="dxa"/>
            <w:vAlign w:val="center"/>
          </w:tcPr>
          <w:p w14:paraId="315C2570">
            <w:pPr>
              <w:pStyle w:val="56"/>
              <w:rPr>
                <w:rFonts w:hint="default" w:eastAsia="宋体"/>
                <w:color w:val="auto"/>
                <w:highlight w:val="none"/>
                <w:lang w:val="en-US" w:eastAsia="zh-CN"/>
              </w:rPr>
            </w:pPr>
            <w:r>
              <w:rPr>
                <w:rFonts w:hint="eastAsia"/>
                <w:color w:val="auto"/>
                <w:highlight w:val="none"/>
                <w:lang w:val="en-US" w:eastAsia="zh-CN"/>
              </w:rPr>
              <w:t>N7723固体废物治理</w:t>
            </w:r>
          </w:p>
        </w:tc>
        <w:tc>
          <w:tcPr>
            <w:tcW w:w="1813" w:type="dxa"/>
            <w:vAlign w:val="center"/>
          </w:tcPr>
          <w:p w14:paraId="3714FA94">
            <w:pPr>
              <w:pStyle w:val="56"/>
              <w:rPr>
                <w:color w:val="auto"/>
                <w:highlight w:val="none"/>
              </w:rPr>
            </w:pPr>
            <w:bookmarkStart w:id="2" w:name="_Hlk49843745"/>
            <w:r>
              <w:rPr>
                <w:rFonts w:hint="eastAsia"/>
                <w:color w:val="auto"/>
                <w:highlight w:val="none"/>
              </w:rPr>
              <w:t>建设项目</w:t>
            </w:r>
          </w:p>
          <w:p w14:paraId="3ADDBEC8">
            <w:pPr>
              <w:pStyle w:val="56"/>
              <w:rPr>
                <w:color w:val="auto"/>
                <w:highlight w:val="none"/>
              </w:rPr>
            </w:pPr>
            <w:r>
              <w:rPr>
                <w:rFonts w:hint="eastAsia"/>
                <w:color w:val="auto"/>
                <w:highlight w:val="none"/>
              </w:rPr>
              <w:t>行业类别</w:t>
            </w:r>
            <w:bookmarkEnd w:id="2"/>
          </w:p>
        </w:tc>
        <w:tc>
          <w:tcPr>
            <w:tcW w:w="3288" w:type="dxa"/>
            <w:vAlign w:val="center"/>
          </w:tcPr>
          <w:p w14:paraId="422981FC">
            <w:pPr>
              <w:spacing w:line="240" w:lineRule="auto"/>
              <w:ind w:firstLine="0" w:firstLineChars="0"/>
              <w:rPr>
                <w:rFonts w:hint="eastAsia"/>
                <w:color w:val="auto"/>
                <w:szCs w:val="21"/>
                <w:highlight w:val="none"/>
              </w:rPr>
            </w:pPr>
            <w:r>
              <w:rPr>
                <w:rFonts w:hint="eastAsia"/>
                <w:color w:val="auto"/>
                <w:szCs w:val="21"/>
                <w:highlight w:val="none"/>
              </w:rPr>
              <w:t>四十七、生态保护和环境治理业</w:t>
            </w:r>
          </w:p>
          <w:p w14:paraId="67ECCF47">
            <w:pPr>
              <w:spacing w:line="240" w:lineRule="auto"/>
              <w:ind w:firstLine="0" w:firstLineChars="0"/>
              <w:rPr>
                <w:rFonts w:hint="default" w:eastAsia="宋体"/>
                <w:color w:val="auto"/>
                <w:szCs w:val="21"/>
                <w:highlight w:val="none"/>
                <w:lang w:val="en-US" w:eastAsia="zh-CN"/>
              </w:rPr>
            </w:pPr>
            <w:r>
              <w:rPr>
                <w:rFonts w:hint="eastAsia"/>
                <w:color w:val="auto"/>
                <w:szCs w:val="21"/>
                <w:highlight w:val="none"/>
              </w:rPr>
              <w:t>103、一般工业固体废物</w:t>
            </w:r>
            <w:r>
              <w:rPr>
                <w:rFonts w:hint="eastAsia"/>
                <w:color w:val="auto"/>
                <w:szCs w:val="21"/>
                <w:highlight w:val="none"/>
                <w:lang w:eastAsia="zh-CN"/>
              </w:rPr>
              <w:t>（</w:t>
            </w:r>
            <w:r>
              <w:rPr>
                <w:rFonts w:hint="eastAsia"/>
                <w:color w:val="auto"/>
                <w:szCs w:val="21"/>
                <w:highlight w:val="none"/>
              </w:rPr>
              <w:t>含污水处理污泥</w:t>
            </w:r>
            <w:r>
              <w:rPr>
                <w:rFonts w:hint="eastAsia"/>
                <w:color w:val="auto"/>
                <w:szCs w:val="21"/>
                <w:highlight w:val="none"/>
                <w:lang w:eastAsia="zh-CN"/>
              </w:rPr>
              <w:t>）</w:t>
            </w:r>
            <w:r>
              <w:rPr>
                <w:rFonts w:hint="eastAsia"/>
                <w:color w:val="auto"/>
                <w:szCs w:val="21"/>
                <w:highlight w:val="none"/>
              </w:rPr>
              <w:t>、建筑施工废弃物处置及综合利用</w:t>
            </w:r>
          </w:p>
        </w:tc>
      </w:tr>
      <w:tr w14:paraId="684FA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44" w:type="dxa"/>
            <w:gridSpan w:val="2"/>
            <w:tcMar>
              <w:top w:w="16" w:type="dxa"/>
              <w:left w:w="16" w:type="dxa"/>
              <w:right w:w="16" w:type="dxa"/>
            </w:tcMar>
            <w:vAlign w:val="center"/>
          </w:tcPr>
          <w:p w14:paraId="508C6B09">
            <w:pPr>
              <w:pStyle w:val="56"/>
              <w:rPr>
                <w:color w:val="auto"/>
                <w:highlight w:val="none"/>
              </w:rPr>
            </w:pPr>
            <w:r>
              <w:rPr>
                <w:rFonts w:hint="eastAsia"/>
                <w:color w:val="auto"/>
                <w:highlight w:val="none"/>
              </w:rPr>
              <w:t>建设性质</w:t>
            </w:r>
          </w:p>
        </w:tc>
        <w:tc>
          <w:tcPr>
            <w:tcW w:w="2225" w:type="dxa"/>
            <w:vAlign w:val="center"/>
          </w:tcPr>
          <w:p w14:paraId="35F32525">
            <w:pPr>
              <w:pStyle w:val="56"/>
              <w:widowControl/>
              <w:jc w:val="left"/>
              <w:textAlignment w:val="auto"/>
              <w:rPr>
                <w:color w:val="auto"/>
                <w:kern w:val="0"/>
                <w:szCs w:val="18"/>
                <w:highlight w:val="none"/>
              </w:rPr>
            </w:pPr>
            <w:r>
              <w:rPr>
                <w:rFonts w:hint="eastAsia"/>
                <w:color w:val="auto"/>
                <w:kern w:val="0"/>
                <w:szCs w:val="18"/>
                <w:highlight w:val="none"/>
              </w:rPr>
              <w:t>☑新建（迁建）</w:t>
            </w:r>
          </w:p>
          <w:p w14:paraId="4BE4C3FF">
            <w:pPr>
              <w:pStyle w:val="56"/>
              <w:widowControl/>
              <w:jc w:val="left"/>
              <w:textAlignment w:val="auto"/>
              <w:rPr>
                <w:color w:val="auto"/>
                <w:kern w:val="0"/>
                <w:szCs w:val="18"/>
                <w:highlight w:val="none"/>
              </w:rPr>
            </w:pPr>
            <w:r>
              <w:rPr>
                <w:rFonts w:hint="eastAsia"/>
                <w:color w:val="auto"/>
                <w:kern w:val="0"/>
                <w:szCs w:val="18"/>
                <w:highlight w:val="none"/>
              </w:rPr>
              <w:sym w:font="Wingdings 2" w:char="00A3"/>
            </w:r>
            <w:r>
              <w:rPr>
                <w:rFonts w:hint="eastAsia"/>
                <w:color w:val="auto"/>
                <w:kern w:val="0"/>
                <w:szCs w:val="18"/>
                <w:highlight w:val="none"/>
              </w:rPr>
              <w:t>改建</w:t>
            </w:r>
          </w:p>
          <w:p w14:paraId="223FF963">
            <w:pPr>
              <w:pStyle w:val="56"/>
              <w:widowControl/>
              <w:jc w:val="left"/>
              <w:textAlignment w:val="auto"/>
              <w:rPr>
                <w:color w:val="auto"/>
                <w:kern w:val="0"/>
                <w:szCs w:val="18"/>
                <w:highlight w:val="none"/>
              </w:rPr>
            </w:pPr>
            <w:r>
              <w:rPr>
                <w:rFonts w:hint="eastAsia"/>
                <w:color w:val="auto"/>
                <w:kern w:val="0"/>
                <w:szCs w:val="18"/>
                <w:highlight w:val="none"/>
              </w:rPr>
              <w:sym w:font="Wingdings 2" w:char="00A3"/>
            </w:r>
            <w:r>
              <w:rPr>
                <w:rFonts w:hint="eastAsia"/>
                <w:color w:val="auto"/>
                <w:kern w:val="0"/>
                <w:szCs w:val="18"/>
                <w:highlight w:val="none"/>
              </w:rPr>
              <w:t>扩建</w:t>
            </w:r>
          </w:p>
          <w:p w14:paraId="0B4F0616">
            <w:pPr>
              <w:pStyle w:val="56"/>
              <w:widowControl/>
              <w:jc w:val="left"/>
              <w:textAlignment w:val="auto"/>
              <w:rPr>
                <w:color w:val="auto"/>
                <w:highlight w:val="none"/>
              </w:rPr>
            </w:pPr>
            <w:r>
              <w:rPr>
                <w:rFonts w:hint="eastAsia"/>
                <w:color w:val="auto"/>
                <w:kern w:val="0"/>
                <w:szCs w:val="18"/>
                <w:highlight w:val="none"/>
              </w:rPr>
              <w:t>□技术改造</w:t>
            </w:r>
          </w:p>
        </w:tc>
        <w:tc>
          <w:tcPr>
            <w:tcW w:w="1813" w:type="dxa"/>
            <w:vAlign w:val="center"/>
          </w:tcPr>
          <w:p w14:paraId="71A93987">
            <w:pPr>
              <w:pStyle w:val="56"/>
              <w:rPr>
                <w:color w:val="auto"/>
                <w:highlight w:val="none"/>
              </w:rPr>
            </w:pPr>
            <w:r>
              <w:rPr>
                <w:rFonts w:hint="eastAsia"/>
                <w:color w:val="auto"/>
                <w:highlight w:val="none"/>
              </w:rPr>
              <w:t>建设项目</w:t>
            </w:r>
          </w:p>
          <w:p w14:paraId="0410F173">
            <w:pPr>
              <w:pStyle w:val="56"/>
              <w:rPr>
                <w:color w:val="auto"/>
                <w:highlight w:val="none"/>
              </w:rPr>
            </w:pPr>
            <w:r>
              <w:rPr>
                <w:rFonts w:hint="eastAsia"/>
                <w:color w:val="auto"/>
                <w:highlight w:val="none"/>
              </w:rPr>
              <w:t>申报情形</w:t>
            </w:r>
          </w:p>
        </w:tc>
        <w:tc>
          <w:tcPr>
            <w:tcW w:w="3288" w:type="dxa"/>
            <w:vAlign w:val="center"/>
          </w:tcPr>
          <w:p w14:paraId="190B7091">
            <w:pPr>
              <w:pStyle w:val="56"/>
              <w:widowControl/>
              <w:jc w:val="left"/>
              <w:textAlignment w:val="auto"/>
              <w:rPr>
                <w:color w:val="auto"/>
                <w:kern w:val="0"/>
                <w:szCs w:val="18"/>
                <w:highlight w:val="none"/>
              </w:rPr>
            </w:pPr>
            <w:r>
              <w:rPr>
                <w:rFonts w:hint="eastAsia"/>
                <w:color w:val="auto"/>
                <w:kern w:val="0"/>
                <w:szCs w:val="18"/>
                <w:highlight w:val="none"/>
              </w:rPr>
              <w:sym w:font="Wingdings 2" w:char="0052"/>
            </w:r>
            <w:r>
              <w:rPr>
                <w:rFonts w:hint="eastAsia"/>
                <w:color w:val="auto"/>
                <w:kern w:val="0"/>
                <w:szCs w:val="18"/>
                <w:highlight w:val="none"/>
              </w:rPr>
              <w:t>首次申报项目</w:t>
            </w:r>
          </w:p>
          <w:p w14:paraId="66EA2F75">
            <w:pPr>
              <w:pStyle w:val="56"/>
              <w:widowControl/>
              <w:jc w:val="left"/>
              <w:textAlignment w:val="auto"/>
              <w:rPr>
                <w:color w:val="auto"/>
                <w:kern w:val="0"/>
                <w:szCs w:val="18"/>
                <w:highlight w:val="none"/>
              </w:rPr>
            </w:pPr>
            <w:r>
              <w:rPr>
                <w:rFonts w:hint="eastAsia"/>
                <w:color w:val="auto"/>
                <w:kern w:val="0"/>
                <w:szCs w:val="18"/>
                <w:highlight w:val="none"/>
              </w:rPr>
              <w:t>□不予批准后再次申报项目</w:t>
            </w:r>
          </w:p>
          <w:p w14:paraId="412B91F7">
            <w:pPr>
              <w:pStyle w:val="56"/>
              <w:widowControl/>
              <w:jc w:val="left"/>
              <w:textAlignment w:val="auto"/>
              <w:rPr>
                <w:color w:val="auto"/>
                <w:kern w:val="0"/>
                <w:szCs w:val="18"/>
                <w:highlight w:val="none"/>
              </w:rPr>
            </w:pPr>
            <w:r>
              <w:rPr>
                <w:rFonts w:hint="eastAsia"/>
                <w:color w:val="auto"/>
                <w:kern w:val="0"/>
                <w:szCs w:val="18"/>
                <w:highlight w:val="none"/>
              </w:rPr>
              <w:t>□超五年重新审核项目</w:t>
            </w:r>
          </w:p>
          <w:p w14:paraId="3F8B913D">
            <w:pPr>
              <w:pStyle w:val="56"/>
              <w:widowControl/>
              <w:jc w:val="left"/>
              <w:textAlignment w:val="auto"/>
              <w:rPr>
                <w:color w:val="auto"/>
                <w:highlight w:val="none"/>
              </w:rPr>
            </w:pPr>
            <w:r>
              <w:rPr>
                <w:rFonts w:hint="eastAsia"/>
                <w:color w:val="auto"/>
                <w:kern w:val="0"/>
                <w:szCs w:val="18"/>
                <w:highlight w:val="none"/>
              </w:rPr>
              <w:t>□重大变动重新报批项目</w:t>
            </w:r>
          </w:p>
        </w:tc>
      </w:tr>
      <w:tr w14:paraId="74C5F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44" w:type="dxa"/>
            <w:gridSpan w:val="2"/>
            <w:tcMar>
              <w:top w:w="16" w:type="dxa"/>
              <w:left w:w="16" w:type="dxa"/>
              <w:right w:w="16" w:type="dxa"/>
            </w:tcMar>
            <w:vAlign w:val="center"/>
          </w:tcPr>
          <w:p w14:paraId="531AF3C6">
            <w:pPr>
              <w:pStyle w:val="56"/>
              <w:rPr>
                <w:color w:val="auto"/>
                <w:highlight w:val="none"/>
              </w:rPr>
            </w:pPr>
            <w:r>
              <w:rPr>
                <w:rFonts w:hint="eastAsia"/>
                <w:color w:val="auto"/>
                <w:highlight w:val="none"/>
              </w:rPr>
              <w:t>项目审批（核准</w:t>
            </w:r>
            <w:r>
              <w:rPr>
                <w:color w:val="auto"/>
                <w:highlight w:val="none"/>
              </w:rPr>
              <w:t>/</w:t>
            </w:r>
          </w:p>
          <w:p w14:paraId="4C06E27F">
            <w:pPr>
              <w:pStyle w:val="56"/>
              <w:rPr>
                <w:color w:val="auto"/>
                <w:highlight w:val="none"/>
              </w:rPr>
            </w:pPr>
            <w:r>
              <w:rPr>
                <w:rFonts w:hint="eastAsia"/>
                <w:color w:val="auto"/>
                <w:highlight w:val="none"/>
              </w:rPr>
              <w:t>备案）部门（选填）</w:t>
            </w:r>
          </w:p>
        </w:tc>
        <w:tc>
          <w:tcPr>
            <w:tcW w:w="2225" w:type="dxa"/>
            <w:vAlign w:val="center"/>
          </w:tcPr>
          <w:p w14:paraId="3F2C0DBC">
            <w:pPr>
              <w:pStyle w:val="56"/>
              <w:rPr>
                <w:rFonts w:hint="eastAsia" w:eastAsia="宋体"/>
                <w:color w:val="auto"/>
                <w:highlight w:val="none"/>
                <w:lang w:eastAsia="zh-CN"/>
              </w:rPr>
            </w:pPr>
            <w:r>
              <w:rPr>
                <w:rFonts w:hint="eastAsia"/>
                <w:color w:val="auto"/>
                <w:szCs w:val="21"/>
                <w:highlight w:val="none"/>
                <w:lang w:val="en-US" w:eastAsia="zh-CN"/>
              </w:rPr>
              <w:t>若羌县发展和改革委员会</w:t>
            </w:r>
          </w:p>
        </w:tc>
        <w:tc>
          <w:tcPr>
            <w:tcW w:w="1813" w:type="dxa"/>
            <w:vAlign w:val="center"/>
          </w:tcPr>
          <w:p w14:paraId="1817B8D8">
            <w:pPr>
              <w:pStyle w:val="56"/>
              <w:rPr>
                <w:color w:val="auto"/>
                <w:highlight w:val="none"/>
              </w:rPr>
            </w:pPr>
            <w:r>
              <w:rPr>
                <w:rFonts w:hint="eastAsia"/>
                <w:color w:val="auto"/>
                <w:highlight w:val="none"/>
              </w:rPr>
              <w:t>项目审批（核准</w:t>
            </w:r>
            <w:r>
              <w:rPr>
                <w:color w:val="auto"/>
                <w:highlight w:val="none"/>
              </w:rPr>
              <w:t>/</w:t>
            </w:r>
          </w:p>
          <w:p w14:paraId="611AFE40">
            <w:pPr>
              <w:pStyle w:val="56"/>
              <w:rPr>
                <w:color w:val="auto"/>
                <w:highlight w:val="none"/>
              </w:rPr>
            </w:pPr>
            <w:r>
              <w:rPr>
                <w:rFonts w:hint="eastAsia"/>
                <w:color w:val="auto"/>
                <w:highlight w:val="none"/>
              </w:rPr>
              <w:t>备案）文号（选填）</w:t>
            </w:r>
          </w:p>
        </w:tc>
        <w:tc>
          <w:tcPr>
            <w:tcW w:w="3288" w:type="dxa"/>
            <w:vAlign w:val="center"/>
          </w:tcPr>
          <w:p w14:paraId="3E6AE7A2">
            <w:pPr>
              <w:pStyle w:val="56"/>
              <w:rPr>
                <w:rFonts w:hint="eastAsia" w:eastAsia="宋体"/>
                <w:color w:val="auto"/>
                <w:highlight w:val="none"/>
                <w:lang w:val="en-US" w:eastAsia="zh-CN"/>
              </w:rPr>
            </w:pPr>
            <w:r>
              <w:rPr>
                <w:rFonts w:hint="eastAsia" w:eastAsia="宋体"/>
                <w:color w:val="auto"/>
                <w:highlight w:val="none"/>
                <w:lang w:val="en-US" w:eastAsia="zh-CN"/>
              </w:rPr>
              <w:t>2410141618652800000091</w:t>
            </w:r>
          </w:p>
        </w:tc>
      </w:tr>
      <w:tr w14:paraId="533B6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6AB7C446">
            <w:pPr>
              <w:pStyle w:val="56"/>
              <w:rPr>
                <w:color w:val="auto"/>
                <w:highlight w:val="none"/>
              </w:rPr>
            </w:pPr>
            <w:r>
              <w:rPr>
                <w:rFonts w:hint="eastAsia"/>
                <w:color w:val="auto"/>
                <w:highlight w:val="none"/>
              </w:rPr>
              <w:t>总投资（万元）</w:t>
            </w:r>
          </w:p>
        </w:tc>
        <w:tc>
          <w:tcPr>
            <w:tcW w:w="2225" w:type="dxa"/>
            <w:vAlign w:val="center"/>
          </w:tcPr>
          <w:p w14:paraId="26F1A858">
            <w:pPr>
              <w:pStyle w:val="56"/>
              <w:rPr>
                <w:rFonts w:hint="default" w:eastAsia="宋体"/>
                <w:color w:val="auto"/>
                <w:highlight w:val="none"/>
                <w:lang w:val="en-US" w:eastAsia="zh-CN"/>
              </w:rPr>
            </w:pPr>
            <w:r>
              <w:rPr>
                <w:rFonts w:hint="eastAsia"/>
                <w:color w:val="auto"/>
                <w:highlight w:val="none"/>
              </w:rPr>
              <w:t>1</w:t>
            </w:r>
            <w:r>
              <w:rPr>
                <w:rFonts w:hint="eastAsia"/>
                <w:color w:val="auto"/>
                <w:highlight w:val="none"/>
                <w:lang w:val="en-US" w:eastAsia="zh-CN"/>
              </w:rPr>
              <w:t>500</w:t>
            </w:r>
          </w:p>
        </w:tc>
        <w:tc>
          <w:tcPr>
            <w:tcW w:w="1813" w:type="dxa"/>
            <w:tcMar>
              <w:top w:w="16" w:type="dxa"/>
              <w:left w:w="16" w:type="dxa"/>
              <w:right w:w="16" w:type="dxa"/>
            </w:tcMar>
            <w:vAlign w:val="center"/>
          </w:tcPr>
          <w:p w14:paraId="1FD3F590">
            <w:pPr>
              <w:pStyle w:val="56"/>
              <w:rPr>
                <w:color w:val="auto"/>
                <w:highlight w:val="none"/>
              </w:rPr>
            </w:pPr>
            <w:r>
              <w:rPr>
                <w:rFonts w:hint="eastAsia"/>
                <w:color w:val="auto"/>
                <w:highlight w:val="none"/>
              </w:rPr>
              <w:t>环保投资（万元）</w:t>
            </w:r>
          </w:p>
        </w:tc>
        <w:tc>
          <w:tcPr>
            <w:tcW w:w="3288" w:type="dxa"/>
            <w:vAlign w:val="center"/>
          </w:tcPr>
          <w:p w14:paraId="218054A1">
            <w:pPr>
              <w:pStyle w:val="56"/>
              <w:rPr>
                <w:rFonts w:hint="default" w:eastAsia="宋体"/>
                <w:color w:val="auto"/>
                <w:highlight w:val="none"/>
                <w:lang w:val="en-US" w:eastAsia="zh-CN"/>
              </w:rPr>
            </w:pPr>
            <w:r>
              <w:rPr>
                <w:rFonts w:hint="eastAsia"/>
                <w:color w:val="auto"/>
                <w:highlight w:val="none"/>
                <w:lang w:val="en-US" w:eastAsia="zh-CN"/>
              </w:rPr>
              <w:t>150</w:t>
            </w:r>
          </w:p>
        </w:tc>
      </w:tr>
      <w:tr w14:paraId="6C3ED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29763034">
            <w:pPr>
              <w:pStyle w:val="56"/>
              <w:rPr>
                <w:color w:val="auto"/>
                <w:highlight w:val="none"/>
              </w:rPr>
            </w:pPr>
            <w:r>
              <w:rPr>
                <w:rFonts w:hint="eastAsia"/>
                <w:color w:val="auto"/>
                <w:highlight w:val="none"/>
              </w:rPr>
              <w:t>环保投资占比（</w:t>
            </w:r>
            <w:r>
              <w:rPr>
                <w:color w:val="auto"/>
                <w:highlight w:val="none"/>
              </w:rPr>
              <w:t>%</w:t>
            </w:r>
            <w:r>
              <w:rPr>
                <w:rFonts w:hint="eastAsia"/>
                <w:color w:val="auto"/>
                <w:highlight w:val="none"/>
              </w:rPr>
              <w:t>）</w:t>
            </w:r>
          </w:p>
        </w:tc>
        <w:tc>
          <w:tcPr>
            <w:tcW w:w="2225" w:type="dxa"/>
            <w:vAlign w:val="center"/>
          </w:tcPr>
          <w:p w14:paraId="3623F795">
            <w:pPr>
              <w:pStyle w:val="56"/>
              <w:rPr>
                <w:rFonts w:hint="default" w:eastAsia="宋体"/>
                <w:color w:val="auto"/>
                <w:highlight w:val="none"/>
                <w:lang w:val="en-US" w:eastAsia="zh-CN"/>
              </w:rPr>
            </w:pPr>
            <w:r>
              <w:rPr>
                <w:rFonts w:hint="eastAsia"/>
                <w:color w:val="auto"/>
                <w:highlight w:val="none"/>
                <w:lang w:val="en-US" w:eastAsia="zh-CN"/>
              </w:rPr>
              <w:t>10</w:t>
            </w:r>
          </w:p>
        </w:tc>
        <w:tc>
          <w:tcPr>
            <w:tcW w:w="1813" w:type="dxa"/>
            <w:tcMar>
              <w:top w:w="16" w:type="dxa"/>
              <w:left w:w="16" w:type="dxa"/>
              <w:right w:w="16" w:type="dxa"/>
            </w:tcMar>
            <w:vAlign w:val="center"/>
          </w:tcPr>
          <w:p w14:paraId="1CDDEDEA">
            <w:pPr>
              <w:pStyle w:val="56"/>
              <w:rPr>
                <w:color w:val="auto"/>
                <w:highlight w:val="none"/>
              </w:rPr>
            </w:pPr>
            <w:r>
              <w:rPr>
                <w:rFonts w:hint="eastAsia"/>
                <w:color w:val="auto"/>
                <w:highlight w:val="none"/>
              </w:rPr>
              <w:t>施工工期</w:t>
            </w:r>
          </w:p>
        </w:tc>
        <w:tc>
          <w:tcPr>
            <w:tcW w:w="3288" w:type="dxa"/>
            <w:vAlign w:val="center"/>
          </w:tcPr>
          <w:p w14:paraId="08FCFB3C">
            <w:pPr>
              <w:pStyle w:val="56"/>
              <w:rPr>
                <w:color w:val="auto"/>
                <w:highlight w:val="none"/>
              </w:rPr>
            </w:pPr>
            <w:r>
              <w:rPr>
                <w:rFonts w:hint="eastAsia"/>
                <w:color w:val="auto"/>
                <w:highlight w:val="none"/>
                <w:lang w:val="en-US" w:eastAsia="zh-CN"/>
              </w:rPr>
              <w:t>9</w:t>
            </w:r>
            <w:r>
              <w:rPr>
                <w:rFonts w:hint="eastAsia"/>
                <w:color w:val="auto"/>
                <w:highlight w:val="none"/>
              </w:rPr>
              <w:t>个月</w:t>
            </w:r>
          </w:p>
        </w:tc>
      </w:tr>
      <w:tr w14:paraId="2D987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44" w:type="dxa"/>
            <w:gridSpan w:val="2"/>
            <w:tcMar>
              <w:top w:w="16" w:type="dxa"/>
              <w:left w:w="16" w:type="dxa"/>
              <w:right w:w="16" w:type="dxa"/>
            </w:tcMar>
            <w:vAlign w:val="center"/>
          </w:tcPr>
          <w:p w14:paraId="429935D4">
            <w:pPr>
              <w:pStyle w:val="56"/>
              <w:rPr>
                <w:color w:val="auto"/>
                <w:highlight w:val="none"/>
              </w:rPr>
            </w:pPr>
            <w:r>
              <w:rPr>
                <w:rFonts w:hint="eastAsia"/>
                <w:color w:val="auto"/>
                <w:highlight w:val="none"/>
              </w:rPr>
              <w:t>是否开工建设</w:t>
            </w:r>
          </w:p>
        </w:tc>
        <w:tc>
          <w:tcPr>
            <w:tcW w:w="2225" w:type="dxa"/>
            <w:vAlign w:val="center"/>
          </w:tcPr>
          <w:p w14:paraId="0AB2CFAC">
            <w:pPr>
              <w:pStyle w:val="56"/>
              <w:widowControl/>
              <w:jc w:val="left"/>
              <w:textAlignment w:val="auto"/>
              <w:rPr>
                <w:color w:val="auto"/>
                <w:kern w:val="0"/>
                <w:szCs w:val="18"/>
                <w:highlight w:val="none"/>
              </w:rPr>
            </w:pPr>
            <w:r>
              <w:rPr>
                <w:rFonts w:hint="eastAsia"/>
                <w:color w:val="auto"/>
                <w:kern w:val="0"/>
                <w:szCs w:val="18"/>
                <w:highlight w:val="none"/>
              </w:rPr>
              <w:sym w:font="Wingdings 2" w:char="0052"/>
            </w:r>
            <w:r>
              <w:rPr>
                <w:rFonts w:hint="eastAsia"/>
                <w:color w:val="auto"/>
                <w:kern w:val="0"/>
                <w:szCs w:val="18"/>
                <w:highlight w:val="none"/>
              </w:rPr>
              <w:t>否</w:t>
            </w:r>
          </w:p>
          <w:p w14:paraId="08D5C22B">
            <w:pPr>
              <w:pStyle w:val="56"/>
              <w:widowControl/>
              <w:jc w:val="left"/>
              <w:textAlignment w:val="auto"/>
              <w:rPr>
                <w:color w:val="auto"/>
                <w:highlight w:val="none"/>
              </w:rPr>
            </w:pPr>
            <w:r>
              <w:rPr>
                <w:rFonts w:hint="eastAsia"/>
                <w:color w:val="auto"/>
                <w:kern w:val="0"/>
                <w:szCs w:val="18"/>
                <w:highlight w:val="none"/>
              </w:rPr>
              <w:sym w:font="Wingdings 2" w:char="00A3"/>
            </w:r>
            <w:r>
              <w:rPr>
                <w:rFonts w:hint="eastAsia"/>
                <w:color w:val="auto"/>
                <w:kern w:val="0"/>
                <w:szCs w:val="18"/>
                <w:highlight w:val="none"/>
              </w:rPr>
              <w:t>是</w:t>
            </w:r>
          </w:p>
        </w:tc>
        <w:tc>
          <w:tcPr>
            <w:tcW w:w="1813" w:type="dxa"/>
            <w:tcMar>
              <w:top w:w="16" w:type="dxa"/>
              <w:left w:w="16" w:type="dxa"/>
              <w:right w:w="16" w:type="dxa"/>
            </w:tcMar>
            <w:vAlign w:val="center"/>
          </w:tcPr>
          <w:p w14:paraId="0B86A671">
            <w:pPr>
              <w:pStyle w:val="56"/>
              <w:rPr>
                <w:color w:val="auto"/>
                <w:highlight w:val="none"/>
              </w:rPr>
            </w:pPr>
            <w:r>
              <w:rPr>
                <w:rFonts w:hint="eastAsia"/>
                <w:color w:val="auto"/>
                <w:highlight w:val="none"/>
              </w:rPr>
              <w:t>用地面积（</w:t>
            </w:r>
            <w:r>
              <w:rPr>
                <w:color w:val="auto"/>
                <w:highlight w:val="none"/>
              </w:rPr>
              <w:t>m</w:t>
            </w:r>
            <w:r>
              <w:rPr>
                <w:color w:val="auto"/>
                <w:highlight w:val="none"/>
                <w:vertAlign w:val="superscript"/>
              </w:rPr>
              <w:t>2</w:t>
            </w:r>
            <w:r>
              <w:rPr>
                <w:rFonts w:hint="eastAsia"/>
                <w:color w:val="auto"/>
                <w:highlight w:val="none"/>
              </w:rPr>
              <w:t>）</w:t>
            </w:r>
          </w:p>
        </w:tc>
        <w:tc>
          <w:tcPr>
            <w:tcW w:w="3288" w:type="dxa"/>
            <w:vAlign w:val="center"/>
          </w:tcPr>
          <w:p w14:paraId="47AC0714">
            <w:pPr>
              <w:pStyle w:val="56"/>
              <w:rPr>
                <w:rFonts w:hint="default" w:eastAsia="宋体"/>
                <w:color w:val="auto"/>
                <w:highlight w:val="none"/>
                <w:lang w:val="en-US" w:eastAsia="zh-CN"/>
              </w:rPr>
            </w:pPr>
            <w:r>
              <w:rPr>
                <w:rFonts w:hint="eastAsia"/>
                <w:color w:val="auto"/>
                <w:highlight w:val="none"/>
                <w:lang w:val="en-US" w:eastAsia="zh-CN"/>
              </w:rPr>
              <w:t>27220.81</w:t>
            </w:r>
          </w:p>
        </w:tc>
      </w:tr>
      <w:tr w14:paraId="18F73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44" w:type="dxa"/>
            <w:gridSpan w:val="2"/>
            <w:vAlign w:val="center"/>
          </w:tcPr>
          <w:p w14:paraId="4CEB92F6">
            <w:pPr>
              <w:pStyle w:val="56"/>
              <w:rPr>
                <w:color w:val="auto"/>
                <w:highlight w:val="none"/>
              </w:rPr>
            </w:pPr>
            <w:r>
              <w:rPr>
                <w:rFonts w:hint="eastAsia"/>
                <w:color w:val="auto"/>
                <w:highlight w:val="none"/>
              </w:rPr>
              <w:t>专项评价设置情况</w:t>
            </w:r>
          </w:p>
        </w:tc>
        <w:tc>
          <w:tcPr>
            <w:tcW w:w="7326" w:type="dxa"/>
            <w:gridSpan w:val="3"/>
            <w:vAlign w:val="center"/>
          </w:tcPr>
          <w:p w14:paraId="0471B346">
            <w:pPr>
              <w:pStyle w:val="56"/>
              <w:rPr>
                <w:color w:val="auto"/>
                <w:highlight w:val="none"/>
              </w:rPr>
            </w:pPr>
            <w:r>
              <w:rPr>
                <w:rFonts w:hint="eastAsia"/>
                <w:color w:val="auto"/>
                <w:highlight w:val="none"/>
              </w:rPr>
              <w:t>无</w:t>
            </w:r>
          </w:p>
        </w:tc>
      </w:tr>
      <w:tr w14:paraId="375F5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44" w:type="dxa"/>
            <w:gridSpan w:val="2"/>
            <w:vAlign w:val="center"/>
          </w:tcPr>
          <w:p w14:paraId="5F2B70D2">
            <w:pPr>
              <w:pStyle w:val="56"/>
              <w:keepNext w:val="0"/>
              <w:keepLines w:val="0"/>
              <w:pageBreakBefore w:val="0"/>
              <w:widowControl w:val="0"/>
              <w:kinsoku/>
              <w:wordWrap/>
              <w:overflowPunct/>
              <w:topLinePunct w:val="0"/>
              <w:autoSpaceDE/>
              <w:autoSpaceDN/>
              <w:bidi w:val="0"/>
              <w:adjustRightInd w:val="0"/>
              <w:snapToGrid w:val="0"/>
              <w:spacing w:line="240" w:lineRule="auto"/>
              <w:rPr>
                <w:color w:val="auto"/>
                <w:highlight w:val="none"/>
              </w:rPr>
            </w:pPr>
            <w:r>
              <w:rPr>
                <w:rFonts w:hint="eastAsia"/>
                <w:color w:val="auto"/>
                <w:highlight w:val="none"/>
              </w:rPr>
              <w:t>规划情况</w:t>
            </w:r>
          </w:p>
        </w:tc>
        <w:tc>
          <w:tcPr>
            <w:tcW w:w="7326" w:type="dxa"/>
            <w:gridSpan w:val="3"/>
            <w:vAlign w:val="center"/>
          </w:tcPr>
          <w:p w14:paraId="568F44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olor w:val="auto"/>
                <w:highlight w:val="none"/>
                <w:lang w:val="en-US" w:eastAsia="zh-CN"/>
              </w:rPr>
              <w:t>规划名称：</w:t>
            </w:r>
            <w:r>
              <w:rPr>
                <w:rFonts w:hint="eastAsia"/>
                <w:color w:val="auto"/>
                <w:highlight w:val="none"/>
                <w:lang w:eastAsia="zh-CN"/>
              </w:rPr>
              <w:t>《</w:t>
            </w:r>
            <w:r>
              <w:rPr>
                <w:rFonts w:hint="eastAsia" w:eastAsia="宋体"/>
                <w:color w:val="auto"/>
                <w:highlight w:val="none"/>
                <w:lang w:eastAsia="zh-CN"/>
              </w:rPr>
              <w:t>若羌县国土空间总体规划（2021—2035年）</w:t>
            </w:r>
            <w:r>
              <w:rPr>
                <w:rFonts w:hint="eastAsia"/>
                <w:color w:val="auto"/>
                <w:highlight w:val="none"/>
                <w:lang w:eastAsia="zh-CN"/>
              </w:rPr>
              <w:t>》</w:t>
            </w:r>
          </w:p>
          <w:p w14:paraId="001FA6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审查机关：</w:t>
            </w:r>
            <w:r>
              <w:rPr>
                <w:rFonts w:hint="eastAsia"/>
                <w:color w:val="auto"/>
                <w:highlight w:val="none"/>
                <w:lang w:eastAsia="zh-CN"/>
              </w:rPr>
              <w:t>若羌县人民政府</w:t>
            </w:r>
            <w:r>
              <w:rPr>
                <w:rFonts w:hint="eastAsia"/>
                <w:color w:val="auto"/>
                <w:highlight w:val="none"/>
                <w:lang w:val="en-US" w:eastAsia="zh-CN"/>
              </w:rPr>
              <w:t>2024年6月29日</w:t>
            </w:r>
          </w:p>
          <w:p w14:paraId="7F3B7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highlight w:val="none"/>
                <w:lang w:val="en-US" w:eastAsia="zh-CN"/>
              </w:rPr>
              <w:t>规划名称：</w:t>
            </w:r>
            <w:r>
              <w:rPr>
                <w:rFonts w:hint="eastAsia"/>
                <w:color w:val="auto"/>
                <w:highlight w:val="none"/>
                <w:lang w:eastAsia="zh-CN"/>
              </w:rPr>
              <w:t>《若羌工业园总体规划（2021-2035）》</w:t>
            </w:r>
          </w:p>
          <w:p w14:paraId="11D28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olor w:val="auto"/>
                <w:highlight w:val="none"/>
                <w:lang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审查机关：</w:t>
            </w:r>
            <w:r>
              <w:rPr>
                <w:rFonts w:hint="eastAsia"/>
                <w:color w:val="auto"/>
                <w:highlight w:val="none"/>
                <w:lang w:eastAsia="zh-CN"/>
              </w:rPr>
              <w:t>若羌县人民政府</w:t>
            </w:r>
          </w:p>
        </w:tc>
      </w:tr>
      <w:tr w14:paraId="58B59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4" w:type="dxa"/>
            <w:gridSpan w:val="2"/>
            <w:vAlign w:val="center"/>
          </w:tcPr>
          <w:p w14:paraId="6000BE0E">
            <w:pPr>
              <w:pStyle w:val="56"/>
              <w:rPr>
                <w:color w:val="auto"/>
                <w:highlight w:val="none"/>
              </w:rPr>
            </w:pPr>
            <w:r>
              <w:rPr>
                <w:rFonts w:hint="eastAsia"/>
                <w:color w:val="auto"/>
                <w:highlight w:val="none"/>
              </w:rPr>
              <w:t>规划环境影响评价情况</w:t>
            </w:r>
          </w:p>
        </w:tc>
        <w:tc>
          <w:tcPr>
            <w:tcW w:w="7326" w:type="dxa"/>
            <w:gridSpan w:val="3"/>
            <w:vAlign w:val="center"/>
          </w:tcPr>
          <w:p w14:paraId="735FBA18">
            <w:pPr>
              <w:numPr>
                <w:ilvl w:val="0"/>
                <w:numId w:val="0"/>
              </w:numPr>
              <w:ind w:left="0" w:leftChars="0" w:firstLine="0" w:firstLineChars="0"/>
              <w:jc w:val="center"/>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r>
              <w:rPr>
                <w:rFonts w:hint="eastAsia"/>
                <w:color w:val="auto"/>
                <w:highlight w:val="none"/>
                <w:lang w:val="en-US" w:eastAsia="zh-CN"/>
              </w:rPr>
              <w:t>规划环境影响评价：</w:t>
            </w:r>
            <w:r>
              <w:rPr>
                <w:rFonts w:hint="eastAsia" w:eastAsia="宋体"/>
                <w:color w:val="auto"/>
                <w:highlight w:val="none"/>
                <w:lang w:eastAsia="zh-CN"/>
              </w:rPr>
              <w:t>关于《县级若羌工业园区总体规划（2021-2035）环境影响报告书》的审查意见</w:t>
            </w:r>
          </w:p>
          <w:p w14:paraId="56F97E8D">
            <w:pPr>
              <w:numPr>
                <w:ilvl w:val="0"/>
                <w:numId w:val="0"/>
              </w:numPr>
              <w:ind w:left="0" w:leftChars="0" w:firstLine="0" w:firstLineChars="0"/>
              <w:jc w:val="both"/>
              <w:rPr>
                <w:rFonts w:hint="eastAsia"/>
                <w:color w:val="auto"/>
                <w:highlight w:val="none"/>
                <w:lang w:eastAsia="zh-CN"/>
              </w:rPr>
            </w:pPr>
            <w:r>
              <w:rPr>
                <w:rFonts w:hint="default"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审查机关：</w:t>
            </w:r>
            <w:r>
              <w:rPr>
                <w:rFonts w:hint="eastAsia"/>
                <w:color w:val="auto"/>
                <w:highlight w:val="none"/>
                <w:lang w:eastAsia="zh-CN"/>
              </w:rPr>
              <w:t>巴音郭楞蒙古自治州生态环境局若羌县分局</w:t>
            </w:r>
          </w:p>
          <w:p w14:paraId="1788085D">
            <w:pPr>
              <w:numPr>
                <w:ilvl w:val="0"/>
                <w:numId w:val="0"/>
              </w:numPr>
              <w:ind w:left="0" w:leftChars="0" w:firstLine="0" w:firstLineChars="0"/>
              <w:jc w:val="both"/>
              <w:rPr>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审查文号：</w:t>
            </w:r>
            <w:r>
              <w:rPr>
                <w:rFonts w:hint="eastAsia"/>
                <w:color w:val="auto"/>
                <w:highlight w:val="none"/>
                <w:lang w:eastAsia="zh-CN"/>
              </w:rPr>
              <w:t>（</w:t>
            </w:r>
            <w:r>
              <w:rPr>
                <w:rFonts w:hint="eastAsia" w:eastAsia="宋体"/>
                <w:color w:val="auto"/>
                <w:highlight w:val="none"/>
                <w:lang w:eastAsia="zh-CN"/>
              </w:rPr>
              <w:t>若环评价函</w:t>
            </w:r>
            <w:r>
              <w:rPr>
                <w:rFonts w:hint="eastAsia" w:ascii="宋体" w:hAnsi="宋体" w:eastAsia="宋体" w:cs="宋体"/>
                <w:color w:val="auto"/>
                <w:highlight w:val="none"/>
                <w:lang w:eastAsia="zh-CN"/>
              </w:rPr>
              <w:t>〔</w:t>
            </w:r>
            <w:r>
              <w:rPr>
                <w:rFonts w:hint="eastAsia" w:eastAsia="宋体"/>
                <w:color w:val="auto"/>
                <w:highlight w:val="none"/>
                <w:lang w:eastAsia="zh-CN"/>
              </w:rPr>
              <w:t>2022</w:t>
            </w:r>
            <w:r>
              <w:rPr>
                <w:rFonts w:hint="eastAsia" w:ascii="宋体" w:hAnsi="宋体" w:eastAsia="宋体" w:cs="宋体"/>
                <w:color w:val="auto"/>
                <w:highlight w:val="none"/>
                <w:lang w:eastAsia="zh-CN"/>
              </w:rPr>
              <w:t>〕</w:t>
            </w:r>
            <w:r>
              <w:rPr>
                <w:rFonts w:hint="eastAsia" w:eastAsia="宋体"/>
                <w:color w:val="auto"/>
                <w:highlight w:val="none"/>
                <w:lang w:eastAsia="zh-CN"/>
              </w:rPr>
              <w:t>6号</w:t>
            </w:r>
            <w:r>
              <w:rPr>
                <w:rFonts w:hint="eastAsia"/>
                <w:color w:val="auto"/>
                <w:highlight w:val="none"/>
                <w:lang w:eastAsia="zh-CN"/>
              </w:rPr>
              <w:t>）</w:t>
            </w:r>
          </w:p>
          <w:p w14:paraId="11FB4311">
            <w:pPr>
              <w:ind w:left="0" w:leftChars="0" w:firstLine="0" w:firstLineChars="0"/>
              <w:jc w:val="center"/>
              <w:rPr>
                <w:rFonts w:hint="eastAsia"/>
                <w:highlight w:val="none"/>
                <w:lang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highlight w:val="none"/>
                <w:lang w:val="en-US" w:eastAsia="zh-CN"/>
              </w:rPr>
              <w:t>规划批复：</w:t>
            </w:r>
            <w:r>
              <w:rPr>
                <w:rFonts w:hint="eastAsia"/>
                <w:highlight w:val="none"/>
                <w:lang w:eastAsia="zh-CN"/>
              </w:rPr>
              <w:t>关于《若羌县国土空间总体规划（2021—2035年）》的批复</w:t>
            </w:r>
          </w:p>
          <w:p w14:paraId="19431158">
            <w:pPr>
              <w:ind w:left="0" w:leftChars="0" w:firstLine="0" w:firstLineChars="0"/>
              <w:jc w:val="center"/>
              <w:rPr>
                <w:rFonts w:hint="eastAsia"/>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审查机关：</w:t>
            </w:r>
            <w:r>
              <w:rPr>
                <w:rFonts w:hint="eastAsia"/>
                <w:highlight w:val="none"/>
                <w:lang w:val="en-US" w:eastAsia="zh-CN"/>
              </w:rPr>
              <w:t>巴州人民政府</w:t>
            </w:r>
          </w:p>
          <w:p w14:paraId="6B94AF37">
            <w:pPr>
              <w:ind w:left="0" w:leftChars="0" w:firstLine="0" w:firstLineChars="0"/>
              <w:jc w:val="center"/>
              <w:rPr>
                <w:rFonts w:hint="eastAsia"/>
                <w:highlight w:val="none"/>
                <w:lang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lang w:val="en-US" w:eastAsia="zh-CN"/>
              </w:rPr>
              <w:t>审查文号：</w:t>
            </w:r>
            <w:r>
              <w:rPr>
                <w:rFonts w:hint="eastAsia"/>
                <w:highlight w:val="none"/>
                <w:lang w:eastAsia="zh-CN"/>
              </w:rPr>
              <w:t>（巴政函〔2024〕116号）</w:t>
            </w:r>
          </w:p>
        </w:tc>
      </w:tr>
      <w:tr w14:paraId="216B4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9" w:type="dxa"/>
            <w:vAlign w:val="center"/>
          </w:tcPr>
          <w:p w14:paraId="48DA2D6F">
            <w:pPr>
              <w:pStyle w:val="56"/>
              <w:rPr>
                <w:color w:val="auto"/>
                <w:highlight w:val="none"/>
              </w:rPr>
            </w:pPr>
            <w:r>
              <w:rPr>
                <w:rFonts w:hint="eastAsia"/>
                <w:color w:val="auto"/>
                <w:highlight w:val="none"/>
              </w:rPr>
              <w:t>规划及规划环境影响评价符合性分析</w:t>
            </w:r>
          </w:p>
        </w:tc>
        <w:tc>
          <w:tcPr>
            <w:tcW w:w="7791" w:type="dxa"/>
            <w:gridSpan w:val="4"/>
            <w:vAlign w:val="center"/>
          </w:tcPr>
          <w:p w14:paraId="594CFA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b/>
                <w:bCs/>
                <w:color w:val="auto"/>
                <w:highlight w:val="none"/>
                <w:lang w:val="en-US" w:eastAsia="zh-CN"/>
              </w:rPr>
            </w:pPr>
            <w:r>
              <w:rPr>
                <w:rFonts w:hint="eastAsia"/>
                <w:b/>
                <w:bCs/>
                <w:color w:val="auto"/>
                <w:highlight w:val="none"/>
                <w:lang w:val="en-US" w:eastAsia="zh-CN"/>
              </w:rPr>
              <w:t>1.《</w:t>
            </w:r>
            <w:r>
              <w:rPr>
                <w:rFonts w:hint="eastAsia" w:eastAsia="宋体"/>
                <w:b/>
                <w:bCs/>
                <w:color w:val="auto"/>
                <w:highlight w:val="none"/>
                <w:lang w:eastAsia="zh-CN"/>
              </w:rPr>
              <w:t>若羌县国土空间总体规划（2021—2035年）</w:t>
            </w:r>
            <w:r>
              <w:rPr>
                <w:rFonts w:hint="eastAsia"/>
                <w:b/>
                <w:bCs/>
                <w:color w:val="auto"/>
                <w:highlight w:val="none"/>
                <w:lang w:eastAsia="zh-CN"/>
              </w:rPr>
              <w:t>》</w:t>
            </w:r>
            <w:r>
              <w:rPr>
                <w:rFonts w:hint="eastAsia"/>
                <w:b/>
                <w:bCs/>
                <w:color w:val="auto"/>
                <w:highlight w:val="none"/>
                <w:lang w:val="en-US" w:eastAsia="zh-CN"/>
              </w:rPr>
              <w:t>符合性分析</w:t>
            </w:r>
          </w:p>
          <w:p w14:paraId="29F22D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 w:val="0"/>
                <w:bCs w:val="0"/>
                <w:color w:val="auto"/>
                <w:highlight w:val="none"/>
                <w:lang w:eastAsia="zh-CN"/>
              </w:rPr>
            </w:pPr>
            <w:r>
              <w:rPr>
                <w:rFonts w:hint="eastAsia"/>
                <w:b w:val="0"/>
                <w:bCs w:val="0"/>
                <w:color w:val="auto"/>
                <w:highlight w:val="none"/>
                <w:lang w:val="en-US" w:eastAsia="zh-CN"/>
              </w:rPr>
              <w:t>根据《</w:t>
            </w:r>
            <w:r>
              <w:rPr>
                <w:rFonts w:hint="eastAsia" w:eastAsia="宋体"/>
                <w:b w:val="0"/>
                <w:bCs w:val="0"/>
                <w:color w:val="auto"/>
                <w:highlight w:val="none"/>
                <w:lang w:eastAsia="zh-CN"/>
              </w:rPr>
              <w:t>若羌县国土空间总体规划（2021—2035年）</w:t>
            </w:r>
            <w:r>
              <w:rPr>
                <w:rFonts w:hint="eastAsia"/>
                <w:b w:val="0"/>
                <w:bCs w:val="0"/>
                <w:color w:val="auto"/>
                <w:highlight w:val="none"/>
                <w:lang w:eastAsia="zh-CN"/>
              </w:rPr>
              <w:t>》，绿洲集聚发展区：包含若羌镇、吾塔木乡、铁干里克镇、瓦石峡镇和米兰镇五个乡镇，承载若羌县综合服务、农业生产、物流集</w:t>
            </w:r>
            <w:r>
              <w:rPr>
                <w:rFonts w:hint="eastAsia"/>
                <w:b w:val="0"/>
                <w:bCs w:val="0"/>
                <w:color w:val="auto"/>
                <w:highlight w:val="none"/>
                <w:lang w:val="en-US" w:eastAsia="zh-CN"/>
              </w:rPr>
              <w:t>散</w:t>
            </w:r>
            <w:r>
              <w:rPr>
                <w:rFonts w:hint="eastAsia"/>
                <w:b w:val="0"/>
                <w:bCs w:val="0"/>
                <w:color w:val="auto"/>
                <w:highlight w:val="none"/>
                <w:lang w:eastAsia="zh-CN"/>
              </w:rPr>
              <w:t>等主要功能。</w:t>
            </w:r>
          </w:p>
          <w:p w14:paraId="344810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本项目位于</w:t>
            </w:r>
            <w:r>
              <w:rPr>
                <w:rFonts w:hint="eastAsia"/>
                <w:color w:val="auto"/>
                <w:highlight w:val="none"/>
                <w:lang w:val="en-US" w:eastAsia="zh-CN"/>
              </w:rPr>
              <w:t>新疆维吾尔自治区巴音郭楞蒙古自治州</w:t>
            </w:r>
            <w:r>
              <w:rPr>
                <w:rFonts w:hint="eastAsia"/>
                <w:color w:val="auto"/>
                <w:highlight w:val="none"/>
              </w:rPr>
              <w:t>若羌县工业园区</w:t>
            </w:r>
            <w:r>
              <w:rPr>
                <w:rFonts w:hint="eastAsia"/>
                <w:color w:val="auto"/>
                <w:highlight w:val="none"/>
                <w:lang w:val="en-US" w:eastAsia="zh-CN"/>
              </w:rPr>
              <w:t>固废</w:t>
            </w:r>
            <w:r>
              <w:rPr>
                <w:rFonts w:hint="eastAsia"/>
                <w:color w:val="auto"/>
                <w:highlight w:val="none"/>
              </w:rPr>
              <w:t>填埋中心</w:t>
            </w:r>
            <w:r>
              <w:rPr>
                <w:rFonts w:hint="default"/>
                <w:color w:val="auto"/>
                <w:highlight w:val="none"/>
                <w:lang w:val="en-US" w:eastAsia="zh-CN"/>
              </w:rPr>
              <w:t>，为</w:t>
            </w:r>
            <w:r>
              <w:rPr>
                <w:rFonts w:hint="eastAsia"/>
                <w:color w:val="auto"/>
                <w:highlight w:val="none"/>
                <w:lang w:val="en-US" w:eastAsia="zh-CN"/>
              </w:rPr>
              <w:t>固体废物治理</w:t>
            </w:r>
            <w:r>
              <w:rPr>
                <w:rFonts w:hint="default"/>
                <w:color w:val="auto"/>
                <w:highlight w:val="none"/>
                <w:lang w:val="en-US" w:eastAsia="zh-CN"/>
              </w:rPr>
              <w:t>，</w:t>
            </w:r>
            <w:r>
              <w:rPr>
                <w:rFonts w:hint="eastAsia"/>
                <w:b w:val="0"/>
                <w:bCs w:val="0"/>
                <w:color w:val="auto"/>
                <w:highlight w:val="none"/>
                <w:lang w:eastAsia="zh-CN"/>
              </w:rPr>
              <w:t>承载若羌县综合服务等主要功能，</w:t>
            </w:r>
            <w:r>
              <w:rPr>
                <w:rFonts w:hint="default"/>
                <w:color w:val="auto"/>
                <w:highlight w:val="none"/>
                <w:lang w:val="en-US" w:eastAsia="zh-CN"/>
              </w:rPr>
              <w:t>符合《若羌县国土空间总体规划（2021—2035年）》。</w:t>
            </w:r>
          </w:p>
          <w:p w14:paraId="0A80C08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eastAsia="宋体"/>
                <w:b/>
                <w:bCs w:val="0"/>
                <w:sz w:val="24"/>
                <w:szCs w:val="24"/>
                <w:highlight w:val="none"/>
                <w:lang w:val="en-US" w:eastAsia="zh-CN"/>
              </w:rPr>
            </w:pPr>
            <w:r>
              <w:rPr>
                <w:rFonts w:hint="eastAsia"/>
                <w:b/>
                <w:bCs w:val="0"/>
                <w:sz w:val="24"/>
                <w:szCs w:val="24"/>
                <w:highlight w:val="none"/>
                <w:lang w:val="en-US" w:eastAsia="zh-CN"/>
              </w:rPr>
              <w:t>2.</w:t>
            </w:r>
            <w:r>
              <w:rPr>
                <w:rFonts w:hint="eastAsia" w:eastAsia="宋体"/>
                <w:b/>
                <w:bCs w:val="0"/>
                <w:sz w:val="24"/>
                <w:szCs w:val="24"/>
                <w:highlight w:val="none"/>
              </w:rPr>
              <w:t>《若羌工业园总体规划（2021-2035）》</w:t>
            </w:r>
            <w:r>
              <w:rPr>
                <w:rFonts w:hint="eastAsia" w:eastAsia="宋体"/>
                <w:b/>
                <w:bCs w:val="0"/>
                <w:sz w:val="24"/>
                <w:szCs w:val="24"/>
                <w:highlight w:val="none"/>
                <w:lang w:val="en-US" w:eastAsia="zh-CN"/>
              </w:rPr>
              <w:t>符合性分析</w:t>
            </w:r>
          </w:p>
          <w:p w14:paraId="35E669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若羌工业园区总面积47.68平方公里。其中现代工贸物流园规划建设用地约15.56平方公里、新材料产业园区总面积28.96平方公里、瓦石峡新材料产业园区3.16平方公里。规划形成</w:t>
            </w:r>
            <w:r>
              <w:rPr>
                <w:rFonts w:hint="eastAsia"/>
                <w:color w:val="auto"/>
                <w:highlight w:val="none"/>
                <w:lang w:val="en-US" w:eastAsia="zh-CN"/>
              </w:rPr>
              <w:t>“</w:t>
            </w:r>
            <w:r>
              <w:rPr>
                <w:rFonts w:hint="default"/>
                <w:color w:val="auto"/>
                <w:highlight w:val="none"/>
                <w:lang w:val="en-US" w:eastAsia="zh-CN"/>
              </w:rPr>
              <w:t>一园三区</w:t>
            </w:r>
            <w:r>
              <w:rPr>
                <w:rFonts w:hint="eastAsia"/>
                <w:color w:val="auto"/>
                <w:highlight w:val="none"/>
                <w:lang w:val="en-US" w:eastAsia="zh-CN"/>
              </w:rPr>
              <w:t>”</w:t>
            </w:r>
            <w:r>
              <w:rPr>
                <w:rFonts w:hint="default"/>
                <w:color w:val="auto"/>
                <w:highlight w:val="none"/>
                <w:lang w:val="en-US" w:eastAsia="zh-CN"/>
              </w:rPr>
              <w:t>的产业发展布局，围绕现代工贸物流产业，氟硅锂产业，最终形成现代工贸物流园区、新材料产业园区、瓦石峡新材料产业园区三大功能区。</w:t>
            </w:r>
          </w:p>
          <w:p w14:paraId="177BEB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本项目位于</w:t>
            </w:r>
            <w:r>
              <w:rPr>
                <w:rFonts w:hint="eastAsia"/>
                <w:color w:val="auto"/>
                <w:highlight w:val="none"/>
                <w:lang w:val="en-US" w:eastAsia="zh-CN"/>
              </w:rPr>
              <w:t>新疆维吾尔自治区巴音郭楞蒙古自治州</w:t>
            </w:r>
            <w:r>
              <w:rPr>
                <w:rFonts w:hint="eastAsia"/>
                <w:color w:val="auto"/>
                <w:highlight w:val="none"/>
              </w:rPr>
              <w:t>若羌县工业园区</w:t>
            </w:r>
            <w:r>
              <w:rPr>
                <w:rFonts w:hint="eastAsia"/>
                <w:color w:val="auto"/>
                <w:highlight w:val="none"/>
                <w:lang w:val="en-US" w:eastAsia="zh-CN"/>
              </w:rPr>
              <w:t>固废</w:t>
            </w:r>
            <w:r>
              <w:rPr>
                <w:rFonts w:hint="eastAsia"/>
                <w:color w:val="auto"/>
                <w:highlight w:val="none"/>
              </w:rPr>
              <w:t>填埋中心</w:t>
            </w:r>
            <w:r>
              <w:rPr>
                <w:rFonts w:hint="eastAsia"/>
                <w:color w:val="auto"/>
                <w:highlight w:val="none"/>
                <w:lang w:val="en-US" w:eastAsia="zh-CN"/>
              </w:rPr>
              <w:t>的东侧</w:t>
            </w:r>
            <w:r>
              <w:rPr>
                <w:rFonts w:hint="default"/>
                <w:color w:val="auto"/>
                <w:highlight w:val="none"/>
                <w:lang w:val="en-US" w:eastAsia="zh-CN"/>
              </w:rPr>
              <w:t>，为</w:t>
            </w:r>
            <w:r>
              <w:rPr>
                <w:rFonts w:hint="eastAsia"/>
                <w:color w:val="auto"/>
                <w:highlight w:val="none"/>
                <w:lang w:val="en-US" w:eastAsia="zh-CN"/>
              </w:rPr>
              <w:t>固体废物治理</w:t>
            </w:r>
            <w:r>
              <w:rPr>
                <w:rFonts w:hint="default"/>
                <w:color w:val="auto"/>
                <w:highlight w:val="none"/>
                <w:lang w:val="en-US" w:eastAsia="zh-CN"/>
              </w:rPr>
              <w:t>，</w:t>
            </w:r>
            <w:r>
              <w:rPr>
                <w:rFonts w:hint="eastAsia"/>
                <w:b w:val="0"/>
                <w:bCs w:val="0"/>
                <w:color w:val="auto"/>
                <w:highlight w:val="none"/>
                <w:lang w:eastAsia="zh-CN"/>
              </w:rPr>
              <w:t>承载若羌县综合服务等主要功能，</w:t>
            </w:r>
            <w:r>
              <w:rPr>
                <w:rFonts w:hint="default"/>
                <w:color w:val="auto"/>
                <w:highlight w:val="none"/>
                <w:lang w:val="en-US" w:eastAsia="zh-CN"/>
              </w:rPr>
              <w:t>符合《若羌工业园总体规划（2021-2035）》。</w:t>
            </w:r>
          </w:p>
          <w:p w14:paraId="4F838F6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3.</w:t>
            </w:r>
            <w:r>
              <w:rPr>
                <w:rFonts w:hint="default" w:ascii="Times New Roman" w:hAnsi="Times New Roman" w:eastAsia="宋体" w:cs="Times New Roman"/>
                <w:b/>
                <w:bCs w:val="0"/>
                <w:color w:val="auto"/>
                <w:kern w:val="2"/>
                <w:sz w:val="24"/>
                <w:szCs w:val="24"/>
                <w:highlight w:val="none"/>
                <w:lang w:val="en-US" w:eastAsia="zh-CN" w:bidi="ar-SA"/>
              </w:rPr>
              <w:t>关于《若羌县国土空间总体规划（2021—2035年）》的批复</w:t>
            </w:r>
            <w:r>
              <w:rPr>
                <w:rFonts w:hint="eastAsia" w:ascii="Times New Roman" w:hAnsi="Times New Roman" w:eastAsia="宋体" w:cs="Times New Roman"/>
                <w:b/>
                <w:bCs w:val="0"/>
                <w:color w:val="auto"/>
                <w:kern w:val="2"/>
                <w:sz w:val="24"/>
                <w:szCs w:val="24"/>
                <w:highlight w:val="none"/>
                <w:lang w:val="en-US" w:eastAsia="zh-CN" w:bidi="ar-SA"/>
              </w:rPr>
              <w:t>符合性分析</w:t>
            </w:r>
          </w:p>
          <w:p w14:paraId="367419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以</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三区三线</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为基础，落实国家级重点生态功能区和能源资源富集区、文化资源富集区发展要求，构建</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一屏一带，两区两点</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国土空间总体格局。优化现代农牧业布局，加强耕地和永久基本农田集中连片整治，巩固粮食种植区，加快现代畜牧业发展。筑牢昆仑山—阿尔金山生态屏障、塔里木盆地绿洲带，加强天然林和草原保护修复，推动防沙治沙工程，打好塔克拉玛干沙漠边缘阻击战，扎实推进山水林田湖草沙一体化保护和系统治理。优化城镇空间格局，形成人口向绿洲集聚，外围乡镇特色发展的空间布局。保障国家战略性矿产资源安全，保障钾盐等非金属矿、锂铍等战略性矿产开采，支撑新能源产业发展。保护古楼兰—米兰文化重要历史遗存，加强与专业保护机构合作，对古遗址、古墓葬等历史遗存进行保护、修复或科考活动。</w:t>
            </w:r>
          </w:p>
          <w:p w14:paraId="492044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color w:val="auto"/>
                <w:highlight w:val="none"/>
                <w:lang w:val="en-US" w:eastAsia="zh-CN"/>
              </w:rPr>
              <w:t>本项目位于</w:t>
            </w:r>
            <w:r>
              <w:rPr>
                <w:rFonts w:hint="eastAsia"/>
                <w:color w:val="auto"/>
                <w:highlight w:val="none"/>
                <w:lang w:val="en-US" w:eastAsia="zh-CN"/>
              </w:rPr>
              <w:t>新疆维吾尔自治区巴音郭楞蒙古自治州</w:t>
            </w:r>
            <w:r>
              <w:rPr>
                <w:rFonts w:hint="eastAsia"/>
                <w:color w:val="auto"/>
                <w:highlight w:val="none"/>
              </w:rPr>
              <w:t>若羌县工业园区</w:t>
            </w:r>
            <w:r>
              <w:rPr>
                <w:rFonts w:hint="eastAsia"/>
                <w:color w:val="auto"/>
                <w:highlight w:val="none"/>
                <w:lang w:val="en-US" w:eastAsia="zh-CN"/>
              </w:rPr>
              <w:t>固废填埋中心的东侧</w:t>
            </w:r>
            <w:r>
              <w:rPr>
                <w:rFonts w:hint="default"/>
                <w:color w:val="auto"/>
                <w:highlight w:val="none"/>
                <w:lang w:val="en-US" w:eastAsia="zh-CN"/>
              </w:rPr>
              <w:t>，为</w:t>
            </w:r>
            <w:r>
              <w:rPr>
                <w:rFonts w:hint="eastAsia"/>
                <w:color w:val="auto"/>
                <w:highlight w:val="none"/>
                <w:lang w:val="en-US" w:eastAsia="zh-CN"/>
              </w:rPr>
              <w:t>固体废物治理</w:t>
            </w:r>
            <w:r>
              <w:rPr>
                <w:rFonts w:hint="default"/>
                <w:color w:val="auto"/>
                <w:highlight w:val="none"/>
                <w:lang w:val="en-US" w:eastAsia="zh-CN"/>
              </w:rPr>
              <w:t>，</w:t>
            </w:r>
            <w:r>
              <w:rPr>
                <w:rFonts w:hint="eastAsia"/>
                <w:color w:val="auto"/>
                <w:highlight w:val="none"/>
                <w:lang w:val="en-US" w:eastAsia="zh-CN"/>
              </w:rPr>
              <w:t>属于生态环境治理业</w:t>
            </w:r>
            <w:r>
              <w:rPr>
                <w:rFonts w:hint="eastAsia"/>
                <w:b w:val="0"/>
                <w:bCs w:val="0"/>
                <w:color w:val="auto"/>
                <w:highlight w:val="none"/>
                <w:lang w:eastAsia="zh-CN"/>
              </w:rPr>
              <w:t>，</w:t>
            </w:r>
            <w:r>
              <w:rPr>
                <w:rFonts w:hint="default"/>
                <w:color w:val="auto"/>
                <w:highlight w:val="none"/>
                <w:lang w:val="en-US" w:eastAsia="zh-CN"/>
              </w:rPr>
              <w:t>符合关于《若羌县国土空间总体规划（2021—2035年）》的批复。</w:t>
            </w:r>
          </w:p>
          <w:p w14:paraId="480E1E41">
            <w:pPr>
              <w:pStyle w:val="2"/>
              <w:spacing w:before="0" w:after="0" w:line="360" w:lineRule="auto"/>
              <w:ind w:left="0" w:firstLine="482" w:firstLineChars="200"/>
              <w:jc w:val="left"/>
              <w:rPr>
                <w:rFonts w:hint="eastAsia"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4.关于《县级若羌工业园区总体规划（2021-2035）环境影响报告书》的审查意见符合性分析</w:t>
            </w:r>
          </w:p>
          <w:p w14:paraId="399036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园区在开发建设过程中，应坚持节约发展、清洁发展和安全发展。要明确各区的功能定位和发展方向，切实解决园区发展保护中的突出问题，建立和完善环境保护长效机制，将园区发展规划与环境保护目标有机结合起来，形成独具特色的协调发展格局。</w:t>
            </w:r>
          </w:p>
          <w:p w14:paraId="784D03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一）优化园区产业结构和布局，坚持绿色发展。坚持以环境质量改善为核心，遵循环保优先和绿色发展原则，结合区域实际及上级规划，依据所在产业区块及环保要求，对现有入驻企业提出保留或搬迁方案，确保产业区块的完整性和延续性，优化园区功能结构，结合生态环境管控、环境风险防范要求，提出针对不符合产业布局的企业搬迁方案和计划。对园区内环保手续不完善的企业，提出限时整改的要求。对园区企业实现清单式管理，制定产业发展负面清单和东西部产业转移优化准入清单。根据园区产业结构和产业链，结合资源利用上线、环境质量底线，落实生态环境准入清单。园区应以促进经济绿色低碳可持续发展、引导重点行业和产业园区向绿色低碳方向转型为目的，针对园区规划提出碳减排建议，推动减污治污减碳协同共治。</w:t>
            </w:r>
          </w:p>
          <w:p w14:paraId="6B0063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二）加强园区基础设施建设，完善园区服务功能。建议本次规划划定集中供热设施用地范围，规划完善供水方案，明确供水厂近、远期规模，依据水资源论证报告，规划完善排水方案，明确近、远期排水规模，生产废水应循环使用；生活污水经处理到达相应标准后综合利用或排入园区排水管网。进一步补充完善减缓不良生态环境影响的环境保护方案和管控要求。</w:t>
            </w:r>
          </w:p>
          <w:p w14:paraId="33D19A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（三）严格资源利用总量和强度</w:t>
            </w:r>
            <w:r>
              <w:rPr>
                <w:rFonts w:hint="eastAsia"/>
                <w:b w:val="0"/>
                <w:bCs w:val="0"/>
                <w:color w:val="auto"/>
                <w:highlight w:val="none"/>
                <w:lang w:val="en-US" w:eastAsia="zh-CN"/>
              </w:rPr>
              <w:t>“</w:t>
            </w:r>
            <w:r>
              <w:rPr>
                <w:rFonts w:hint="default"/>
                <w:b w:val="0"/>
                <w:bCs w:val="0"/>
                <w:color w:val="auto"/>
                <w:highlight w:val="none"/>
                <w:lang w:val="en-US" w:eastAsia="zh-CN"/>
              </w:rPr>
              <w:t>双控</w:t>
            </w:r>
            <w:r>
              <w:rPr>
                <w:rFonts w:hint="eastAsia"/>
                <w:b w:val="0"/>
                <w:bCs w:val="0"/>
                <w:color w:val="auto"/>
                <w:highlight w:val="none"/>
                <w:lang w:val="en-US" w:eastAsia="zh-CN"/>
              </w:rPr>
              <w:t>”</w:t>
            </w:r>
            <w:r>
              <w:rPr>
                <w:rFonts w:hint="default"/>
                <w:b w:val="0"/>
                <w:bCs w:val="0"/>
                <w:color w:val="auto"/>
                <w:highlight w:val="none"/>
                <w:lang w:val="en-US" w:eastAsia="zh-CN"/>
              </w:rPr>
              <w:t>制定入园产业和项目环境准入条件。坚持</w:t>
            </w:r>
            <w:r>
              <w:rPr>
                <w:rFonts w:hint="eastAsia"/>
                <w:b w:val="0"/>
                <w:bCs w:val="0"/>
                <w:color w:val="auto"/>
                <w:highlight w:val="none"/>
                <w:lang w:val="en-US" w:eastAsia="zh-CN"/>
              </w:rPr>
              <w:t>“</w:t>
            </w:r>
            <w:r>
              <w:rPr>
                <w:rFonts w:hint="default"/>
                <w:b w:val="0"/>
                <w:bCs w:val="0"/>
                <w:color w:val="auto"/>
                <w:highlight w:val="none"/>
                <w:lang w:val="en-US" w:eastAsia="zh-CN"/>
              </w:rPr>
              <w:t>以水定产、以水定量</w:t>
            </w:r>
            <w:r>
              <w:rPr>
                <w:rFonts w:hint="eastAsia"/>
                <w:b w:val="0"/>
                <w:bCs w:val="0"/>
                <w:color w:val="auto"/>
                <w:highlight w:val="none"/>
                <w:lang w:val="en-US" w:eastAsia="zh-CN"/>
              </w:rPr>
              <w:t>”</w:t>
            </w:r>
            <w:r>
              <w:rPr>
                <w:rFonts w:hint="default"/>
                <w:b w:val="0"/>
                <w:bCs w:val="0"/>
                <w:color w:val="auto"/>
                <w:highlight w:val="none"/>
                <w:lang w:val="en-US" w:eastAsia="zh-CN"/>
              </w:rPr>
              <w:t>，优化调整园区产业结构、规模和布局，严格入园产业和项目的环境准入。严格按照规划产业布局入驻企业，结合区域发展定位、开发布局、生态环境保护目标，实行入园企业环保准入审核制度，不符合产业政策、行业准入条件、生态准入清单及自治区党委明令禁止的</w:t>
            </w:r>
            <w:r>
              <w:rPr>
                <w:rFonts w:hint="eastAsia"/>
                <w:b w:val="0"/>
                <w:bCs w:val="0"/>
                <w:color w:val="auto"/>
                <w:highlight w:val="none"/>
                <w:lang w:val="en-US" w:eastAsia="zh-CN"/>
              </w:rPr>
              <w:t>“</w:t>
            </w:r>
            <w:r>
              <w:rPr>
                <w:rFonts w:hint="default"/>
                <w:b w:val="0"/>
                <w:bCs w:val="0"/>
                <w:color w:val="auto"/>
                <w:highlight w:val="none"/>
                <w:lang w:val="en-US" w:eastAsia="zh-CN"/>
              </w:rPr>
              <w:t>三高</w:t>
            </w:r>
            <w:r>
              <w:rPr>
                <w:rFonts w:hint="eastAsia"/>
                <w:b w:val="0"/>
                <w:bCs w:val="0"/>
                <w:color w:val="auto"/>
                <w:highlight w:val="none"/>
                <w:lang w:val="en-US" w:eastAsia="zh-CN"/>
              </w:rPr>
              <w:t>”</w:t>
            </w:r>
            <w:r>
              <w:rPr>
                <w:rFonts w:hint="default"/>
                <w:b w:val="0"/>
                <w:bCs w:val="0"/>
                <w:color w:val="auto"/>
                <w:highlight w:val="none"/>
                <w:lang w:val="en-US" w:eastAsia="zh-CN"/>
              </w:rPr>
              <w:t>项目一律不得入驻园区。引进项目的生产工艺、设备、污染治理技术，以及单位产品能耗、物耗、污染物排放和资源利用率均需达到同行业国内先进水平，积极推进产业的技术进步和园区循环化建设。园区水资源利用不得突破《新疆用水总量控制方案》确定的若羌县水资源利用上线指标，土地资源利用不得突破若羌县国土空间规划确定的土地资源利用上线指标。</w:t>
            </w:r>
          </w:p>
          <w:p w14:paraId="12C98A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（四）强化园区环境风险管理，强化应急响应联动机制，保障城市人居环境安全和生态环境安全。配备应急物资，定期开展应急演练，不断完善环境风险应急预案，防控园区储运中可能引发的环境风险。</w:t>
            </w:r>
          </w:p>
          <w:p w14:paraId="1B0110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1.根据《产业结构调整指导目录（2024年本）》，本项目属于</w:t>
            </w:r>
            <w:r>
              <w:rPr>
                <w:rFonts w:hint="eastAsia"/>
                <w:b w:val="0"/>
                <w:bCs w:val="0"/>
                <w:color w:val="auto"/>
                <w:highlight w:val="none"/>
                <w:lang w:val="en-US" w:eastAsia="zh-CN"/>
              </w:rPr>
              <w:t>“鼓励</w:t>
            </w:r>
            <w:r>
              <w:rPr>
                <w:rFonts w:hint="default"/>
                <w:b w:val="0"/>
                <w:bCs w:val="0"/>
                <w:color w:val="auto"/>
                <w:highlight w:val="none"/>
                <w:lang w:val="en-US" w:eastAsia="zh-CN"/>
              </w:rPr>
              <w:t>类</w:t>
            </w:r>
            <w:r>
              <w:rPr>
                <w:rFonts w:hint="eastAsia"/>
                <w:b w:val="0"/>
                <w:bCs w:val="0"/>
                <w:color w:val="auto"/>
                <w:highlight w:val="none"/>
                <w:lang w:val="en-US" w:eastAsia="zh-CN"/>
              </w:rPr>
              <w:t>”</w:t>
            </w:r>
            <w:r>
              <w:rPr>
                <w:rFonts w:hint="default"/>
                <w:b w:val="0"/>
                <w:bCs w:val="0"/>
                <w:color w:val="auto"/>
                <w:highlight w:val="none"/>
                <w:lang w:val="en-US" w:eastAsia="zh-CN"/>
              </w:rPr>
              <w:t>项目，符合国家现行的产业政策；</w:t>
            </w:r>
          </w:p>
          <w:p w14:paraId="7F637C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2.本项目不属于</w:t>
            </w:r>
            <w:r>
              <w:rPr>
                <w:rFonts w:hint="eastAsia"/>
                <w:b w:val="0"/>
                <w:bCs w:val="0"/>
                <w:color w:val="auto"/>
                <w:highlight w:val="none"/>
                <w:lang w:val="en-US" w:eastAsia="zh-CN"/>
              </w:rPr>
              <w:t>“</w:t>
            </w:r>
            <w:r>
              <w:rPr>
                <w:rFonts w:hint="default"/>
                <w:b w:val="0"/>
                <w:bCs w:val="0"/>
                <w:color w:val="auto"/>
                <w:highlight w:val="none"/>
                <w:lang w:val="en-US" w:eastAsia="zh-CN"/>
              </w:rPr>
              <w:t>三高</w:t>
            </w:r>
            <w:r>
              <w:rPr>
                <w:rFonts w:hint="eastAsia"/>
                <w:b w:val="0"/>
                <w:bCs w:val="0"/>
                <w:color w:val="auto"/>
                <w:highlight w:val="none"/>
                <w:lang w:val="en-US" w:eastAsia="zh-CN"/>
              </w:rPr>
              <w:t>”</w:t>
            </w:r>
            <w:r>
              <w:rPr>
                <w:rFonts w:hint="default"/>
                <w:b w:val="0"/>
                <w:bCs w:val="0"/>
                <w:color w:val="auto"/>
                <w:highlight w:val="none"/>
                <w:lang w:val="en-US" w:eastAsia="zh-CN"/>
              </w:rPr>
              <w:t>项目，项目的生产工艺、设备、污染治理技术，以及单位产品能耗、物耗、污染物排放和资源利用率均</w:t>
            </w:r>
            <w:r>
              <w:rPr>
                <w:rFonts w:hint="eastAsia"/>
                <w:b w:val="0"/>
                <w:bCs w:val="0"/>
                <w:color w:val="auto"/>
                <w:highlight w:val="none"/>
                <w:lang w:val="en-US" w:eastAsia="zh-CN"/>
              </w:rPr>
              <w:t>处于</w:t>
            </w:r>
            <w:r>
              <w:rPr>
                <w:rFonts w:hint="default"/>
                <w:b w:val="0"/>
                <w:bCs w:val="0"/>
                <w:color w:val="auto"/>
                <w:highlight w:val="none"/>
                <w:lang w:val="en-US" w:eastAsia="zh-CN"/>
              </w:rPr>
              <w:t>同行业先进水平；</w:t>
            </w:r>
          </w:p>
          <w:p w14:paraId="67C36B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3.项目产生的废水主要是设备冷却用水和少量的生活污水。设备冷却水循环利用。生活污水量也比较少，经化粪池预处理后拉运至若羌县污水处理厂进一步处理</w:t>
            </w:r>
            <w:r>
              <w:rPr>
                <w:rFonts w:hint="eastAsia"/>
                <w:b w:val="0"/>
                <w:bCs w:val="0"/>
                <w:color w:val="auto"/>
                <w:highlight w:val="none"/>
                <w:lang w:val="en-US" w:eastAsia="zh-CN"/>
              </w:rPr>
              <w:t>，待园区污水管网接通后排入管网</w:t>
            </w:r>
            <w:r>
              <w:rPr>
                <w:rFonts w:hint="default"/>
                <w:b w:val="0"/>
                <w:bCs w:val="0"/>
                <w:color w:val="auto"/>
                <w:highlight w:val="none"/>
                <w:lang w:val="en-US" w:eastAsia="zh-CN"/>
              </w:rPr>
              <w:t>；</w:t>
            </w:r>
          </w:p>
          <w:p w14:paraId="78E6FF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4.本项目水资源、土地资源利用未突破上线指标；</w:t>
            </w:r>
          </w:p>
          <w:p w14:paraId="652A28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color w:val="auto"/>
                <w:highlight w:val="none"/>
                <w:lang w:val="en-US" w:eastAsia="zh-CN"/>
              </w:rPr>
            </w:pPr>
            <w:r>
              <w:rPr>
                <w:rFonts w:hint="default"/>
                <w:b w:val="0"/>
                <w:bCs w:val="0"/>
                <w:color w:val="auto"/>
                <w:highlight w:val="none"/>
                <w:lang w:val="en-US" w:eastAsia="zh-CN"/>
              </w:rPr>
              <w:t>5.项目建成后将编制突发环境事件应急预案，向当地生态环境部门备案，定时演练，与园区建立应急响应联动机制保障城市人居环境安全和生态环境安全；</w:t>
            </w:r>
          </w:p>
          <w:p w14:paraId="1B4725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b/>
                <w:bCs w:val="0"/>
                <w:sz w:val="24"/>
                <w:szCs w:val="24"/>
                <w:highlight w:val="none"/>
                <w:lang w:val="en-US" w:eastAsia="zh-CN"/>
              </w:rPr>
            </w:pPr>
            <w:r>
              <w:rPr>
                <w:rFonts w:hint="default"/>
                <w:b w:val="0"/>
                <w:bCs w:val="0"/>
                <w:color w:val="auto"/>
                <w:highlight w:val="none"/>
                <w:lang w:val="en-US" w:eastAsia="zh-CN"/>
              </w:rPr>
              <w:t>6.本项目符合关于《县级若羌工业园区总体规划（2021-2035）环境影响报告书》的审查意见。</w:t>
            </w:r>
          </w:p>
        </w:tc>
      </w:tr>
      <w:tr w14:paraId="5E8DE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9" w:type="dxa"/>
            <w:vAlign w:val="center"/>
          </w:tcPr>
          <w:p w14:paraId="2C316715">
            <w:pPr>
              <w:pStyle w:val="56"/>
              <w:rPr>
                <w:color w:val="auto"/>
                <w:highlight w:val="none"/>
              </w:rPr>
            </w:pPr>
          </w:p>
          <w:p w14:paraId="7E4C4BE5">
            <w:pPr>
              <w:pStyle w:val="56"/>
              <w:rPr>
                <w:color w:val="auto"/>
                <w:highlight w:val="none"/>
              </w:rPr>
            </w:pPr>
          </w:p>
          <w:p w14:paraId="50088408">
            <w:pPr>
              <w:pStyle w:val="56"/>
              <w:rPr>
                <w:color w:val="auto"/>
                <w:highlight w:val="none"/>
              </w:rPr>
            </w:pPr>
          </w:p>
          <w:p w14:paraId="71BDF9D9">
            <w:pPr>
              <w:pStyle w:val="56"/>
              <w:rPr>
                <w:color w:val="auto"/>
                <w:highlight w:val="none"/>
              </w:rPr>
            </w:pPr>
          </w:p>
          <w:p w14:paraId="2026FCF5">
            <w:pPr>
              <w:pStyle w:val="56"/>
              <w:rPr>
                <w:color w:val="auto"/>
                <w:highlight w:val="none"/>
              </w:rPr>
            </w:pPr>
          </w:p>
          <w:p w14:paraId="12C3180D">
            <w:pPr>
              <w:pStyle w:val="56"/>
              <w:rPr>
                <w:color w:val="auto"/>
                <w:highlight w:val="none"/>
              </w:rPr>
            </w:pPr>
          </w:p>
          <w:p w14:paraId="617E646A">
            <w:pPr>
              <w:pStyle w:val="56"/>
              <w:jc w:val="both"/>
              <w:rPr>
                <w:color w:val="auto"/>
                <w:highlight w:val="none"/>
              </w:rPr>
            </w:pPr>
          </w:p>
          <w:p w14:paraId="48DF3177">
            <w:pPr>
              <w:pStyle w:val="56"/>
              <w:rPr>
                <w:color w:val="auto"/>
                <w:highlight w:val="none"/>
              </w:rPr>
            </w:pPr>
          </w:p>
          <w:p w14:paraId="35797ED8">
            <w:pPr>
              <w:pStyle w:val="56"/>
              <w:rPr>
                <w:color w:val="auto"/>
                <w:highlight w:val="none"/>
              </w:rPr>
            </w:pPr>
          </w:p>
          <w:p w14:paraId="1103EB6E">
            <w:pPr>
              <w:pStyle w:val="56"/>
              <w:rPr>
                <w:color w:val="auto"/>
                <w:highlight w:val="none"/>
              </w:rPr>
            </w:pPr>
          </w:p>
          <w:p w14:paraId="5E6B8EF6">
            <w:pPr>
              <w:pStyle w:val="56"/>
              <w:rPr>
                <w:color w:val="auto"/>
                <w:highlight w:val="none"/>
              </w:rPr>
            </w:pPr>
          </w:p>
          <w:p w14:paraId="5F584F74">
            <w:pPr>
              <w:pStyle w:val="56"/>
              <w:rPr>
                <w:color w:val="auto"/>
                <w:highlight w:val="none"/>
              </w:rPr>
            </w:pPr>
          </w:p>
          <w:p w14:paraId="59ECF80B">
            <w:pPr>
              <w:pStyle w:val="56"/>
              <w:rPr>
                <w:color w:val="auto"/>
                <w:highlight w:val="none"/>
              </w:rPr>
            </w:pPr>
          </w:p>
          <w:p w14:paraId="72F4B534">
            <w:pPr>
              <w:pStyle w:val="56"/>
              <w:rPr>
                <w:color w:val="auto"/>
                <w:highlight w:val="none"/>
              </w:rPr>
            </w:pPr>
          </w:p>
          <w:p w14:paraId="30D88BB8">
            <w:pPr>
              <w:pStyle w:val="56"/>
              <w:rPr>
                <w:color w:val="auto"/>
                <w:highlight w:val="none"/>
              </w:rPr>
            </w:pPr>
          </w:p>
          <w:p w14:paraId="7E74E72F">
            <w:pPr>
              <w:pStyle w:val="56"/>
              <w:rPr>
                <w:color w:val="auto"/>
                <w:highlight w:val="none"/>
              </w:rPr>
            </w:pPr>
          </w:p>
          <w:p w14:paraId="65D5F201">
            <w:pPr>
              <w:pStyle w:val="56"/>
              <w:rPr>
                <w:color w:val="auto"/>
                <w:highlight w:val="none"/>
              </w:rPr>
            </w:pPr>
          </w:p>
          <w:p w14:paraId="5BB1FAFC">
            <w:pPr>
              <w:pStyle w:val="56"/>
              <w:rPr>
                <w:color w:val="auto"/>
                <w:highlight w:val="none"/>
              </w:rPr>
            </w:pPr>
          </w:p>
          <w:p w14:paraId="55F68198">
            <w:pPr>
              <w:pStyle w:val="56"/>
              <w:rPr>
                <w:color w:val="auto"/>
                <w:highlight w:val="none"/>
              </w:rPr>
            </w:pPr>
          </w:p>
          <w:p w14:paraId="6CD67B35">
            <w:pPr>
              <w:pStyle w:val="56"/>
              <w:rPr>
                <w:color w:val="auto"/>
                <w:highlight w:val="none"/>
              </w:rPr>
            </w:pPr>
            <w:r>
              <w:rPr>
                <w:rFonts w:hint="eastAsia"/>
                <w:color w:val="auto"/>
                <w:highlight w:val="none"/>
              </w:rPr>
              <w:t>其他符合性分析</w:t>
            </w:r>
          </w:p>
          <w:p w14:paraId="7B419C08">
            <w:pPr>
              <w:pStyle w:val="56"/>
              <w:rPr>
                <w:color w:val="auto"/>
                <w:highlight w:val="none"/>
              </w:rPr>
            </w:pPr>
          </w:p>
          <w:p w14:paraId="1F0BE1CF">
            <w:pPr>
              <w:pStyle w:val="56"/>
              <w:rPr>
                <w:color w:val="auto"/>
                <w:highlight w:val="none"/>
              </w:rPr>
            </w:pPr>
          </w:p>
          <w:p w14:paraId="25E28244">
            <w:pPr>
              <w:pStyle w:val="56"/>
              <w:rPr>
                <w:color w:val="auto"/>
                <w:highlight w:val="none"/>
              </w:rPr>
            </w:pPr>
          </w:p>
          <w:p w14:paraId="7DAC29CA">
            <w:pPr>
              <w:pStyle w:val="56"/>
              <w:rPr>
                <w:color w:val="auto"/>
                <w:highlight w:val="none"/>
              </w:rPr>
            </w:pPr>
          </w:p>
          <w:p w14:paraId="50CC2856">
            <w:pPr>
              <w:pStyle w:val="56"/>
              <w:rPr>
                <w:color w:val="auto"/>
                <w:highlight w:val="none"/>
              </w:rPr>
            </w:pPr>
          </w:p>
          <w:p w14:paraId="4334521E">
            <w:pPr>
              <w:pStyle w:val="56"/>
              <w:rPr>
                <w:color w:val="auto"/>
                <w:highlight w:val="none"/>
              </w:rPr>
            </w:pPr>
          </w:p>
          <w:p w14:paraId="493F31CC">
            <w:pPr>
              <w:pStyle w:val="56"/>
              <w:rPr>
                <w:color w:val="auto"/>
                <w:highlight w:val="none"/>
              </w:rPr>
            </w:pPr>
          </w:p>
          <w:p w14:paraId="18664457">
            <w:pPr>
              <w:pStyle w:val="56"/>
              <w:rPr>
                <w:color w:val="auto"/>
                <w:highlight w:val="none"/>
              </w:rPr>
            </w:pPr>
          </w:p>
          <w:p w14:paraId="2658804B">
            <w:pPr>
              <w:pStyle w:val="56"/>
              <w:rPr>
                <w:color w:val="auto"/>
                <w:highlight w:val="none"/>
              </w:rPr>
            </w:pPr>
          </w:p>
          <w:p w14:paraId="2C3E8A0D">
            <w:pPr>
              <w:pStyle w:val="56"/>
              <w:rPr>
                <w:color w:val="auto"/>
                <w:highlight w:val="none"/>
              </w:rPr>
            </w:pPr>
          </w:p>
          <w:p w14:paraId="7642CF2A">
            <w:pPr>
              <w:pStyle w:val="56"/>
              <w:rPr>
                <w:color w:val="auto"/>
                <w:highlight w:val="none"/>
              </w:rPr>
            </w:pPr>
          </w:p>
          <w:p w14:paraId="7C12722B">
            <w:pPr>
              <w:pStyle w:val="56"/>
              <w:rPr>
                <w:color w:val="auto"/>
                <w:highlight w:val="none"/>
              </w:rPr>
            </w:pPr>
          </w:p>
          <w:p w14:paraId="6AB2DBD2">
            <w:pPr>
              <w:pStyle w:val="56"/>
              <w:rPr>
                <w:color w:val="auto"/>
                <w:highlight w:val="none"/>
              </w:rPr>
            </w:pPr>
          </w:p>
          <w:p w14:paraId="6AA7FF66">
            <w:pPr>
              <w:pStyle w:val="56"/>
              <w:rPr>
                <w:color w:val="auto"/>
                <w:highlight w:val="none"/>
              </w:rPr>
            </w:pPr>
          </w:p>
          <w:p w14:paraId="49FDCC6A">
            <w:pPr>
              <w:pStyle w:val="56"/>
              <w:rPr>
                <w:color w:val="auto"/>
                <w:highlight w:val="none"/>
              </w:rPr>
            </w:pPr>
          </w:p>
          <w:p w14:paraId="2897C89D">
            <w:pPr>
              <w:pStyle w:val="56"/>
              <w:rPr>
                <w:color w:val="auto"/>
                <w:highlight w:val="none"/>
              </w:rPr>
            </w:pPr>
          </w:p>
          <w:p w14:paraId="61F7FB29">
            <w:pPr>
              <w:pStyle w:val="56"/>
              <w:rPr>
                <w:color w:val="auto"/>
                <w:highlight w:val="none"/>
              </w:rPr>
            </w:pPr>
          </w:p>
          <w:p w14:paraId="016B42B8">
            <w:pPr>
              <w:pStyle w:val="56"/>
              <w:rPr>
                <w:color w:val="auto"/>
                <w:highlight w:val="none"/>
              </w:rPr>
            </w:pPr>
          </w:p>
          <w:p w14:paraId="0AEB32C3">
            <w:pPr>
              <w:pStyle w:val="56"/>
              <w:rPr>
                <w:color w:val="auto"/>
                <w:highlight w:val="none"/>
              </w:rPr>
            </w:pPr>
          </w:p>
          <w:p w14:paraId="7C0712DE">
            <w:pPr>
              <w:pStyle w:val="56"/>
              <w:rPr>
                <w:color w:val="auto"/>
                <w:highlight w:val="none"/>
              </w:rPr>
            </w:pPr>
          </w:p>
          <w:p w14:paraId="366BC48D">
            <w:pPr>
              <w:pStyle w:val="56"/>
              <w:rPr>
                <w:color w:val="auto"/>
                <w:highlight w:val="none"/>
              </w:rPr>
            </w:pPr>
          </w:p>
          <w:p w14:paraId="5F6014AF">
            <w:pPr>
              <w:pStyle w:val="56"/>
              <w:rPr>
                <w:color w:val="auto"/>
                <w:highlight w:val="none"/>
              </w:rPr>
            </w:pPr>
          </w:p>
          <w:p w14:paraId="04067803">
            <w:pPr>
              <w:pStyle w:val="56"/>
              <w:rPr>
                <w:color w:val="auto"/>
                <w:highlight w:val="none"/>
              </w:rPr>
            </w:pPr>
          </w:p>
          <w:p w14:paraId="0736B6ED">
            <w:pPr>
              <w:pStyle w:val="56"/>
              <w:rPr>
                <w:color w:val="auto"/>
                <w:highlight w:val="none"/>
              </w:rPr>
            </w:pPr>
          </w:p>
          <w:p w14:paraId="59145F8A">
            <w:pPr>
              <w:pStyle w:val="56"/>
              <w:rPr>
                <w:color w:val="auto"/>
                <w:highlight w:val="none"/>
              </w:rPr>
            </w:pPr>
          </w:p>
          <w:p w14:paraId="7DA208DF">
            <w:pPr>
              <w:pStyle w:val="56"/>
              <w:rPr>
                <w:color w:val="auto"/>
                <w:highlight w:val="none"/>
              </w:rPr>
            </w:pPr>
          </w:p>
          <w:p w14:paraId="4C3B47C0">
            <w:pPr>
              <w:pStyle w:val="56"/>
              <w:rPr>
                <w:color w:val="auto"/>
                <w:highlight w:val="none"/>
              </w:rPr>
            </w:pPr>
          </w:p>
          <w:p w14:paraId="193C6A97">
            <w:pPr>
              <w:pStyle w:val="56"/>
              <w:rPr>
                <w:color w:val="auto"/>
                <w:highlight w:val="none"/>
              </w:rPr>
            </w:pPr>
          </w:p>
          <w:p w14:paraId="3DD1F487">
            <w:pPr>
              <w:pStyle w:val="56"/>
              <w:rPr>
                <w:color w:val="auto"/>
                <w:highlight w:val="none"/>
              </w:rPr>
            </w:pPr>
          </w:p>
          <w:p w14:paraId="3A9EB86F">
            <w:pPr>
              <w:pStyle w:val="56"/>
              <w:rPr>
                <w:color w:val="auto"/>
                <w:highlight w:val="none"/>
              </w:rPr>
            </w:pPr>
          </w:p>
          <w:p w14:paraId="7616488C">
            <w:pPr>
              <w:pStyle w:val="56"/>
              <w:rPr>
                <w:color w:val="auto"/>
                <w:highlight w:val="none"/>
              </w:rPr>
            </w:pPr>
          </w:p>
          <w:p w14:paraId="4FEA14F9">
            <w:pPr>
              <w:pStyle w:val="56"/>
              <w:rPr>
                <w:color w:val="auto"/>
                <w:highlight w:val="none"/>
              </w:rPr>
            </w:pPr>
          </w:p>
          <w:p w14:paraId="623386DF">
            <w:pPr>
              <w:pStyle w:val="56"/>
              <w:rPr>
                <w:color w:val="auto"/>
                <w:highlight w:val="none"/>
              </w:rPr>
            </w:pPr>
          </w:p>
          <w:p w14:paraId="6DCA00DC">
            <w:pPr>
              <w:pStyle w:val="56"/>
              <w:rPr>
                <w:color w:val="auto"/>
                <w:highlight w:val="none"/>
              </w:rPr>
            </w:pPr>
          </w:p>
          <w:p w14:paraId="798FEEAE">
            <w:pPr>
              <w:pStyle w:val="56"/>
              <w:rPr>
                <w:color w:val="auto"/>
                <w:highlight w:val="none"/>
              </w:rPr>
            </w:pPr>
          </w:p>
          <w:p w14:paraId="21C485AB">
            <w:pPr>
              <w:pStyle w:val="56"/>
              <w:rPr>
                <w:color w:val="auto"/>
                <w:highlight w:val="none"/>
              </w:rPr>
            </w:pPr>
          </w:p>
          <w:p w14:paraId="0B48BFB9">
            <w:pPr>
              <w:pStyle w:val="56"/>
              <w:rPr>
                <w:color w:val="auto"/>
                <w:highlight w:val="none"/>
              </w:rPr>
            </w:pPr>
          </w:p>
          <w:p w14:paraId="00EFE471">
            <w:pPr>
              <w:pStyle w:val="56"/>
              <w:rPr>
                <w:color w:val="auto"/>
                <w:highlight w:val="none"/>
              </w:rPr>
            </w:pPr>
          </w:p>
          <w:p w14:paraId="0E1B7A6D">
            <w:pPr>
              <w:pStyle w:val="56"/>
              <w:rPr>
                <w:color w:val="auto"/>
                <w:highlight w:val="none"/>
              </w:rPr>
            </w:pPr>
          </w:p>
          <w:p w14:paraId="4F3463FE">
            <w:pPr>
              <w:pStyle w:val="56"/>
              <w:rPr>
                <w:color w:val="auto"/>
                <w:highlight w:val="none"/>
              </w:rPr>
            </w:pPr>
          </w:p>
          <w:p w14:paraId="27ECD5B0">
            <w:pPr>
              <w:pStyle w:val="56"/>
              <w:rPr>
                <w:color w:val="auto"/>
                <w:highlight w:val="none"/>
              </w:rPr>
            </w:pPr>
          </w:p>
          <w:p w14:paraId="43CE8AF7">
            <w:pPr>
              <w:pStyle w:val="56"/>
              <w:rPr>
                <w:color w:val="auto"/>
                <w:highlight w:val="none"/>
              </w:rPr>
            </w:pPr>
          </w:p>
          <w:p w14:paraId="65B61140">
            <w:pPr>
              <w:pStyle w:val="56"/>
              <w:rPr>
                <w:color w:val="auto"/>
                <w:highlight w:val="none"/>
              </w:rPr>
            </w:pPr>
          </w:p>
          <w:p w14:paraId="14C0B731">
            <w:pPr>
              <w:pStyle w:val="56"/>
              <w:rPr>
                <w:color w:val="auto"/>
                <w:highlight w:val="none"/>
              </w:rPr>
            </w:pPr>
            <w:r>
              <w:rPr>
                <w:rFonts w:hint="eastAsia"/>
                <w:color w:val="auto"/>
                <w:highlight w:val="none"/>
              </w:rPr>
              <w:t>其他符合性分析</w:t>
            </w:r>
          </w:p>
          <w:p w14:paraId="40409EB4">
            <w:pPr>
              <w:pStyle w:val="56"/>
              <w:rPr>
                <w:color w:val="auto"/>
                <w:highlight w:val="none"/>
              </w:rPr>
            </w:pPr>
          </w:p>
          <w:p w14:paraId="0A15394F">
            <w:pPr>
              <w:pStyle w:val="56"/>
              <w:rPr>
                <w:color w:val="auto"/>
                <w:highlight w:val="none"/>
              </w:rPr>
            </w:pPr>
          </w:p>
          <w:p w14:paraId="6B443DF9">
            <w:pPr>
              <w:pStyle w:val="56"/>
              <w:rPr>
                <w:color w:val="auto"/>
                <w:highlight w:val="none"/>
              </w:rPr>
            </w:pPr>
          </w:p>
          <w:p w14:paraId="340A7517">
            <w:pPr>
              <w:pStyle w:val="56"/>
              <w:rPr>
                <w:color w:val="auto"/>
                <w:highlight w:val="none"/>
              </w:rPr>
            </w:pPr>
          </w:p>
          <w:p w14:paraId="103AC21C">
            <w:pPr>
              <w:pStyle w:val="56"/>
              <w:rPr>
                <w:color w:val="auto"/>
                <w:highlight w:val="none"/>
              </w:rPr>
            </w:pPr>
          </w:p>
          <w:p w14:paraId="39355BFA">
            <w:pPr>
              <w:pStyle w:val="56"/>
              <w:rPr>
                <w:color w:val="auto"/>
                <w:highlight w:val="none"/>
              </w:rPr>
            </w:pPr>
          </w:p>
          <w:p w14:paraId="4F165B50">
            <w:pPr>
              <w:pStyle w:val="56"/>
              <w:rPr>
                <w:color w:val="auto"/>
                <w:highlight w:val="none"/>
              </w:rPr>
            </w:pPr>
          </w:p>
          <w:p w14:paraId="27B9EF92">
            <w:pPr>
              <w:pStyle w:val="56"/>
              <w:rPr>
                <w:color w:val="auto"/>
                <w:highlight w:val="none"/>
              </w:rPr>
            </w:pPr>
          </w:p>
          <w:p w14:paraId="23286FE9">
            <w:pPr>
              <w:pStyle w:val="56"/>
              <w:rPr>
                <w:color w:val="auto"/>
                <w:highlight w:val="none"/>
              </w:rPr>
            </w:pPr>
          </w:p>
          <w:p w14:paraId="6159F624">
            <w:pPr>
              <w:pStyle w:val="56"/>
              <w:rPr>
                <w:color w:val="auto"/>
                <w:highlight w:val="none"/>
              </w:rPr>
            </w:pPr>
          </w:p>
          <w:p w14:paraId="53449B45">
            <w:pPr>
              <w:pStyle w:val="56"/>
              <w:rPr>
                <w:color w:val="auto"/>
                <w:highlight w:val="none"/>
              </w:rPr>
            </w:pPr>
          </w:p>
          <w:p w14:paraId="0A0577E4">
            <w:pPr>
              <w:pStyle w:val="56"/>
              <w:rPr>
                <w:color w:val="auto"/>
                <w:highlight w:val="none"/>
              </w:rPr>
            </w:pPr>
          </w:p>
          <w:p w14:paraId="0ED526CB">
            <w:pPr>
              <w:pStyle w:val="56"/>
              <w:rPr>
                <w:color w:val="auto"/>
                <w:highlight w:val="none"/>
              </w:rPr>
            </w:pPr>
          </w:p>
          <w:p w14:paraId="223DFFBB">
            <w:pPr>
              <w:pStyle w:val="56"/>
              <w:rPr>
                <w:color w:val="auto"/>
                <w:highlight w:val="none"/>
              </w:rPr>
            </w:pPr>
          </w:p>
          <w:p w14:paraId="3F887570">
            <w:pPr>
              <w:pStyle w:val="56"/>
              <w:rPr>
                <w:color w:val="auto"/>
                <w:highlight w:val="none"/>
              </w:rPr>
            </w:pPr>
          </w:p>
          <w:p w14:paraId="710E0E9E">
            <w:pPr>
              <w:pStyle w:val="56"/>
              <w:rPr>
                <w:color w:val="auto"/>
                <w:highlight w:val="none"/>
              </w:rPr>
            </w:pPr>
          </w:p>
          <w:p w14:paraId="4353C7CC">
            <w:pPr>
              <w:pStyle w:val="56"/>
              <w:rPr>
                <w:color w:val="auto"/>
                <w:highlight w:val="none"/>
              </w:rPr>
            </w:pPr>
          </w:p>
          <w:p w14:paraId="0024B574">
            <w:pPr>
              <w:pStyle w:val="56"/>
              <w:rPr>
                <w:color w:val="auto"/>
                <w:highlight w:val="none"/>
              </w:rPr>
            </w:pPr>
          </w:p>
          <w:p w14:paraId="1B51DC8A">
            <w:pPr>
              <w:pStyle w:val="56"/>
              <w:rPr>
                <w:color w:val="auto"/>
                <w:highlight w:val="none"/>
              </w:rPr>
            </w:pPr>
          </w:p>
          <w:p w14:paraId="2E8652DB">
            <w:pPr>
              <w:pStyle w:val="56"/>
              <w:rPr>
                <w:color w:val="auto"/>
                <w:highlight w:val="none"/>
              </w:rPr>
            </w:pPr>
          </w:p>
          <w:p w14:paraId="722570AD">
            <w:pPr>
              <w:pStyle w:val="56"/>
              <w:rPr>
                <w:color w:val="auto"/>
                <w:highlight w:val="none"/>
              </w:rPr>
            </w:pPr>
          </w:p>
          <w:p w14:paraId="216083E0">
            <w:pPr>
              <w:pStyle w:val="56"/>
              <w:rPr>
                <w:color w:val="auto"/>
                <w:highlight w:val="none"/>
              </w:rPr>
            </w:pPr>
          </w:p>
          <w:p w14:paraId="0EAFF8ED">
            <w:pPr>
              <w:pStyle w:val="56"/>
              <w:rPr>
                <w:color w:val="auto"/>
                <w:highlight w:val="none"/>
              </w:rPr>
            </w:pPr>
          </w:p>
          <w:p w14:paraId="0FED59B1">
            <w:pPr>
              <w:pStyle w:val="56"/>
              <w:rPr>
                <w:color w:val="auto"/>
                <w:highlight w:val="none"/>
              </w:rPr>
            </w:pPr>
          </w:p>
          <w:p w14:paraId="1F969A9E">
            <w:pPr>
              <w:pStyle w:val="56"/>
              <w:rPr>
                <w:color w:val="auto"/>
                <w:highlight w:val="none"/>
              </w:rPr>
            </w:pPr>
          </w:p>
          <w:p w14:paraId="6FB66587">
            <w:pPr>
              <w:pStyle w:val="56"/>
              <w:rPr>
                <w:color w:val="auto"/>
                <w:highlight w:val="none"/>
              </w:rPr>
            </w:pPr>
          </w:p>
          <w:p w14:paraId="4361ECD8">
            <w:pPr>
              <w:pStyle w:val="56"/>
              <w:rPr>
                <w:color w:val="auto"/>
                <w:highlight w:val="none"/>
              </w:rPr>
            </w:pPr>
          </w:p>
          <w:p w14:paraId="1EC7FD9A">
            <w:pPr>
              <w:pStyle w:val="56"/>
              <w:rPr>
                <w:color w:val="auto"/>
                <w:highlight w:val="none"/>
              </w:rPr>
            </w:pPr>
          </w:p>
          <w:p w14:paraId="7958BC55">
            <w:pPr>
              <w:pStyle w:val="56"/>
              <w:rPr>
                <w:color w:val="auto"/>
                <w:highlight w:val="none"/>
              </w:rPr>
            </w:pPr>
          </w:p>
          <w:p w14:paraId="5C3DFC58">
            <w:pPr>
              <w:pStyle w:val="56"/>
              <w:rPr>
                <w:color w:val="auto"/>
                <w:highlight w:val="none"/>
              </w:rPr>
            </w:pPr>
          </w:p>
          <w:p w14:paraId="5106925C">
            <w:pPr>
              <w:pStyle w:val="56"/>
              <w:rPr>
                <w:color w:val="auto"/>
                <w:highlight w:val="none"/>
              </w:rPr>
            </w:pPr>
          </w:p>
          <w:p w14:paraId="0429BDD3">
            <w:pPr>
              <w:pStyle w:val="56"/>
              <w:rPr>
                <w:color w:val="auto"/>
                <w:highlight w:val="none"/>
              </w:rPr>
            </w:pPr>
          </w:p>
          <w:p w14:paraId="5063F86E">
            <w:pPr>
              <w:pStyle w:val="56"/>
              <w:rPr>
                <w:color w:val="auto"/>
                <w:highlight w:val="none"/>
              </w:rPr>
            </w:pPr>
          </w:p>
          <w:p w14:paraId="263E7751">
            <w:pPr>
              <w:pStyle w:val="56"/>
              <w:rPr>
                <w:color w:val="auto"/>
                <w:highlight w:val="none"/>
              </w:rPr>
            </w:pPr>
          </w:p>
          <w:p w14:paraId="457432B8">
            <w:pPr>
              <w:pStyle w:val="56"/>
              <w:rPr>
                <w:color w:val="auto"/>
                <w:highlight w:val="none"/>
              </w:rPr>
            </w:pPr>
          </w:p>
          <w:p w14:paraId="15CAA3F3">
            <w:pPr>
              <w:pStyle w:val="56"/>
              <w:rPr>
                <w:color w:val="auto"/>
                <w:highlight w:val="none"/>
              </w:rPr>
            </w:pPr>
          </w:p>
          <w:p w14:paraId="1A00525C">
            <w:pPr>
              <w:pStyle w:val="56"/>
              <w:rPr>
                <w:color w:val="auto"/>
                <w:highlight w:val="none"/>
              </w:rPr>
            </w:pPr>
          </w:p>
          <w:p w14:paraId="196445ED">
            <w:pPr>
              <w:pStyle w:val="56"/>
              <w:rPr>
                <w:color w:val="auto"/>
                <w:highlight w:val="none"/>
              </w:rPr>
            </w:pPr>
          </w:p>
          <w:p w14:paraId="36DB58E9">
            <w:pPr>
              <w:pStyle w:val="56"/>
              <w:rPr>
                <w:color w:val="auto"/>
                <w:highlight w:val="none"/>
              </w:rPr>
            </w:pPr>
          </w:p>
          <w:p w14:paraId="17EEA4E2">
            <w:pPr>
              <w:pStyle w:val="56"/>
              <w:rPr>
                <w:color w:val="auto"/>
                <w:highlight w:val="none"/>
              </w:rPr>
            </w:pPr>
          </w:p>
          <w:p w14:paraId="39383B75">
            <w:pPr>
              <w:pStyle w:val="56"/>
              <w:rPr>
                <w:color w:val="auto"/>
                <w:highlight w:val="none"/>
              </w:rPr>
            </w:pPr>
          </w:p>
          <w:p w14:paraId="3D4DCAAD">
            <w:pPr>
              <w:pStyle w:val="56"/>
              <w:rPr>
                <w:color w:val="auto"/>
                <w:highlight w:val="none"/>
              </w:rPr>
            </w:pPr>
          </w:p>
          <w:p w14:paraId="6C651A26">
            <w:pPr>
              <w:pStyle w:val="56"/>
              <w:rPr>
                <w:color w:val="auto"/>
                <w:highlight w:val="none"/>
              </w:rPr>
            </w:pPr>
            <w:r>
              <w:rPr>
                <w:rFonts w:hint="eastAsia"/>
                <w:color w:val="auto"/>
                <w:highlight w:val="none"/>
              </w:rPr>
              <w:t>其他符合性分析</w:t>
            </w:r>
          </w:p>
          <w:p w14:paraId="7DA912B2">
            <w:pPr>
              <w:pStyle w:val="56"/>
              <w:rPr>
                <w:color w:val="auto"/>
                <w:highlight w:val="none"/>
              </w:rPr>
            </w:pPr>
          </w:p>
          <w:p w14:paraId="5A3F3045">
            <w:pPr>
              <w:pStyle w:val="56"/>
              <w:rPr>
                <w:color w:val="auto"/>
                <w:highlight w:val="none"/>
              </w:rPr>
            </w:pPr>
          </w:p>
          <w:p w14:paraId="452BBFC7">
            <w:pPr>
              <w:pStyle w:val="56"/>
              <w:rPr>
                <w:color w:val="auto"/>
                <w:highlight w:val="none"/>
              </w:rPr>
            </w:pPr>
          </w:p>
          <w:p w14:paraId="3A6900AC">
            <w:pPr>
              <w:pStyle w:val="56"/>
              <w:rPr>
                <w:color w:val="auto"/>
                <w:highlight w:val="none"/>
              </w:rPr>
            </w:pPr>
          </w:p>
          <w:p w14:paraId="694B95FB">
            <w:pPr>
              <w:pStyle w:val="56"/>
              <w:rPr>
                <w:color w:val="auto"/>
                <w:highlight w:val="none"/>
              </w:rPr>
            </w:pPr>
          </w:p>
          <w:p w14:paraId="13C5B3AD">
            <w:pPr>
              <w:pStyle w:val="56"/>
              <w:rPr>
                <w:color w:val="auto"/>
                <w:highlight w:val="none"/>
              </w:rPr>
            </w:pPr>
          </w:p>
          <w:p w14:paraId="228AA022">
            <w:pPr>
              <w:pStyle w:val="56"/>
              <w:rPr>
                <w:color w:val="auto"/>
                <w:highlight w:val="none"/>
              </w:rPr>
            </w:pPr>
          </w:p>
          <w:p w14:paraId="3B2DF93D">
            <w:pPr>
              <w:pStyle w:val="56"/>
              <w:rPr>
                <w:color w:val="auto"/>
                <w:highlight w:val="none"/>
              </w:rPr>
            </w:pPr>
          </w:p>
          <w:p w14:paraId="6DBF7E89">
            <w:pPr>
              <w:pStyle w:val="56"/>
              <w:rPr>
                <w:color w:val="auto"/>
                <w:highlight w:val="none"/>
              </w:rPr>
            </w:pPr>
          </w:p>
          <w:p w14:paraId="666644C1">
            <w:pPr>
              <w:pStyle w:val="56"/>
              <w:rPr>
                <w:color w:val="auto"/>
                <w:highlight w:val="none"/>
              </w:rPr>
            </w:pPr>
          </w:p>
          <w:p w14:paraId="7C688B08">
            <w:pPr>
              <w:pStyle w:val="56"/>
              <w:rPr>
                <w:color w:val="auto"/>
                <w:highlight w:val="none"/>
              </w:rPr>
            </w:pPr>
          </w:p>
          <w:p w14:paraId="51AAB9D3">
            <w:pPr>
              <w:pStyle w:val="56"/>
              <w:rPr>
                <w:color w:val="auto"/>
                <w:highlight w:val="none"/>
              </w:rPr>
            </w:pPr>
          </w:p>
          <w:p w14:paraId="1DA7C0AD">
            <w:pPr>
              <w:pStyle w:val="56"/>
              <w:rPr>
                <w:color w:val="auto"/>
                <w:highlight w:val="none"/>
              </w:rPr>
            </w:pPr>
          </w:p>
          <w:p w14:paraId="47976B56">
            <w:pPr>
              <w:pStyle w:val="56"/>
              <w:rPr>
                <w:color w:val="auto"/>
                <w:highlight w:val="none"/>
              </w:rPr>
            </w:pPr>
          </w:p>
          <w:p w14:paraId="16FDAED1">
            <w:pPr>
              <w:pStyle w:val="56"/>
              <w:rPr>
                <w:color w:val="auto"/>
                <w:highlight w:val="none"/>
              </w:rPr>
            </w:pPr>
          </w:p>
          <w:p w14:paraId="1D2842F9">
            <w:pPr>
              <w:pStyle w:val="56"/>
              <w:rPr>
                <w:color w:val="auto"/>
                <w:highlight w:val="none"/>
              </w:rPr>
            </w:pPr>
          </w:p>
          <w:p w14:paraId="2C9E0308">
            <w:pPr>
              <w:pStyle w:val="56"/>
              <w:rPr>
                <w:color w:val="auto"/>
                <w:highlight w:val="none"/>
              </w:rPr>
            </w:pPr>
          </w:p>
          <w:p w14:paraId="44E702B4">
            <w:pPr>
              <w:pStyle w:val="56"/>
              <w:rPr>
                <w:color w:val="auto"/>
                <w:highlight w:val="none"/>
              </w:rPr>
            </w:pPr>
          </w:p>
          <w:p w14:paraId="6D5F8117">
            <w:pPr>
              <w:pStyle w:val="56"/>
              <w:rPr>
                <w:color w:val="auto"/>
                <w:highlight w:val="none"/>
              </w:rPr>
            </w:pPr>
          </w:p>
          <w:p w14:paraId="03E8370F">
            <w:pPr>
              <w:pStyle w:val="56"/>
              <w:rPr>
                <w:color w:val="auto"/>
                <w:highlight w:val="none"/>
              </w:rPr>
            </w:pPr>
          </w:p>
          <w:p w14:paraId="7E94FCE8">
            <w:pPr>
              <w:pStyle w:val="56"/>
              <w:rPr>
                <w:color w:val="auto"/>
                <w:highlight w:val="none"/>
              </w:rPr>
            </w:pPr>
          </w:p>
          <w:p w14:paraId="34B754E8">
            <w:pPr>
              <w:pStyle w:val="56"/>
              <w:rPr>
                <w:color w:val="auto"/>
                <w:highlight w:val="none"/>
              </w:rPr>
            </w:pPr>
          </w:p>
          <w:p w14:paraId="78410F3C">
            <w:pPr>
              <w:pStyle w:val="56"/>
              <w:rPr>
                <w:color w:val="auto"/>
                <w:highlight w:val="none"/>
              </w:rPr>
            </w:pPr>
          </w:p>
          <w:p w14:paraId="72F27185">
            <w:pPr>
              <w:pStyle w:val="56"/>
              <w:rPr>
                <w:color w:val="auto"/>
                <w:highlight w:val="none"/>
              </w:rPr>
            </w:pPr>
          </w:p>
          <w:p w14:paraId="59F9FDEA">
            <w:pPr>
              <w:pStyle w:val="56"/>
              <w:rPr>
                <w:color w:val="auto"/>
                <w:highlight w:val="none"/>
              </w:rPr>
            </w:pPr>
          </w:p>
          <w:p w14:paraId="668EEAEC">
            <w:pPr>
              <w:pStyle w:val="56"/>
              <w:rPr>
                <w:color w:val="auto"/>
                <w:highlight w:val="none"/>
              </w:rPr>
            </w:pPr>
          </w:p>
          <w:p w14:paraId="13D755AD">
            <w:pPr>
              <w:pStyle w:val="56"/>
              <w:rPr>
                <w:color w:val="auto"/>
                <w:highlight w:val="none"/>
              </w:rPr>
            </w:pPr>
          </w:p>
          <w:p w14:paraId="46FE7D94">
            <w:pPr>
              <w:pStyle w:val="56"/>
              <w:rPr>
                <w:color w:val="auto"/>
                <w:highlight w:val="none"/>
              </w:rPr>
            </w:pPr>
          </w:p>
          <w:p w14:paraId="2C24654B">
            <w:pPr>
              <w:pStyle w:val="56"/>
              <w:rPr>
                <w:color w:val="auto"/>
                <w:highlight w:val="none"/>
              </w:rPr>
            </w:pPr>
          </w:p>
          <w:p w14:paraId="0B4EAF83">
            <w:pPr>
              <w:pStyle w:val="56"/>
              <w:rPr>
                <w:color w:val="auto"/>
                <w:highlight w:val="none"/>
              </w:rPr>
            </w:pPr>
          </w:p>
          <w:p w14:paraId="64AFF015">
            <w:pPr>
              <w:pStyle w:val="56"/>
              <w:rPr>
                <w:color w:val="auto"/>
                <w:highlight w:val="none"/>
              </w:rPr>
            </w:pPr>
          </w:p>
          <w:p w14:paraId="4C9A3802">
            <w:pPr>
              <w:pStyle w:val="56"/>
              <w:rPr>
                <w:color w:val="auto"/>
                <w:highlight w:val="none"/>
              </w:rPr>
            </w:pPr>
          </w:p>
          <w:p w14:paraId="53639186">
            <w:pPr>
              <w:pStyle w:val="56"/>
              <w:rPr>
                <w:color w:val="auto"/>
                <w:highlight w:val="none"/>
              </w:rPr>
            </w:pPr>
          </w:p>
          <w:p w14:paraId="2DD291A1">
            <w:pPr>
              <w:pStyle w:val="56"/>
              <w:rPr>
                <w:color w:val="auto"/>
                <w:highlight w:val="none"/>
              </w:rPr>
            </w:pPr>
          </w:p>
          <w:p w14:paraId="0229A010">
            <w:pPr>
              <w:pStyle w:val="56"/>
              <w:rPr>
                <w:color w:val="auto"/>
                <w:highlight w:val="none"/>
              </w:rPr>
            </w:pPr>
          </w:p>
          <w:p w14:paraId="11EE3FBC">
            <w:pPr>
              <w:pStyle w:val="56"/>
              <w:rPr>
                <w:color w:val="auto"/>
                <w:highlight w:val="none"/>
              </w:rPr>
            </w:pPr>
          </w:p>
          <w:p w14:paraId="7C0FD26E">
            <w:pPr>
              <w:pStyle w:val="56"/>
              <w:rPr>
                <w:color w:val="auto"/>
                <w:highlight w:val="none"/>
              </w:rPr>
            </w:pPr>
          </w:p>
          <w:p w14:paraId="0608D394">
            <w:pPr>
              <w:pStyle w:val="56"/>
              <w:rPr>
                <w:color w:val="auto"/>
                <w:highlight w:val="none"/>
              </w:rPr>
            </w:pPr>
          </w:p>
          <w:p w14:paraId="1BA993EF">
            <w:pPr>
              <w:pStyle w:val="56"/>
              <w:rPr>
                <w:color w:val="auto"/>
                <w:highlight w:val="none"/>
              </w:rPr>
            </w:pPr>
          </w:p>
          <w:p w14:paraId="539CF005">
            <w:pPr>
              <w:pStyle w:val="56"/>
              <w:rPr>
                <w:color w:val="auto"/>
                <w:highlight w:val="none"/>
              </w:rPr>
            </w:pPr>
          </w:p>
          <w:p w14:paraId="46B0D27F">
            <w:pPr>
              <w:pStyle w:val="56"/>
              <w:rPr>
                <w:color w:val="auto"/>
                <w:highlight w:val="none"/>
              </w:rPr>
            </w:pPr>
          </w:p>
          <w:p w14:paraId="08883472">
            <w:pPr>
              <w:pStyle w:val="56"/>
              <w:rPr>
                <w:color w:val="auto"/>
                <w:highlight w:val="none"/>
              </w:rPr>
            </w:pPr>
          </w:p>
          <w:p w14:paraId="6C50B8E0">
            <w:pPr>
              <w:pStyle w:val="56"/>
              <w:rPr>
                <w:color w:val="auto"/>
                <w:highlight w:val="none"/>
              </w:rPr>
            </w:pPr>
          </w:p>
          <w:p w14:paraId="6FD163CE">
            <w:pPr>
              <w:pStyle w:val="56"/>
              <w:rPr>
                <w:color w:val="auto"/>
                <w:highlight w:val="none"/>
              </w:rPr>
            </w:pPr>
          </w:p>
          <w:p w14:paraId="4EEECE8B">
            <w:pPr>
              <w:pStyle w:val="56"/>
              <w:rPr>
                <w:color w:val="auto"/>
                <w:highlight w:val="none"/>
              </w:rPr>
            </w:pPr>
          </w:p>
          <w:p w14:paraId="3A769C50">
            <w:pPr>
              <w:pStyle w:val="56"/>
              <w:rPr>
                <w:color w:val="auto"/>
                <w:highlight w:val="none"/>
              </w:rPr>
            </w:pPr>
          </w:p>
          <w:p w14:paraId="73577F87">
            <w:pPr>
              <w:pStyle w:val="56"/>
              <w:rPr>
                <w:color w:val="auto"/>
                <w:highlight w:val="none"/>
              </w:rPr>
            </w:pPr>
          </w:p>
          <w:p w14:paraId="7EC44F68">
            <w:pPr>
              <w:pStyle w:val="56"/>
              <w:rPr>
                <w:color w:val="auto"/>
                <w:highlight w:val="none"/>
              </w:rPr>
            </w:pPr>
            <w:r>
              <w:rPr>
                <w:rFonts w:hint="eastAsia"/>
                <w:color w:val="auto"/>
                <w:highlight w:val="none"/>
              </w:rPr>
              <w:t>其他符合性分析</w:t>
            </w:r>
          </w:p>
          <w:p w14:paraId="4C27423D">
            <w:pPr>
              <w:pStyle w:val="56"/>
              <w:rPr>
                <w:color w:val="auto"/>
                <w:highlight w:val="none"/>
              </w:rPr>
            </w:pPr>
          </w:p>
          <w:p w14:paraId="192508F0">
            <w:pPr>
              <w:pStyle w:val="56"/>
              <w:rPr>
                <w:color w:val="auto"/>
                <w:highlight w:val="none"/>
              </w:rPr>
            </w:pPr>
          </w:p>
          <w:p w14:paraId="3CD48C72">
            <w:pPr>
              <w:pStyle w:val="56"/>
              <w:rPr>
                <w:color w:val="auto"/>
                <w:highlight w:val="none"/>
              </w:rPr>
            </w:pPr>
          </w:p>
          <w:p w14:paraId="411CC02A">
            <w:pPr>
              <w:pStyle w:val="56"/>
              <w:rPr>
                <w:color w:val="auto"/>
                <w:highlight w:val="none"/>
              </w:rPr>
            </w:pPr>
          </w:p>
          <w:p w14:paraId="0704E16E">
            <w:pPr>
              <w:pStyle w:val="56"/>
              <w:rPr>
                <w:color w:val="auto"/>
                <w:highlight w:val="none"/>
              </w:rPr>
            </w:pPr>
          </w:p>
          <w:p w14:paraId="6148E817">
            <w:pPr>
              <w:pStyle w:val="56"/>
              <w:rPr>
                <w:color w:val="auto"/>
                <w:highlight w:val="none"/>
              </w:rPr>
            </w:pPr>
          </w:p>
          <w:p w14:paraId="44FC9DDC">
            <w:pPr>
              <w:pStyle w:val="56"/>
              <w:rPr>
                <w:color w:val="auto"/>
                <w:highlight w:val="none"/>
              </w:rPr>
            </w:pPr>
          </w:p>
          <w:p w14:paraId="2A40E328">
            <w:pPr>
              <w:pStyle w:val="56"/>
              <w:rPr>
                <w:color w:val="auto"/>
                <w:highlight w:val="none"/>
              </w:rPr>
            </w:pPr>
          </w:p>
          <w:p w14:paraId="16572E08">
            <w:pPr>
              <w:pStyle w:val="56"/>
              <w:rPr>
                <w:color w:val="auto"/>
                <w:highlight w:val="none"/>
              </w:rPr>
            </w:pPr>
          </w:p>
          <w:p w14:paraId="298D9ABC">
            <w:pPr>
              <w:pStyle w:val="56"/>
              <w:rPr>
                <w:color w:val="auto"/>
                <w:highlight w:val="none"/>
              </w:rPr>
            </w:pPr>
          </w:p>
          <w:p w14:paraId="3875F01F">
            <w:pPr>
              <w:pStyle w:val="56"/>
              <w:rPr>
                <w:color w:val="auto"/>
                <w:highlight w:val="none"/>
              </w:rPr>
            </w:pPr>
          </w:p>
          <w:p w14:paraId="1F89963A">
            <w:pPr>
              <w:pStyle w:val="56"/>
              <w:rPr>
                <w:color w:val="auto"/>
                <w:highlight w:val="none"/>
              </w:rPr>
            </w:pPr>
          </w:p>
          <w:p w14:paraId="7C54F50D">
            <w:pPr>
              <w:pStyle w:val="56"/>
              <w:rPr>
                <w:color w:val="auto"/>
                <w:highlight w:val="none"/>
              </w:rPr>
            </w:pPr>
          </w:p>
          <w:p w14:paraId="6249E696">
            <w:pPr>
              <w:pStyle w:val="56"/>
              <w:rPr>
                <w:color w:val="auto"/>
                <w:highlight w:val="none"/>
              </w:rPr>
            </w:pPr>
          </w:p>
          <w:p w14:paraId="481FF3DD">
            <w:pPr>
              <w:pStyle w:val="56"/>
              <w:rPr>
                <w:color w:val="auto"/>
                <w:highlight w:val="none"/>
              </w:rPr>
            </w:pPr>
          </w:p>
          <w:p w14:paraId="0CDB4A4B">
            <w:pPr>
              <w:pStyle w:val="56"/>
              <w:rPr>
                <w:color w:val="auto"/>
                <w:highlight w:val="none"/>
              </w:rPr>
            </w:pPr>
          </w:p>
          <w:p w14:paraId="53BDCD07">
            <w:pPr>
              <w:pStyle w:val="56"/>
              <w:rPr>
                <w:color w:val="auto"/>
                <w:highlight w:val="none"/>
              </w:rPr>
            </w:pPr>
          </w:p>
          <w:p w14:paraId="336F5EB5">
            <w:pPr>
              <w:pStyle w:val="56"/>
              <w:rPr>
                <w:color w:val="auto"/>
                <w:highlight w:val="none"/>
              </w:rPr>
            </w:pPr>
          </w:p>
          <w:p w14:paraId="52912570">
            <w:pPr>
              <w:pStyle w:val="56"/>
              <w:rPr>
                <w:color w:val="auto"/>
                <w:highlight w:val="none"/>
              </w:rPr>
            </w:pPr>
          </w:p>
          <w:p w14:paraId="255611CE">
            <w:pPr>
              <w:pStyle w:val="56"/>
              <w:rPr>
                <w:color w:val="auto"/>
                <w:highlight w:val="none"/>
              </w:rPr>
            </w:pPr>
          </w:p>
          <w:p w14:paraId="71F5D6B0">
            <w:pPr>
              <w:pStyle w:val="56"/>
              <w:rPr>
                <w:color w:val="auto"/>
                <w:highlight w:val="none"/>
              </w:rPr>
            </w:pPr>
          </w:p>
          <w:p w14:paraId="7F3A0962">
            <w:pPr>
              <w:pStyle w:val="56"/>
              <w:rPr>
                <w:color w:val="auto"/>
                <w:highlight w:val="none"/>
              </w:rPr>
            </w:pPr>
          </w:p>
          <w:p w14:paraId="7086E0B8">
            <w:pPr>
              <w:pStyle w:val="56"/>
              <w:rPr>
                <w:color w:val="auto"/>
                <w:highlight w:val="none"/>
              </w:rPr>
            </w:pPr>
          </w:p>
          <w:p w14:paraId="0167F73F">
            <w:pPr>
              <w:pStyle w:val="56"/>
              <w:rPr>
                <w:color w:val="auto"/>
                <w:highlight w:val="none"/>
              </w:rPr>
            </w:pPr>
          </w:p>
          <w:p w14:paraId="0C84DDDE">
            <w:pPr>
              <w:pStyle w:val="56"/>
              <w:rPr>
                <w:color w:val="auto"/>
                <w:highlight w:val="none"/>
              </w:rPr>
            </w:pPr>
          </w:p>
          <w:p w14:paraId="6040470B">
            <w:pPr>
              <w:pStyle w:val="56"/>
              <w:rPr>
                <w:color w:val="auto"/>
                <w:highlight w:val="none"/>
              </w:rPr>
            </w:pPr>
          </w:p>
          <w:p w14:paraId="1CF25B96">
            <w:pPr>
              <w:pStyle w:val="56"/>
              <w:rPr>
                <w:color w:val="auto"/>
                <w:highlight w:val="none"/>
              </w:rPr>
            </w:pPr>
          </w:p>
          <w:p w14:paraId="18B0388D">
            <w:pPr>
              <w:pStyle w:val="56"/>
              <w:rPr>
                <w:color w:val="auto"/>
                <w:highlight w:val="none"/>
              </w:rPr>
            </w:pPr>
          </w:p>
          <w:p w14:paraId="3B762F65">
            <w:pPr>
              <w:pStyle w:val="56"/>
              <w:rPr>
                <w:color w:val="auto"/>
                <w:highlight w:val="none"/>
              </w:rPr>
            </w:pPr>
          </w:p>
          <w:p w14:paraId="40051C0B">
            <w:pPr>
              <w:pStyle w:val="56"/>
              <w:rPr>
                <w:color w:val="auto"/>
                <w:highlight w:val="none"/>
              </w:rPr>
            </w:pPr>
          </w:p>
          <w:p w14:paraId="1F11B07C">
            <w:pPr>
              <w:pStyle w:val="56"/>
              <w:rPr>
                <w:color w:val="auto"/>
                <w:highlight w:val="none"/>
              </w:rPr>
            </w:pPr>
          </w:p>
          <w:p w14:paraId="04AC3A66">
            <w:pPr>
              <w:pStyle w:val="56"/>
              <w:rPr>
                <w:color w:val="auto"/>
                <w:highlight w:val="none"/>
              </w:rPr>
            </w:pPr>
          </w:p>
          <w:p w14:paraId="5E491B1E">
            <w:pPr>
              <w:pStyle w:val="56"/>
              <w:rPr>
                <w:color w:val="auto"/>
                <w:highlight w:val="none"/>
              </w:rPr>
            </w:pPr>
          </w:p>
          <w:p w14:paraId="35A2335A">
            <w:pPr>
              <w:pStyle w:val="56"/>
              <w:rPr>
                <w:color w:val="auto"/>
                <w:highlight w:val="none"/>
              </w:rPr>
            </w:pPr>
          </w:p>
          <w:p w14:paraId="2A98DB4A">
            <w:pPr>
              <w:pStyle w:val="56"/>
              <w:rPr>
                <w:color w:val="auto"/>
                <w:highlight w:val="none"/>
              </w:rPr>
            </w:pPr>
          </w:p>
          <w:p w14:paraId="45216652">
            <w:pPr>
              <w:pStyle w:val="56"/>
              <w:rPr>
                <w:color w:val="auto"/>
                <w:highlight w:val="none"/>
              </w:rPr>
            </w:pPr>
          </w:p>
          <w:p w14:paraId="2D5F39B9">
            <w:pPr>
              <w:pStyle w:val="56"/>
              <w:rPr>
                <w:color w:val="auto"/>
                <w:highlight w:val="none"/>
              </w:rPr>
            </w:pPr>
          </w:p>
          <w:p w14:paraId="39363132">
            <w:pPr>
              <w:pStyle w:val="56"/>
              <w:rPr>
                <w:color w:val="auto"/>
                <w:highlight w:val="none"/>
              </w:rPr>
            </w:pPr>
          </w:p>
          <w:p w14:paraId="6F0A0D79">
            <w:pPr>
              <w:pStyle w:val="56"/>
              <w:rPr>
                <w:color w:val="auto"/>
                <w:highlight w:val="none"/>
              </w:rPr>
            </w:pPr>
          </w:p>
          <w:p w14:paraId="6FB3D1A4">
            <w:pPr>
              <w:pStyle w:val="56"/>
              <w:rPr>
                <w:color w:val="auto"/>
                <w:highlight w:val="none"/>
              </w:rPr>
            </w:pPr>
          </w:p>
          <w:p w14:paraId="607E75FD">
            <w:pPr>
              <w:pStyle w:val="56"/>
              <w:rPr>
                <w:color w:val="auto"/>
                <w:highlight w:val="none"/>
              </w:rPr>
            </w:pPr>
          </w:p>
          <w:p w14:paraId="6E815D06">
            <w:pPr>
              <w:pStyle w:val="56"/>
              <w:rPr>
                <w:color w:val="auto"/>
                <w:highlight w:val="none"/>
              </w:rPr>
            </w:pPr>
          </w:p>
          <w:p w14:paraId="73DAA184">
            <w:pPr>
              <w:pStyle w:val="56"/>
              <w:rPr>
                <w:color w:val="auto"/>
                <w:highlight w:val="none"/>
              </w:rPr>
            </w:pPr>
          </w:p>
          <w:p w14:paraId="25734C5A">
            <w:pPr>
              <w:pStyle w:val="56"/>
              <w:rPr>
                <w:color w:val="auto"/>
                <w:highlight w:val="none"/>
              </w:rPr>
            </w:pPr>
          </w:p>
          <w:p w14:paraId="5344D4DD">
            <w:pPr>
              <w:pStyle w:val="56"/>
              <w:rPr>
                <w:color w:val="auto"/>
                <w:highlight w:val="none"/>
              </w:rPr>
            </w:pPr>
          </w:p>
          <w:p w14:paraId="12A6F6A8">
            <w:pPr>
              <w:pStyle w:val="56"/>
              <w:rPr>
                <w:color w:val="auto"/>
                <w:highlight w:val="none"/>
              </w:rPr>
            </w:pPr>
            <w:r>
              <w:rPr>
                <w:rFonts w:hint="eastAsia"/>
                <w:color w:val="auto"/>
                <w:highlight w:val="none"/>
              </w:rPr>
              <w:t>其他符合性分析</w:t>
            </w:r>
          </w:p>
          <w:p w14:paraId="2A5152BD">
            <w:pPr>
              <w:pStyle w:val="56"/>
              <w:rPr>
                <w:color w:val="auto"/>
                <w:highlight w:val="none"/>
              </w:rPr>
            </w:pPr>
          </w:p>
          <w:p w14:paraId="0CDFEFFC">
            <w:pPr>
              <w:pStyle w:val="56"/>
              <w:rPr>
                <w:color w:val="auto"/>
                <w:highlight w:val="none"/>
              </w:rPr>
            </w:pPr>
          </w:p>
          <w:p w14:paraId="0606496D">
            <w:pPr>
              <w:pStyle w:val="56"/>
              <w:rPr>
                <w:color w:val="auto"/>
                <w:highlight w:val="none"/>
              </w:rPr>
            </w:pPr>
          </w:p>
          <w:p w14:paraId="3A3B9AE3">
            <w:pPr>
              <w:pStyle w:val="56"/>
              <w:rPr>
                <w:color w:val="auto"/>
                <w:highlight w:val="none"/>
              </w:rPr>
            </w:pPr>
          </w:p>
          <w:p w14:paraId="1BB1CA76">
            <w:pPr>
              <w:pStyle w:val="56"/>
              <w:rPr>
                <w:color w:val="auto"/>
                <w:highlight w:val="none"/>
              </w:rPr>
            </w:pPr>
          </w:p>
          <w:p w14:paraId="0EB0DC19">
            <w:pPr>
              <w:pStyle w:val="56"/>
              <w:rPr>
                <w:color w:val="auto"/>
                <w:highlight w:val="none"/>
              </w:rPr>
            </w:pPr>
          </w:p>
          <w:p w14:paraId="31F86CA5">
            <w:pPr>
              <w:pStyle w:val="56"/>
              <w:rPr>
                <w:color w:val="auto"/>
                <w:highlight w:val="none"/>
              </w:rPr>
            </w:pPr>
          </w:p>
          <w:p w14:paraId="226CCD4F">
            <w:pPr>
              <w:pStyle w:val="56"/>
              <w:rPr>
                <w:color w:val="auto"/>
                <w:highlight w:val="none"/>
              </w:rPr>
            </w:pPr>
          </w:p>
          <w:p w14:paraId="430D2199">
            <w:pPr>
              <w:pStyle w:val="56"/>
              <w:rPr>
                <w:color w:val="auto"/>
                <w:highlight w:val="none"/>
              </w:rPr>
            </w:pPr>
          </w:p>
          <w:p w14:paraId="69CEB283">
            <w:pPr>
              <w:pStyle w:val="56"/>
              <w:rPr>
                <w:color w:val="auto"/>
                <w:highlight w:val="none"/>
              </w:rPr>
            </w:pPr>
          </w:p>
          <w:p w14:paraId="39A333D1">
            <w:pPr>
              <w:pStyle w:val="56"/>
              <w:rPr>
                <w:color w:val="auto"/>
                <w:highlight w:val="none"/>
              </w:rPr>
            </w:pPr>
          </w:p>
          <w:p w14:paraId="4507A5CD">
            <w:pPr>
              <w:pStyle w:val="56"/>
              <w:rPr>
                <w:color w:val="auto"/>
                <w:highlight w:val="none"/>
              </w:rPr>
            </w:pPr>
          </w:p>
          <w:p w14:paraId="5170913F">
            <w:pPr>
              <w:pStyle w:val="56"/>
              <w:rPr>
                <w:color w:val="auto"/>
                <w:highlight w:val="none"/>
              </w:rPr>
            </w:pPr>
          </w:p>
          <w:p w14:paraId="66810DAD">
            <w:pPr>
              <w:pStyle w:val="56"/>
              <w:rPr>
                <w:color w:val="auto"/>
                <w:highlight w:val="none"/>
              </w:rPr>
            </w:pPr>
          </w:p>
          <w:p w14:paraId="7FF6A659">
            <w:pPr>
              <w:pStyle w:val="56"/>
              <w:rPr>
                <w:color w:val="auto"/>
                <w:highlight w:val="none"/>
              </w:rPr>
            </w:pPr>
          </w:p>
          <w:p w14:paraId="345891E1">
            <w:pPr>
              <w:pStyle w:val="56"/>
              <w:rPr>
                <w:color w:val="auto"/>
                <w:highlight w:val="none"/>
              </w:rPr>
            </w:pPr>
          </w:p>
          <w:p w14:paraId="44E12DCB">
            <w:pPr>
              <w:pStyle w:val="56"/>
              <w:rPr>
                <w:color w:val="auto"/>
                <w:highlight w:val="none"/>
              </w:rPr>
            </w:pPr>
          </w:p>
          <w:p w14:paraId="0DA6A269">
            <w:pPr>
              <w:pStyle w:val="56"/>
              <w:rPr>
                <w:color w:val="auto"/>
                <w:highlight w:val="none"/>
              </w:rPr>
            </w:pPr>
          </w:p>
          <w:p w14:paraId="4CB14B91">
            <w:pPr>
              <w:pStyle w:val="56"/>
              <w:rPr>
                <w:color w:val="auto"/>
                <w:highlight w:val="none"/>
              </w:rPr>
            </w:pPr>
          </w:p>
          <w:p w14:paraId="48ACE712">
            <w:pPr>
              <w:pStyle w:val="56"/>
              <w:rPr>
                <w:color w:val="auto"/>
                <w:highlight w:val="none"/>
              </w:rPr>
            </w:pPr>
          </w:p>
          <w:p w14:paraId="2C297EDF">
            <w:pPr>
              <w:pStyle w:val="56"/>
              <w:rPr>
                <w:color w:val="auto"/>
                <w:highlight w:val="none"/>
              </w:rPr>
            </w:pPr>
          </w:p>
          <w:p w14:paraId="4EF508FA">
            <w:pPr>
              <w:pStyle w:val="56"/>
              <w:rPr>
                <w:color w:val="auto"/>
                <w:highlight w:val="none"/>
              </w:rPr>
            </w:pPr>
          </w:p>
          <w:p w14:paraId="2966421A">
            <w:pPr>
              <w:pStyle w:val="56"/>
              <w:rPr>
                <w:color w:val="auto"/>
                <w:highlight w:val="none"/>
              </w:rPr>
            </w:pPr>
          </w:p>
          <w:p w14:paraId="5302ACC5">
            <w:pPr>
              <w:pStyle w:val="56"/>
              <w:rPr>
                <w:color w:val="auto"/>
                <w:highlight w:val="none"/>
              </w:rPr>
            </w:pPr>
          </w:p>
          <w:p w14:paraId="28AAECCA">
            <w:pPr>
              <w:pStyle w:val="56"/>
              <w:rPr>
                <w:color w:val="auto"/>
                <w:highlight w:val="none"/>
              </w:rPr>
            </w:pPr>
          </w:p>
          <w:p w14:paraId="404AD873">
            <w:pPr>
              <w:pStyle w:val="56"/>
              <w:rPr>
                <w:color w:val="auto"/>
                <w:highlight w:val="none"/>
              </w:rPr>
            </w:pPr>
          </w:p>
          <w:p w14:paraId="125E902B">
            <w:pPr>
              <w:pStyle w:val="56"/>
              <w:rPr>
                <w:color w:val="auto"/>
                <w:highlight w:val="none"/>
              </w:rPr>
            </w:pPr>
          </w:p>
          <w:p w14:paraId="50CD73AC">
            <w:pPr>
              <w:pStyle w:val="56"/>
              <w:rPr>
                <w:color w:val="auto"/>
                <w:highlight w:val="none"/>
              </w:rPr>
            </w:pPr>
          </w:p>
          <w:p w14:paraId="74DB7435">
            <w:pPr>
              <w:pStyle w:val="56"/>
              <w:rPr>
                <w:color w:val="auto"/>
                <w:highlight w:val="none"/>
              </w:rPr>
            </w:pPr>
          </w:p>
          <w:p w14:paraId="22061695">
            <w:pPr>
              <w:pStyle w:val="56"/>
              <w:rPr>
                <w:color w:val="auto"/>
                <w:highlight w:val="none"/>
              </w:rPr>
            </w:pPr>
          </w:p>
          <w:p w14:paraId="5E9D1962">
            <w:pPr>
              <w:pStyle w:val="56"/>
              <w:rPr>
                <w:color w:val="auto"/>
                <w:highlight w:val="none"/>
              </w:rPr>
            </w:pPr>
          </w:p>
          <w:p w14:paraId="4BE3BAD7">
            <w:pPr>
              <w:pStyle w:val="56"/>
              <w:rPr>
                <w:color w:val="auto"/>
                <w:highlight w:val="none"/>
              </w:rPr>
            </w:pPr>
          </w:p>
          <w:p w14:paraId="7A8395B4">
            <w:pPr>
              <w:pStyle w:val="56"/>
              <w:rPr>
                <w:color w:val="auto"/>
                <w:highlight w:val="none"/>
              </w:rPr>
            </w:pPr>
          </w:p>
          <w:p w14:paraId="25132529">
            <w:pPr>
              <w:pStyle w:val="56"/>
              <w:rPr>
                <w:color w:val="auto"/>
                <w:highlight w:val="none"/>
              </w:rPr>
            </w:pPr>
          </w:p>
          <w:p w14:paraId="6A8558A7">
            <w:pPr>
              <w:pStyle w:val="56"/>
              <w:rPr>
                <w:color w:val="auto"/>
                <w:highlight w:val="none"/>
              </w:rPr>
            </w:pPr>
          </w:p>
          <w:p w14:paraId="18A6F8CE">
            <w:pPr>
              <w:pStyle w:val="56"/>
              <w:rPr>
                <w:color w:val="auto"/>
                <w:highlight w:val="none"/>
              </w:rPr>
            </w:pPr>
          </w:p>
          <w:p w14:paraId="58A3AD28">
            <w:pPr>
              <w:pStyle w:val="56"/>
              <w:rPr>
                <w:color w:val="auto"/>
                <w:highlight w:val="none"/>
              </w:rPr>
            </w:pPr>
          </w:p>
          <w:p w14:paraId="1A36CBD3">
            <w:pPr>
              <w:pStyle w:val="56"/>
              <w:rPr>
                <w:color w:val="auto"/>
                <w:highlight w:val="none"/>
              </w:rPr>
            </w:pPr>
          </w:p>
          <w:p w14:paraId="43360D88">
            <w:pPr>
              <w:pStyle w:val="56"/>
              <w:rPr>
                <w:color w:val="auto"/>
                <w:highlight w:val="none"/>
              </w:rPr>
            </w:pPr>
          </w:p>
          <w:p w14:paraId="0BB1F6DF">
            <w:pPr>
              <w:pStyle w:val="56"/>
              <w:rPr>
                <w:color w:val="auto"/>
                <w:highlight w:val="none"/>
              </w:rPr>
            </w:pPr>
          </w:p>
          <w:p w14:paraId="45588208">
            <w:pPr>
              <w:pStyle w:val="56"/>
              <w:rPr>
                <w:color w:val="auto"/>
                <w:highlight w:val="none"/>
              </w:rPr>
            </w:pPr>
          </w:p>
          <w:p w14:paraId="6F814F82">
            <w:pPr>
              <w:pStyle w:val="56"/>
              <w:rPr>
                <w:color w:val="auto"/>
                <w:highlight w:val="none"/>
              </w:rPr>
            </w:pPr>
          </w:p>
          <w:p w14:paraId="4ED42FED">
            <w:pPr>
              <w:pStyle w:val="56"/>
              <w:rPr>
                <w:color w:val="auto"/>
                <w:highlight w:val="none"/>
              </w:rPr>
            </w:pPr>
          </w:p>
          <w:p w14:paraId="3D3F811F">
            <w:pPr>
              <w:pStyle w:val="56"/>
              <w:rPr>
                <w:color w:val="auto"/>
                <w:highlight w:val="none"/>
              </w:rPr>
            </w:pPr>
          </w:p>
          <w:p w14:paraId="48495CED">
            <w:pPr>
              <w:pStyle w:val="56"/>
              <w:rPr>
                <w:color w:val="auto"/>
                <w:highlight w:val="none"/>
              </w:rPr>
            </w:pPr>
          </w:p>
          <w:p w14:paraId="417EC1B2">
            <w:pPr>
              <w:pStyle w:val="56"/>
              <w:rPr>
                <w:color w:val="auto"/>
                <w:highlight w:val="none"/>
              </w:rPr>
            </w:pPr>
          </w:p>
          <w:p w14:paraId="36D99C16">
            <w:pPr>
              <w:pStyle w:val="56"/>
              <w:rPr>
                <w:color w:val="auto"/>
                <w:highlight w:val="none"/>
              </w:rPr>
            </w:pPr>
            <w:r>
              <w:rPr>
                <w:rFonts w:hint="eastAsia"/>
                <w:color w:val="auto"/>
                <w:highlight w:val="none"/>
              </w:rPr>
              <w:t>其他符合性分析</w:t>
            </w:r>
          </w:p>
          <w:p w14:paraId="5545CA56">
            <w:pPr>
              <w:pStyle w:val="56"/>
              <w:rPr>
                <w:color w:val="auto"/>
                <w:highlight w:val="none"/>
              </w:rPr>
            </w:pPr>
          </w:p>
          <w:p w14:paraId="717036FB">
            <w:pPr>
              <w:pStyle w:val="56"/>
              <w:rPr>
                <w:color w:val="auto"/>
                <w:highlight w:val="none"/>
              </w:rPr>
            </w:pPr>
          </w:p>
          <w:p w14:paraId="78FA310B">
            <w:pPr>
              <w:pStyle w:val="56"/>
              <w:rPr>
                <w:color w:val="auto"/>
                <w:highlight w:val="none"/>
              </w:rPr>
            </w:pPr>
          </w:p>
          <w:p w14:paraId="3138688F">
            <w:pPr>
              <w:pStyle w:val="56"/>
              <w:rPr>
                <w:color w:val="auto"/>
                <w:highlight w:val="none"/>
              </w:rPr>
            </w:pPr>
          </w:p>
          <w:p w14:paraId="5C100FA3">
            <w:pPr>
              <w:pStyle w:val="56"/>
              <w:rPr>
                <w:color w:val="auto"/>
                <w:highlight w:val="none"/>
              </w:rPr>
            </w:pPr>
          </w:p>
          <w:p w14:paraId="6F34CA50">
            <w:pPr>
              <w:pStyle w:val="56"/>
              <w:rPr>
                <w:color w:val="auto"/>
                <w:highlight w:val="none"/>
              </w:rPr>
            </w:pPr>
          </w:p>
          <w:p w14:paraId="574240B1">
            <w:pPr>
              <w:pStyle w:val="56"/>
              <w:rPr>
                <w:color w:val="auto"/>
                <w:highlight w:val="none"/>
              </w:rPr>
            </w:pPr>
          </w:p>
          <w:p w14:paraId="23B8BA38">
            <w:pPr>
              <w:pStyle w:val="56"/>
              <w:rPr>
                <w:color w:val="auto"/>
                <w:highlight w:val="none"/>
              </w:rPr>
            </w:pPr>
          </w:p>
          <w:p w14:paraId="00CCA9C0">
            <w:pPr>
              <w:pStyle w:val="56"/>
              <w:rPr>
                <w:color w:val="auto"/>
                <w:highlight w:val="none"/>
              </w:rPr>
            </w:pPr>
          </w:p>
          <w:p w14:paraId="4698CF17">
            <w:pPr>
              <w:pStyle w:val="56"/>
              <w:rPr>
                <w:color w:val="auto"/>
                <w:highlight w:val="none"/>
              </w:rPr>
            </w:pPr>
          </w:p>
          <w:p w14:paraId="6F4D82DD">
            <w:pPr>
              <w:pStyle w:val="56"/>
              <w:rPr>
                <w:color w:val="auto"/>
                <w:highlight w:val="none"/>
              </w:rPr>
            </w:pPr>
          </w:p>
          <w:p w14:paraId="0BA257F7">
            <w:pPr>
              <w:pStyle w:val="56"/>
              <w:rPr>
                <w:color w:val="auto"/>
                <w:highlight w:val="none"/>
              </w:rPr>
            </w:pPr>
          </w:p>
          <w:p w14:paraId="6E1565FC">
            <w:pPr>
              <w:pStyle w:val="56"/>
              <w:rPr>
                <w:color w:val="auto"/>
                <w:highlight w:val="none"/>
              </w:rPr>
            </w:pPr>
          </w:p>
          <w:p w14:paraId="45F66AC9">
            <w:pPr>
              <w:pStyle w:val="56"/>
              <w:rPr>
                <w:color w:val="auto"/>
                <w:highlight w:val="none"/>
              </w:rPr>
            </w:pPr>
          </w:p>
          <w:p w14:paraId="196B6CC6">
            <w:pPr>
              <w:pStyle w:val="56"/>
              <w:rPr>
                <w:color w:val="auto"/>
                <w:highlight w:val="none"/>
              </w:rPr>
            </w:pPr>
          </w:p>
          <w:p w14:paraId="4938B3E8">
            <w:pPr>
              <w:pStyle w:val="56"/>
              <w:rPr>
                <w:color w:val="auto"/>
                <w:highlight w:val="none"/>
              </w:rPr>
            </w:pPr>
          </w:p>
          <w:p w14:paraId="1F5AAC2A">
            <w:pPr>
              <w:pStyle w:val="56"/>
              <w:rPr>
                <w:color w:val="auto"/>
                <w:highlight w:val="none"/>
              </w:rPr>
            </w:pPr>
          </w:p>
          <w:p w14:paraId="748B9BC6">
            <w:pPr>
              <w:pStyle w:val="56"/>
              <w:rPr>
                <w:color w:val="auto"/>
                <w:highlight w:val="none"/>
              </w:rPr>
            </w:pPr>
          </w:p>
          <w:p w14:paraId="2AE3F6F0">
            <w:pPr>
              <w:pStyle w:val="56"/>
              <w:rPr>
                <w:color w:val="auto"/>
                <w:highlight w:val="none"/>
              </w:rPr>
            </w:pPr>
          </w:p>
          <w:p w14:paraId="06852058">
            <w:pPr>
              <w:pStyle w:val="56"/>
              <w:rPr>
                <w:color w:val="auto"/>
                <w:highlight w:val="none"/>
              </w:rPr>
            </w:pPr>
          </w:p>
          <w:p w14:paraId="3C368A90">
            <w:pPr>
              <w:pStyle w:val="56"/>
              <w:rPr>
                <w:color w:val="auto"/>
                <w:highlight w:val="none"/>
              </w:rPr>
            </w:pPr>
          </w:p>
          <w:p w14:paraId="136E91CE">
            <w:pPr>
              <w:pStyle w:val="56"/>
              <w:rPr>
                <w:color w:val="auto"/>
                <w:highlight w:val="none"/>
              </w:rPr>
            </w:pPr>
          </w:p>
          <w:p w14:paraId="13DC36FF">
            <w:pPr>
              <w:pStyle w:val="56"/>
              <w:rPr>
                <w:color w:val="auto"/>
                <w:highlight w:val="none"/>
              </w:rPr>
            </w:pPr>
          </w:p>
          <w:p w14:paraId="0236A018">
            <w:pPr>
              <w:pStyle w:val="56"/>
              <w:rPr>
                <w:color w:val="auto"/>
                <w:highlight w:val="none"/>
              </w:rPr>
            </w:pPr>
          </w:p>
          <w:p w14:paraId="04A868D4">
            <w:pPr>
              <w:pStyle w:val="56"/>
              <w:rPr>
                <w:color w:val="auto"/>
                <w:highlight w:val="none"/>
              </w:rPr>
            </w:pPr>
          </w:p>
          <w:p w14:paraId="4BCA31A8">
            <w:pPr>
              <w:pStyle w:val="56"/>
              <w:rPr>
                <w:color w:val="auto"/>
                <w:highlight w:val="none"/>
              </w:rPr>
            </w:pPr>
          </w:p>
          <w:p w14:paraId="26DFE40C">
            <w:pPr>
              <w:pStyle w:val="56"/>
              <w:rPr>
                <w:color w:val="auto"/>
                <w:highlight w:val="none"/>
              </w:rPr>
            </w:pPr>
          </w:p>
          <w:p w14:paraId="763C6BBC">
            <w:pPr>
              <w:pStyle w:val="56"/>
              <w:rPr>
                <w:color w:val="auto"/>
                <w:highlight w:val="none"/>
              </w:rPr>
            </w:pPr>
          </w:p>
          <w:p w14:paraId="06FE012A">
            <w:pPr>
              <w:pStyle w:val="56"/>
              <w:rPr>
                <w:color w:val="auto"/>
                <w:highlight w:val="none"/>
              </w:rPr>
            </w:pPr>
          </w:p>
          <w:p w14:paraId="597F5118">
            <w:pPr>
              <w:pStyle w:val="56"/>
              <w:rPr>
                <w:color w:val="auto"/>
                <w:highlight w:val="none"/>
              </w:rPr>
            </w:pPr>
          </w:p>
          <w:p w14:paraId="0456DF56">
            <w:pPr>
              <w:pStyle w:val="56"/>
              <w:rPr>
                <w:color w:val="auto"/>
                <w:highlight w:val="none"/>
              </w:rPr>
            </w:pPr>
          </w:p>
          <w:p w14:paraId="13C2A303">
            <w:pPr>
              <w:pStyle w:val="56"/>
              <w:rPr>
                <w:color w:val="auto"/>
                <w:highlight w:val="none"/>
              </w:rPr>
            </w:pPr>
          </w:p>
          <w:p w14:paraId="2CF4697B">
            <w:pPr>
              <w:pStyle w:val="56"/>
              <w:rPr>
                <w:color w:val="auto"/>
                <w:highlight w:val="none"/>
              </w:rPr>
            </w:pPr>
          </w:p>
          <w:p w14:paraId="377F60C9">
            <w:pPr>
              <w:pStyle w:val="56"/>
              <w:rPr>
                <w:color w:val="auto"/>
                <w:highlight w:val="none"/>
              </w:rPr>
            </w:pPr>
          </w:p>
          <w:p w14:paraId="2CB0D557">
            <w:pPr>
              <w:pStyle w:val="56"/>
              <w:rPr>
                <w:color w:val="auto"/>
                <w:highlight w:val="none"/>
              </w:rPr>
            </w:pPr>
          </w:p>
          <w:p w14:paraId="16F527AD">
            <w:pPr>
              <w:pStyle w:val="56"/>
              <w:rPr>
                <w:color w:val="auto"/>
                <w:highlight w:val="none"/>
              </w:rPr>
            </w:pPr>
          </w:p>
          <w:p w14:paraId="55FFCCBF">
            <w:pPr>
              <w:pStyle w:val="56"/>
              <w:rPr>
                <w:color w:val="auto"/>
                <w:highlight w:val="none"/>
              </w:rPr>
            </w:pPr>
          </w:p>
          <w:p w14:paraId="515E9E5E">
            <w:pPr>
              <w:pStyle w:val="56"/>
              <w:rPr>
                <w:color w:val="auto"/>
                <w:highlight w:val="none"/>
              </w:rPr>
            </w:pPr>
          </w:p>
          <w:p w14:paraId="35EE53F7">
            <w:pPr>
              <w:pStyle w:val="56"/>
              <w:rPr>
                <w:color w:val="auto"/>
                <w:highlight w:val="none"/>
              </w:rPr>
            </w:pPr>
          </w:p>
          <w:p w14:paraId="13180014">
            <w:pPr>
              <w:pStyle w:val="56"/>
              <w:rPr>
                <w:color w:val="auto"/>
                <w:highlight w:val="none"/>
              </w:rPr>
            </w:pPr>
          </w:p>
          <w:p w14:paraId="1AC7AE79">
            <w:pPr>
              <w:pStyle w:val="56"/>
              <w:rPr>
                <w:color w:val="auto"/>
                <w:highlight w:val="none"/>
              </w:rPr>
            </w:pPr>
          </w:p>
          <w:p w14:paraId="797D1C10">
            <w:pPr>
              <w:pStyle w:val="56"/>
              <w:rPr>
                <w:color w:val="auto"/>
                <w:highlight w:val="none"/>
              </w:rPr>
            </w:pPr>
          </w:p>
          <w:p w14:paraId="4FAA9649">
            <w:pPr>
              <w:pStyle w:val="56"/>
              <w:rPr>
                <w:color w:val="auto"/>
                <w:highlight w:val="none"/>
              </w:rPr>
            </w:pPr>
          </w:p>
          <w:p w14:paraId="5E544DC0">
            <w:pPr>
              <w:pStyle w:val="56"/>
              <w:rPr>
                <w:color w:val="auto"/>
                <w:highlight w:val="none"/>
              </w:rPr>
            </w:pPr>
          </w:p>
          <w:p w14:paraId="6337B9C8">
            <w:pPr>
              <w:pStyle w:val="56"/>
              <w:rPr>
                <w:color w:val="auto"/>
                <w:highlight w:val="none"/>
              </w:rPr>
            </w:pPr>
            <w:r>
              <w:rPr>
                <w:rFonts w:hint="eastAsia"/>
                <w:color w:val="auto"/>
                <w:highlight w:val="none"/>
              </w:rPr>
              <w:t>其他符合性分析</w:t>
            </w:r>
          </w:p>
          <w:p w14:paraId="6BDF113C">
            <w:pPr>
              <w:pStyle w:val="56"/>
              <w:rPr>
                <w:color w:val="auto"/>
                <w:highlight w:val="none"/>
              </w:rPr>
            </w:pPr>
          </w:p>
          <w:p w14:paraId="67A513FE">
            <w:pPr>
              <w:pStyle w:val="56"/>
              <w:rPr>
                <w:color w:val="auto"/>
                <w:highlight w:val="none"/>
              </w:rPr>
            </w:pPr>
          </w:p>
          <w:p w14:paraId="42FCF860">
            <w:pPr>
              <w:pStyle w:val="56"/>
              <w:rPr>
                <w:color w:val="auto"/>
                <w:highlight w:val="none"/>
              </w:rPr>
            </w:pPr>
          </w:p>
          <w:p w14:paraId="7DD15370">
            <w:pPr>
              <w:pStyle w:val="56"/>
              <w:rPr>
                <w:color w:val="auto"/>
                <w:highlight w:val="none"/>
              </w:rPr>
            </w:pPr>
          </w:p>
          <w:p w14:paraId="627AE459">
            <w:pPr>
              <w:pStyle w:val="56"/>
              <w:rPr>
                <w:color w:val="auto"/>
                <w:highlight w:val="none"/>
              </w:rPr>
            </w:pPr>
          </w:p>
          <w:p w14:paraId="1F97237E">
            <w:pPr>
              <w:pStyle w:val="56"/>
              <w:rPr>
                <w:color w:val="auto"/>
                <w:highlight w:val="none"/>
              </w:rPr>
            </w:pPr>
          </w:p>
          <w:p w14:paraId="0439679A">
            <w:pPr>
              <w:pStyle w:val="56"/>
              <w:rPr>
                <w:color w:val="auto"/>
                <w:highlight w:val="none"/>
              </w:rPr>
            </w:pPr>
          </w:p>
          <w:p w14:paraId="294835B8">
            <w:pPr>
              <w:pStyle w:val="56"/>
              <w:rPr>
                <w:color w:val="auto"/>
                <w:highlight w:val="none"/>
              </w:rPr>
            </w:pPr>
          </w:p>
          <w:p w14:paraId="5241A537">
            <w:pPr>
              <w:pStyle w:val="56"/>
              <w:rPr>
                <w:color w:val="auto"/>
                <w:highlight w:val="none"/>
              </w:rPr>
            </w:pPr>
          </w:p>
          <w:p w14:paraId="3B6C12DC">
            <w:pPr>
              <w:pStyle w:val="56"/>
              <w:rPr>
                <w:color w:val="auto"/>
                <w:highlight w:val="none"/>
              </w:rPr>
            </w:pPr>
          </w:p>
          <w:p w14:paraId="3C1C60A2">
            <w:pPr>
              <w:pStyle w:val="56"/>
              <w:rPr>
                <w:color w:val="auto"/>
                <w:highlight w:val="none"/>
              </w:rPr>
            </w:pPr>
          </w:p>
          <w:p w14:paraId="27B3F11B">
            <w:pPr>
              <w:pStyle w:val="56"/>
              <w:rPr>
                <w:color w:val="auto"/>
                <w:highlight w:val="none"/>
              </w:rPr>
            </w:pPr>
          </w:p>
          <w:p w14:paraId="3D3572DF">
            <w:pPr>
              <w:pStyle w:val="56"/>
              <w:rPr>
                <w:color w:val="auto"/>
                <w:highlight w:val="none"/>
              </w:rPr>
            </w:pPr>
          </w:p>
          <w:p w14:paraId="4684BB97">
            <w:pPr>
              <w:pStyle w:val="56"/>
              <w:rPr>
                <w:color w:val="auto"/>
                <w:highlight w:val="none"/>
              </w:rPr>
            </w:pPr>
          </w:p>
          <w:p w14:paraId="6D1D5CE1">
            <w:pPr>
              <w:pStyle w:val="56"/>
              <w:rPr>
                <w:color w:val="auto"/>
                <w:highlight w:val="none"/>
              </w:rPr>
            </w:pPr>
          </w:p>
          <w:p w14:paraId="1A811974">
            <w:pPr>
              <w:pStyle w:val="56"/>
              <w:rPr>
                <w:color w:val="auto"/>
                <w:highlight w:val="none"/>
              </w:rPr>
            </w:pPr>
          </w:p>
          <w:p w14:paraId="65BA3867">
            <w:pPr>
              <w:pStyle w:val="56"/>
              <w:rPr>
                <w:color w:val="auto"/>
                <w:highlight w:val="none"/>
              </w:rPr>
            </w:pPr>
          </w:p>
          <w:p w14:paraId="3412A946">
            <w:pPr>
              <w:pStyle w:val="56"/>
              <w:rPr>
                <w:color w:val="auto"/>
                <w:highlight w:val="none"/>
              </w:rPr>
            </w:pPr>
          </w:p>
          <w:p w14:paraId="4AF4C4CF">
            <w:pPr>
              <w:pStyle w:val="56"/>
              <w:rPr>
                <w:color w:val="auto"/>
                <w:highlight w:val="none"/>
              </w:rPr>
            </w:pPr>
          </w:p>
          <w:p w14:paraId="2B2F25FF">
            <w:pPr>
              <w:pStyle w:val="56"/>
              <w:rPr>
                <w:color w:val="auto"/>
                <w:highlight w:val="none"/>
              </w:rPr>
            </w:pPr>
          </w:p>
          <w:p w14:paraId="4AD17796">
            <w:pPr>
              <w:pStyle w:val="56"/>
              <w:rPr>
                <w:color w:val="auto"/>
                <w:highlight w:val="none"/>
              </w:rPr>
            </w:pPr>
          </w:p>
          <w:p w14:paraId="60E58810">
            <w:pPr>
              <w:pStyle w:val="56"/>
              <w:rPr>
                <w:color w:val="auto"/>
                <w:highlight w:val="none"/>
              </w:rPr>
            </w:pPr>
          </w:p>
          <w:p w14:paraId="60A1AE18">
            <w:pPr>
              <w:pStyle w:val="56"/>
              <w:rPr>
                <w:color w:val="auto"/>
                <w:highlight w:val="none"/>
              </w:rPr>
            </w:pPr>
          </w:p>
          <w:p w14:paraId="35A0B838">
            <w:pPr>
              <w:pStyle w:val="56"/>
              <w:rPr>
                <w:color w:val="auto"/>
                <w:highlight w:val="none"/>
              </w:rPr>
            </w:pPr>
          </w:p>
          <w:p w14:paraId="71C80C97">
            <w:pPr>
              <w:pStyle w:val="56"/>
              <w:rPr>
                <w:color w:val="auto"/>
                <w:highlight w:val="none"/>
              </w:rPr>
            </w:pPr>
          </w:p>
          <w:p w14:paraId="2297EB4D">
            <w:pPr>
              <w:pStyle w:val="56"/>
              <w:rPr>
                <w:color w:val="auto"/>
                <w:highlight w:val="none"/>
              </w:rPr>
            </w:pPr>
          </w:p>
          <w:p w14:paraId="392AB8EC">
            <w:pPr>
              <w:pStyle w:val="56"/>
              <w:rPr>
                <w:color w:val="auto"/>
                <w:highlight w:val="none"/>
              </w:rPr>
            </w:pPr>
          </w:p>
          <w:p w14:paraId="3705084E">
            <w:pPr>
              <w:pStyle w:val="56"/>
              <w:rPr>
                <w:color w:val="auto"/>
                <w:highlight w:val="none"/>
              </w:rPr>
            </w:pPr>
          </w:p>
          <w:p w14:paraId="571C789E">
            <w:pPr>
              <w:pStyle w:val="56"/>
              <w:rPr>
                <w:color w:val="auto"/>
                <w:highlight w:val="none"/>
              </w:rPr>
            </w:pPr>
          </w:p>
          <w:p w14:paraId="7A4C2EE5">
            <w:pPr>
              <w:pStyle w:val="56"/>
              <w:rPr>
                <w:color w:val="auto"/>
                <w:highlight w:val="none"/>
              </w:rPr>
            </w:pPr>
          </w:p>
          <w:p w14:paraId="57AFFDCD">
            <w:pPr>
              <w:pStyle w:val="56"/>
              <w:rPr>
                <w:color w:val="auto"/>
                <w:highlight w:val="none"/>
              </w:rPr>
            </w:pPr>
          </w:p>
          <w:p w14:paraId="15A88FFF">
            <w:pPr>
              <w:pStyle w:val="56"/>
              <w:rPr>
                <w:color w:val="auto"/>
                <w:highlight w:val="none"/>
              </w:rPr>
            </w:pPr>
          </w:p>
          <w:p w14:paraId="7EA8DA09">
            <w:pPr>
              <w:pStyle w:val="56"/>
              <w:rPr>
                <w:color w:val="auto"/>
                <w:highlight w:val="none"/>
              </w:rPr>
            </w:pPr>
          </w:p>
          <w:p w14:paraId="2EC19883">
            <w:pPr>
              <w:pStyle w:val="56"/>
              <w:rPr>
                <w:color w:val="auto"/>
                <w:highlight w:val="none"/>
              </w:rPr>
            </w:pPr>
          </w:p>
          <w:p w14:paraId="54049C33">
            <w:pPr>
              <w:pStyle w:val="56"/>
              <w:rPr>
                <w:color w:val="auto"/>
                <w:highlight w:val="none"/>
              </w:rPr>
            </w:pPr>
          </w:p>
          <w:p w14:paraId="4FE93CB9">
            <w:pPr>
              <w:pStyle w:val="56"/>
              <w:rPr>
                <w:color w:val="auto"/>
                <w:highlight w:val="none"/>
              </w:rPr>
            </w:pPr>
          </w:p>
          <w:p w14:paraId="41CB6A23">
            <w:pPr>
              <w:pStyle w:val="56"/>
              <w:rPr>
                <w:color w:val="auto"/>
                <w:highlight w:val="none"/>
              </w:rPr>
            </w:pPr>
          </w:p>
          <w:p w14:paraId="33B38DE4">
            <w:pPr>
              <w:pStyle w:val="56"/>
              <w:rPr>
                <w:color w:val="auto"/>
                <w:highlight w:val="none"/>
              </w:rPr>
            </w:pPr>
          </w:p>
          <w:p w14:paraId="0A57411E">
            <w:pPr>
              <w:pStyle w:val="56"/>
              <w:rPr>
                <w:color w:val="auto"/>
                <w:highlight w:val="none"/>
              </w:rPr>
            </w:pPr>
          </w:p>
          <w:p w14:paraId="5069D4D8">
            <w:pPr>
              <w:pStyle w:val="56"/>
              <w:rPr>
                <w:color w:val="auto"/>
                <w:highlight w:val="none"/>
              </w:rPr>
            </w:pPr>
          </w:p>
          <w:p w14:paraId="07173E1C">
            <w:pPr>
              <w:pStyle w:val="56"/>
              <w:rPr>
                <w:color w:val="auto"/>
                <w:highlight w:val="none"/>
              </w:rPr>
            </w:pPr>
          </w:p>
          <w:p w14:paraId="21B67145">
            <w:pPr>
              <w:pStyle w:val="56"/>
              <w:rPr>
                <w:color w:val="auto"/>
                <w:highlight w:val="none"/>
              </w:rPr>
            </w:pPr>
          </w:p>
          <w:p w14:paraId="6F242746">
            <w:pPr>
              <w:pStyle w:val="56"/>
              <w:rPr>
                <w:color w:val="auto"/>
                <w:highlight w:val="none"/>
              </w:rPr>
            </w:pPr>
          </w:p>
          <w:p w14:paraId="5903A602">
            <w:pPr>
              <w:pStyle w:val="56"/>
              <w:rPr>
                <w:color w:val="auto"/>
                <w:highlight w:val="none"/>
              </w:rPr>
            </w:pPr>
          </w:p>
          <w:p w14:paraId="7C04850C">
            <w:pPr>
              <w:pStyle w:val="56"/>
              <w:rPr>
                <w:color w:val="auto"/>
                <w:highlight w:val="none"/>
              </w:rPr>
            </w:pPr>
          </w:p>
          <w:p w14:paraId="547113E5">
            <w:pPr>
              <w:pStyle w:val="56"/>
              <w:rPr>
                <w:color w:val="auto"/>
                <w:highlight w:val="none"/>
              </w:rPr>
            </w:pPr>
          </w:p>
          <w:p w14:paraId="11151FD2">
            <w:pPr>
              <w:pStyle w:val="56"/>
              <w:rPr>
                <w:color w:val="auto"/>
                <w:highlight w:val="none"/>
              </w:rPr>
            </w:pPr>
            <w:r>
              <w:rPr>
                <w:rFonts w:hint="eastAsia"/>
                <w:color w:val="auto"/>
                <w:highlight w:val="none"/>
              </w:rPr>
              <w:t>其他符合性分析</w:t>
            </w:r>
          </w:p>
          <w:p w14:paraId="727276C8">
            <w:pPr>
              <w:pStyle w:val="56"/>
              <w:rPr>
                <w:color w:val="auto"/>
                <w:highlight w:val="none"/>
              </w:rPr>
            </w:pPr>
          </w:p>
          <w:p w14:paraId="2C43B90A">
            <w:pPr>
              <w:pStyle w:val="56"/>
              <w:rPr>
                <w:color w:val="auto"/>
                <w:highlight w:val="none"/>
              </w:rPr>
            </w:pPr>
          </w:p>
          <w:p w14:paraId="3D1E7B24">
            <w:pPr>
              <w:pStyle w:val="56"/>
              <w:rPr>
                <w:color w:val="auto"/>
                <w:highlight w:val="none"/>
              </w:rPr>
            </w:pPr>
          </w:p>
          <w:p w14:paraId="5566EAFE">
            <w:pPr>
              <w:pStyle w:val="56"/>
              <w:rPr>
                <w:color w:val="auto"/>
                <w:highlight w:val="none"/>
              </w:rPr>
            </w:pPr>
          </w:p>
          <w:p w14:paraId="68520716">
            <w:pPr>
              <w:pStyle w:val="56"/>
              <w:rPr>
                <w:color w:val="auto"/>
                <w:highlight w:val="none"/>
              </w:rPr>
            </w:pPr>
          </w:p>
          <w:p w14:paraId="2DE6B7A7">
            <w:pPr>
              <w:pStyle w:val="56"/>
              <w:rPr>
                <w:color w:val="auto"/>
                <w:highlight w:val="none"/>
              </w:rPr>
            </w:pPr>
          </w:p>
          <w:p w14:paraId="07204149">
            <w:pPr>
              <w:pStyle w:val="56"/>
              <w:rPr>
                <w:color w:val="auto"/>
                <w:highlight w:val="none"/>
              </w:rPr>
            </w:pPr>
          </w:p>
          <w:p w14:paraId="7B754929">
            <w:pPr>
              <w:pStyle w:val="56"/>
              <w:rPr>
                <w:color w:val="auto"/>
                <w:highlight w:val="none"/>
              </w:rPr>
            </w:pPr>
          </w:p>
          <w:p w14:paraId="5D849A36">
            <w:pPr>
              <w:pStyle w:val="56"/>
              <w:rPr>
                <w:color w:val="auto"/>
                <w:highlight w:val="none"/>
              </w:rPr>
            </w:pPr>
          </w:p>
          <w:p w14:paraId="431CEE3F">
            <w:pPr>
              <w:pStyle w:val="56"/>
              <w:rPr>
                <w:color w:val="auto"/>
                <w:highlight w:val="none"/>
              </w:rPr>
            </w:pPr>
          </w:p>
          <w:p w14:paraId="47ECBE8D">
            <w:pPr>
              <w:pStyle w:val="56"/>
              <w:rPr>
                <w:color w:val="auto"/>
                <w:highlight w:val="none"/>
              </w:rPr>
            </w:pPr>
          </w:p>
          <w:p w14:paraId="605714FE">
            <w:pPr>
              <w:pStyle w:val="56"/>
              <w:rPr>
                <w:color w:val="auto"/>
                <w:highlight w:val="none"/>
              </w:rPr>
            </w:pPr>
          </w:p>
          <w:p w14:paraId="07CD3216">
            <w:pPr>
              <w:pStyle w:val="56"/>
              <w:rPr>
                <w:color w:val="auto"/>
                <w:highlight w:val="none"/>
              </w:rPr>
            </w:pPr>
          </w:p>
          <w:p w14:paraId="6607395A">
            <w:pPr>
              <w:pStyle w:val="56"/>
              <w:rPr>
                <w:color w:val="auto"/>
                <w:highlight w:val="none"/>
              </w:rPr>
            </w:pPr>
          </w:p>
          <w:p w14:paraId="3E3016D9">
            <w:pPr>
              <w:pStyle w:val="56"/>
              <w:rPr>
                <w:color w:val="auto"/>
                <w:highlight w:val="none"/>
              </w:rPr>
            </w:pPr>
          </w:p>
          <w:p w14:paraId="55E964EA">
            <w:pPr>
              <w:pStyle w:val="56"/>
              <w:rPr>
                <w:color w:val="auto"/>
                <w:highlight w:val="none"/>
              </w:rPr>
            </w:pPr>
          </w:p>
          <w:p w14:paraId="75D135ED">
            <w:pPr>
              <w:pStyle w:val="56"/>
              <w:rPr>
                <w:color w:val="auto"/>
                <w:highlight w:val="none"/>
              </w:rPr>
            </w:pPr>
          </w:p>
          <w:p w14:paraId="760ECBE4">
            <w:pPr>
              <w:pStyle w:val="56"/>
              <w:rPr>
                <w:color w:val="auto"/>
                <w:highlight w:val="none"/>
              </w:rPr>
            </w:pPr>
          </w:p>
          <w:p w14:paraId="30B0E157">
            <w:pPr>
              <w:pStyle w:val="56"/>
              <w:rPr>
                <w:color w:val="auto"/>
                <w:highlight w:val="none"/>
              </w:rPr>
            </w:pPr>
          </w:p>
          <w:p w14:paraId="0CC195A9">
            <w:pPr>
              <w:pStyle w:val="56"/>
              <w:rPr>
                <w:color w:val="auto"/>
                <w:highlight w:val="none"/>
              </w:rPr>
            </w:pPr>
          </w:p>
          <w:p w14:paraId="799719B5">
            <w:pPr>
              <w:pStyle w:val="56"/>
              <w:rPr>
                <w:color w:val="auto"/>
                <w:highlight w:val="none"/>
              </w:rPr>
            </w:pPr>
          </w:p>
          <w:p w14:paraId="34C22021">
            <w:pPr>
              <w:pStyle w:val="56"/>
              <w:rPr>
                <w:color w:val="auto"/>
                <w:highlight w:val="none"/>
              </w:rPr>
            </w:pPr>
          </w:p>
          <w:p w14:paraId="165750B5">
            <w:pPr>
              <w:pStyle w:val="56"/>
              <w:rPr>
                <w:color w:val="auto"/>
                <w:highlight w:val="none"/>
              </w:rPr>
            </w:pPr>
          </w:p>
          <w:p w14:paraId="2EBFE481">
            <w:pPr>
              <w:pStyle w:val="56"/>
              <w:rPr>
                <w:color w:val="auto"/>
                <w:highlight w:val="none"/>
              </w:rPr>
            </w:pPr>
          </w:p>
          <w:p w14:paraId="12ADFDE9">
            <w:pPr>
              <w:pStyle w:val="56"/>
              <w:rPr>
                <w:color w:val="auto"/>
                <w:highlight w:val="none"/>
              </w:rPr>
            </w:pPr>
          </w:p>
          <w:p w14:paraId="37F28D57">
            <w:pPr>
              <w:pStyle w:val="56"/>
              <w:rPr>
                <w:color w:val="auto"/>
                <w:highlight w:val="none"/>
              </w:rPr>
            </w:pPr>
          </w:p>
          <w:p w14:paraId="6F251732">
            <w:pPr>
              <w:pStyle w:val="56"/>
              <w:rPr>
                <w:color w:val="auto"/>
                <w:highlight w:val="none"/>
              </w:rPr>
            </w:pPr>
          </w:p>
          <w:p w14:paraId="7CF7DC23">
            <w:pPr>
              <w:pStyle w:val="56"/>
              <w:rPr>
                <w:color w:val="auto"/>
                <w:highlight w:val="none"/>
              </w:rPr>
            </w:pPr>
          </w:p>
          <w:p w14:paraId="4BC51809">
            <w:pPr>
              <w:pStyle w:val="56"/>
              <w:rPr>
                <w:color w:val="auto"/>
                <w:highlight w:val="none"/>
              </w:rPr>
            </w:pPr>
          </w:p>
          <w:p w14:paraId="6337EBB5">
            <w:pPr>
              <w:pStyle w:val="56"/>
              <w:rPr>
                <w:color w:val="auto"/>
                <w:highlight w:val="none"/>
              </w:rPr>
            </w:pPr>
          </w:p>
          <w:p w14:paraId="735A61CE">
            <w:pPr>
              <w:pStyle w:val="56"/>
              <w:rPr>
                <w:color w:val="auto"/>
                <w:highlight w:val="none"/>
              </w:rPr>
            </w:pPr>
          </w:p>
          <w:p w14:paraId="6D6720FB">
            <w:pPr>
              <w:pStyle w:val="56"/>
              <w:rPr>
                <w:color w:val="auto"/>
                <w:highlight w:val="none"/>
              </w:rPr>
            </w:pPr>
          </w:p>
          <w:p w14:paraId="286934D9">
            <w:pPr>
              <w:pStyle w:val="56"/>
              <w:rPr>
                <w:color w:val="auto"/>
                <w:highlight w:val="none"/>
              </w:rPr>
            </w:pPr>
          </w:p>
          <w:p w14:paraId="671D1F74">
            <w:pPr>
              <w:pStyle w:val="56"/>
              <w:rPr>
                <w:color w:val="auto"/>
                <w:highlight w:val="none"/>
              </w:rPr>
            </w:pPr>
          </w:p>
          <w:p w14:paraId="634C8EF0">
            <w:pPr>
              <w:pStyle w:val="56"/>
              <w:rPr>
                <w:color w:val="auto"/>
                <w:highlight w:val="none"/>
              </w:rPr>
            </w:pPr>
          </w:p>
          <w:p w14:paraId="0B147950">
            <w:pPr>
              <w:pStyle w:val="56"/>
              <w:rPr>
                <w:color w:val="auto"/>
                <w:highlight w:val="none"/>
              </w:rPr>
            </w:pPr>
          </w:p>
          <w:p w14:paraId="2B7EA9A9">
            <w:pPr>
              <w:pStyle w:val="56"/>
              <w:rPr>
                <w:color w:val="auto"/>
                <w:highlight w:val="none"/>
              </w:rPr>
            </w:pPr>
          </w:p>
          <w:p w14:paraId="353F89B1">
            <w:pPr>
              <w:pStyle w:val="56"/>
              <w:rPr>
                <w:color w:val="auto"/>
                <w:highlight w:val="none"/>
              </w:rPr>
            </w:pPr>
          </w:p>
          <w:p w14:paraId="61922836">
            <w:pPr>
              <w:pStyle w:val="56"/>
              <w:rPr>
                <w:color w:val="auto"/>
                <w:highlight w:val="none"/>
              </w:rPr>
            </w:pPr>
          </w:p>
          <w:p w14:paraId="3F1D8273">
            <w:pPr>
              <w:pStyle w:val="56"/>
              <w:rPr>
                <w:color w:val="auto"/>
                <w:highlight w:val="none"/>
              </w:rPr>
            </w:pPr>
          </w:p>
          <w:p w14:paraId="6A223FA8">
            <w:pPr>
              <w:pStyle w:val="56"/>
              <w:rPr>
                <w:color w:val="auto"/>
                <w:highlight w:val="none"/>
              </w:rPr>
            </w:pPr>
          </w:p>
          <w:p w14:paraId="3EF0ED9E">
            <w:pPr>
              <w:pStyle w:val="56"/>
              <w:rPr>
                <w:color w:val="auto"/>
                <w:highlight w:val="none"/>
              </w:rPr>
            </w:pPr>
          </w:p>
          <w:p w14:paraId="3BD89B38">
            <w:pPr>
              <w:pStyle w:val="56"/>
              <w:rPr>
                <w:color w:val="auto"/>
                <w:highlight w:val="none"/>
              </w:rPr>
            </w:pPr>
          </w:p>
          <w:p w14:paraId="7FC77E7E">
            <w:pPr>
              <w:pStyle w:val="56"/>
              <w:rPr>
                <w:color w:val="auto"/>
                <w:highlight w:val="none"/>
              </w:rPr>
            </w:pPr>
          </w:p>
          <w:p w14:paraId="234CAF19">
            <w:pPr>
              <w:pStyle w:val="56"/>
              <w:rPr>
                <w:color w:val="auto"/>
                <w:highlight w:val="none"/>
              </w:rPr>
            </w:pPr>
          </w:p>
          <w:p w14:paraId="4FE6075B">
            <w:pPr>
              <w:pStyle w:val="56"/>
              <w:rPr>
                <w:color w:val="auto"/>
                <w:highlight w:val="none"/>
              </w:rPr>
            </w:pPr>
          </w:p>
          <w:p w14:paraId="46B50D84">
            <w:pPr>
              <w:pStyle w:val="56"/>
              <w:rPr>
                <w:color w:val="auto"/>
                <w:highlight w:val="none"/>
              </w:rPr>
            </w:pPr>
            <w:r>
              <w:rPr>
                <w:rFonts w:hint="eastAsia"/>
                <w:color w:val="auto"/>
                <w:highlight w:val="none"/>
              </w:rPr>
              <w:t>其他符合性分析</w:t>
            </w:r>
          </w:p>
          <w:p w14:paraId="2AD46A87">
            <w:pPr>
              <w:pStyle w:val="56"/>
              <w:rPr>
                <w:color w:val="auto"/>
                <w:highlight w:val="none"/>
              </w:rPr>
            </w:pPr>
          </w:p>
          <w:p w14:paraId="32079443">
            <w:pPr>
              <w:pStyle w:val="56"/>
              <w:rPr>
                <w:color w:val="auto"/>
                <w:highlight w:val="none"/>
              </w:rPr>
            </w:pPr>
          </w:p>
          <w:p w14:paraId="67CF924C">
            <w:pPr>
              <w:pStyle w:val="56"/>
              <w:rPr>
                <w:color w:val="auto"/>
                <w:highlight w:val="none"/>
              </w:rPr>
            </w:pPr>
          </w:p>
          <w:p w14:paraId="212C6426">
            <w:pPr>
              <w:pStyle w:val="56"/>
              <w:rPr>
                <w:color w:val="auto"/>
                <w:highlight w:val="none"/>
              </w:rPr>
            </w:pPr>
          </w:p>
          <w:p w14:paraId="3F0AC6EB">
            <w:pPr>
              <w:pStyle w:val="56"/>
              <w:rPr>
                <w:color w:val="auto"/>
                <w:highlight w:val="none"/>
              </w:rPr>
            </w:pPr>
          </w:p>
          <w:p w14:paraId="1B7DF94B">
            <w:pPr>
              <w:pStyle w:val="56"/>
              <w:rPr>
                <w:color w:val="auto"/>
                <w:highlight w:val="none"/>
              </w:rPr>
            </w:pPr>
          </w:p>
          <w:p w14:paraId="4AD17681">
            <w:pPr>
              <w:pStyle w:val="56"/>
              <w:rPr>
                <w:color w:val="auto"/>
                <w:highlight w:val="none"/>
              </w:rPr>
            </w:pPr>
          </w:p>
          <w:p w14:paraId="60BC1EE9">
            <w:pPr>
              <w:pStyle w:val="56"/>
              <w:rPr>
                <w:color w:val="auto"/>
                <w:highlight w:val="none"/>
              </w:rPr>
            </w:pPr>
          </w:p>
          <w:p w14:paraId="2BFAA7A3">
            <w:pPr>
              <w:pStyle w:val="56"/>
              <w:rPr>
                <w:color w:val="auto"/>
                <w:highlight w:val="none"/>
              </w:rPr>
            </w:pPr>
          </w:p>
          <w:p w14:paraId="49FDEDA2">
            <w:pPr>
              <w:pStyle w:val="56"/>
              <w:rPr>
                <w:color w:val="auto"/>
                <w:highlight w:val="none"/>
              </w:rPr>
            </w:pPr>
          </w:p>
          <w:p w14:paraId="2D923C64">
            <w:pPr>
              <w:pStyle w:val="56"/>
              <w:rPr>
                <w:color w:val="auto"/>
                <w:highlight w:val="none"/>
              </w:rPr>
            </w:pPr>
          </w:p>
          <w:p w14:paraId="5E238851">
            <w:pPr>
              <w:pStyle w:val="56"/>
              <w:rPr>
                <w:color w:val="auto"/>
                <w:highlight w:val="none"/>
              </w:rPr>
            </w:pPr>
          </w:p>
          <w:p w14:paraId="143169EA">
            <w:pPr>
              <w:pStyle w:val="56"/>
              <w:rPr>
                <w:color w:val="auto"/>
                <w:highlight w:val="none"/>
              </w:rPr>
            </w:pPr>
          </w:p>
          <w:p w14:paraId="46B8EB5B">
            <w:pPr>
              <w:pStyle w:val="56"/>
              <w:rPr>
                <w:color w:val="auto"/>
                <w:highlight w:val="none"/>
              </w:rPr>
            </w:pPr>
          </w:p>
          <w:p w14:paraId="3F29E87C">
            <w:pPr>
              <w:pStyle w:val="56"/>
              <w:rPr>
                <w:color w:val="auto"/>
                <w:highlight w:val="none"/>
              </w:rPr>
            </w:pPr>
          </w:p>
          <w:p w14:paraId="45C8C280">
            <w:pPr>
              <w:pStyle w:val="56"/>
              <w:rPr>
                <w:color w:val="auto"/>
                <w:highlight w:val="none"/>
              </w:rPr>
            </w:pPr>
          </w:p>
          <w:p w14:paraId="41DA8017">
            <w:pPr>
              <w:pStyle w:val="56"/>
              <w:rPr>
                <w:color w:val="auto"/>
                <w:highlight w:val="none"/>
              </w:rPr>
            </w:pPr>
          </w:p>
          <w:p w14:paraId="7670D927">
            <w:pPr>
              <w:pStyle w:val="56"/>
              <w:rPr>
                <w:color w:val="auto"/>
                <w:highlight w:val="none"/>
              </w:rPr>
            </w:pPr>
          </w:p>
          <w:p w14:paraId="6247B576">
            <w:pPr>
              <w:pStyle w:val="56"/>
              <w:rPr>
                <w:color w:val="auto"/>
                <w:highlight w:val="none"/>
              </w:rPr>
            </w:pPr>
          </w:p>
          <w:p w14:paraId="7409594A">
            <w:pPr>
              <w:pStyle w:val="56"/>
              <w:rPr>
                <w:color w:val="auto"/>
                <w:highlight w:val="none"/>
              </w:rPr>
            </w:pPr>
          </w:p>
          <w:p w14:paraId="25B35B87">
            <w:pPr>
              <w:pStyle w:val="56"/>
              <w:rPr>
                <w:color w:val="auto"/>
                <w:highlight w:val="none"/>
              </w:rPr>
            </w:pPr>
          </w:p>
          <w:p w14:paraId="6CCB1664">
            <w:pPr>
              <w:pStyle w:val="56"/>
              <w:rPr>
                <w:color w:val="auto"/>
                <w:highlight w:val="none"/>
              </w:rPr>
            </w:pPr>
          </w:p>
          <w:p w14:paraId="4626FE0D">
            <w:pPr>
              <w:pStyle w:val="56"/>
              <w:rPr>
                <w:color w:val="auto"/>
                <w:highlight w:val="none"/>
              </w:rPr>
            </w:pPr>
          </w:p>
          <w:p w14:paraId="60ED1F26">
            <w:pPr>
              <w:pStyle w:val="56"/>
              <w:rPr>
                <w:color w:val="auto"/>
                <w:highlight w:val="none"/>
              </w:rPr>
            </w:pPr>
          </w:p>
          <w:p w14:paraId="03D0DA43">
            <w:pPr>
              <w:pStyle w:val="56"/>
              <w:rPr>
                <w:color w:val="auto"/>
                <w:highlight w:val="none"/>
              </w:rPr>
            </w:pPr>
          </w:p>
          <w:p w14:paraId="7E51ED90">
            <w:pPr>
              <w:pStyle w:val="56"/>
              <w:rPr>
                <w:color w:val="auto"/>
                <w:highlight w:val="none"/>
              </w:rPr>
            </w:pPr>
          </w:p>
          <w:p w14:paraId="2813BA7B">
            <w:pPr>
              <w:pStyle w:val="56"/>
              <w:rPr>
                <w:color w:val="auto"/>
                <w:highlight w:val="none"/>
              </w:rPr>
            </w:pPr>
          </w:p>
          <w:p w14:paraId="17E5BC41">
            <w:pPr>
              <w:pStyle w:val="56"/>
              <w:rPr>
                <w:color w:val="auto"/>
                <w:highlight w:val="none"/>
              </w:rPr>
            </w:pPr>
          </w:p>
          <w:p w14:paraId="6373CC99">
            <w:pPr>
              <w:pStyle w:val="56"/>
              <w:rPr>
                <w:color w:val="auto"/>
                <w:highlight w:val="none"/>
              </w:rPr>
            </w:pPr>
          </w:p>
          <w:p w14:paraId="6C7CF241">
            <w:pPr>
              <w:pStyle w:val="56"/>
              <w:rPr>
                <w:color w:val="auto"/>
                <w:highlight w:val="none"/>
              </w:rPr>
            </w:pPr>
          </w:p>
          <w:p w14:paraId="10669E4E">
            <w:pPr>
              <w:pStyle w:val="56"/>
              <w:rPr>
                <w:color w:val="auto"/>
                <w:highlight w:val="none"/>
              </w:rPr>
            </w:pPr>
          </w:p>
          <w:p w14:paraId="4BD3BF06">
            <w:pPr>
              <w:pStyle w:val="56"/>
              <w:jc w:val="both"/>
              <w:rPr>
                <w:color w:val="auto"/>
                <w:highlight w:val="none"/>
              </w:rPr>
            </w:pPr>
          </w:p>
          <w:p w14:paraId="155414DC">
            <w:pPr>
              <w:pStyle w:val="56"/>
              <w:jc w:val="both"/>
              <w:rPr>
                <w:color w:val="auto"/>
                <w:highlight w:val="none"/>
              </w:rPr>
            </w:pPr>
          </w:p>
        </w:tc>
        <w:tc>
          <w:tcPr>
            <w:tcW w:w="7791" w:type="dxa"/>
            <w:gridSpan w:val="4"/>
            <w:vAlign w:val="center"/>
          </w:tcPr>
          <w:p w14:paraId="55B100EE">
            <w:pPr>
              <w:pStyle w:val="3"/>
              <w:rPr>
                <w:color w:val="auto"/>
                <w:highlight w:val="none"/>
              </w:rPr>
            </w:pPr>
            <w:r>
              <w:rPr>
                <w:rFonts w:hint="default" w:ascii="Times New Roman" w:hAnsi="Times New Roman" w:cs="Times New Roman"/>
                <w:color w:val="auto"/>
                <w:highlight w:val="none"/>
              </w:rPr>
              <w:t>1</w:t>
            </w:r>
            <w:r>
              <w:rPr>
                <w:rFonts w:hint="eastAsia"/>
                <w:color w:val="auto"/>
                <w:highlight w:val="none"/>
              </w:rPr>
              <w:t>产业政策符合性分析</w:t>
            </w:r>
          </w:p>
          <w:p w14:paraId="0C14C9CD">
            <w:pPr>
              <w:widowControl/>
              <w:ind w:firstLine="480"/>
              <w:jc w:val="both"/>
              <w:rPr>
                <w:rFonts w:hint="eastAsia"/>
                <w:color w:val="auto"/>
                <w:highlight w:val="none"/>
                <w:lang w:eastAsia="zh-CN"/>
              </w:rPr>
            </w:pPr>
            <w:r>
              <w:rPr>
                <w:rFonts w:hint="eastAsia"/>
                <w:color w:val="auto"/>
                <w:highlight w:val="none"/>
              </w:rPr>
              <w:t>对照《产业结构调整指导目录（2024年本）》</w:t>
            </w:r>
            <w:r>
              <w:rPr>
                <w:rFonts w:hint="eastAsia"/>
                <w:color w:val="auto"/>
                <w:highlight w:val="none"/>
                <w:lang w:eastAsia="zh-CN"/>
              </w:rPr>
              <w:t>，</w:t>
            </w:r>
            <w:r>
              <w:rPr>
                <w:rFonts w:hint="eastAsia"/>
                <w:color w:val="auto"/>
                <w:highlight w:val="none"/>
              </w:rPr>
              <w:t>属于“第一类鼓励类 四十二、环境保护与资源节约综合利用</w:t>
            </w:r>
            <w:r>
              <w:rPr>
                <w:rFonts w:hint="eastAsia"/>
                <w:color w:val="auto"/>
                <w:highlight w:val="none"/>
                <w:lang w:val="en-US" w:eastAsia="zh-CN"/>
              </w:rPr>
              <w:t>10.</w:t>
            </w:r>
            <w:r>
              <w:rPr>
                <w:rFonts w:hint="eastAsia"/>
                <w:color w:val="auto"/>
                <w:highlight w:val="none"/>
              </w:rPr>
              <w:t>工业“三废”循环利用”</w:t>
            </w:r>
            <w:r>
              <w:rPr>
                <w:rFonts w:hint="eastAsia"/>
                <w:color w:val="auto"/>
                <w:highlight w:val="none"/>
                <w:lang w:eastAsia="zh-CN"/>
              </w:rPr>
              <w:t>。</w:t>
            </w:r>
          </w:p>
          <w:p w14:paraId="027D8F78">
            <w:pPr>
              <w:widowControl/>
              <w:ind w:firstLine="480"/>
              <w:jc w:val="both"/>
              <w:rPr>
                <w:color w:val="auto"/>
                <w:highlight w:val="none"/>
              </w:rPr>
            </w:pPr>
            <w:r>
              <w:rPr>
                <w:rFonts w:hint="eastAsia"/>
                <w:color w:val="auto"/>
                <w:highlight w:val="none"/>
                <w:lang w:val="en-US" w:eastAsia="zh-CN"/>
              </w:rPr>
              <w:t>本项目由若羌县发展和改革委员会批准，</w:t>
            </w:r>
            <w:r>
              <w:rPr>
                <w:rFonts w:hint="eastAsia"/>
                <w:color w:val="auto"/>
                <w:highlight w:val="none"/>
              </w:rPr>
              <w:t>备案证号</w:t>
            </w:r>
            <w:r>
              <w:rPr>
                <w:rFonts w:hint="eastAsia"/>
                <w:color w:val="auto"/>
                <w:highlight w:val="none"/>
                <w:lang w:eastAsia="zh-CN"/>
              </w:rPr>
              <w:t>：</w:t>
            </w:r>
            <w:r>
              <w:rPr>
                <w:rFonts w:hint="eastAsia"/>
                <w:color w:val="auto"/>
                <w:highlight w:val="none"/>
              </w:rPr>
              <w:t>241014161865280000009</w:t>
            </w:r>
            <w:r>
              <w:rPr>
                <w:rFonts w:hint="eastAsia"/>
                <w:color w:val="auto"/>
                <w:highlight w:val="none"/>
                <w:lang w:val="en-US" w:eastAsia="zh-CN"/>
              </w:rPr>
              <w:t>1，</w:t>
            </w:r>
            <w:r>
              <w:rPr>
                <w:rFonts w:hint="eastAsia"/>
                <w:color w:val="auto"/>
                <w:highlight w:val="none"/>
              </w:rPr>
              <w:t>项目代码</w:t>
            </w:r>
            <w:r>
              <w:rPr>
                <w:rFonts w:hint="eastAsia"/>
                <w:color w:val="auto"/>
                <w:highlight w:val="none"/>
                <w:lang w:eastAsia="zh-CN"/>
              </w:rPr>
              <w:t>：</w:t>
            </w:r>
            <w:r>
              <w:rPr>
                <w:rFonts w:hint="eastAsia"/>
                <w:color w:val="auto"/>
                <w:highlight w:val="none"/>
              </w:rPr>
              <w:t>2410-652824-04-01-921096</w:t>
            </w:r>
            <w:r>
              <w:rPr>
                <w:rFonts w:hint="eastAsia"/>
                <w:color w:val="auto"/>
                <w:highlight w:val="none"/>
                <w:lang w:eastAsia="zh-CN"/>
              </w:rPr>
              <w:t>，</w:t>
            </w:r>
            <w:r>
              <w:rPr>
                <w:rFonts w:hint="eastAsia"/>
                <w:color w:val="auto"/>
                <w:highlight w:val="none"/>
              </w:rPr>
              <w:t>因此本项目建设符合现行国家产业政策。</w:t>
            </w:r>
          </w:p>
          <w:p w14:paraId="25F59C60">
            <w:pPr>
              <w:pStyle w:val="3"/>
              <w:rPr>
                <w:color w:val="auto"/>
                <w:highlight w:val="none"/>
              </w:rPr>
            </w:pPr>
            <w:r>
              <w:rPr>
                <w:rFonts w:hint="eastAsia" w:ascii="Times New Roman" w:hAnsi="Times New Roman" w:cs="Times New Roman"/>
                <w:color w:val="auto"/>
                <w:highlight w:val="none"/>
              </w:rPr>
              <w:t>2</w:t>
            </w:r>
            <w:r>
              <w:rPr>
                <w:rFonts w:hint="eastAsia"/>
                <w:color w:val="auto"/>
                <w:highlight w:val="none"/>
              </w:rPr>
              <w:t>“三线一单”符合性</w:t>
            </w:r>
          </w:p>
          <w:p w14:paraId="5A7CE80A">
            <w:pPr>
              <w:ind w:firstLine="480"/>
              <w:rPr>
                <w:color w:val="auto"/>
                <w:highlight w:val="none"/>
              </w:rPr>
            </w:pPr>
            <w:r>
              <w:rPr>
                <w:rFonts w:hint="eastAsia"/>
                <w:color w:val="auto"/>
                <w:highlight w:val="none"/>
              </w:rPr>
              <w:t>本项目与关于印发《关于印发&lt;新疆维吾尔自治区“三线一单”生态环境分区管控方案&gt;的通知》</w:t>
            </w:r>
            <w:r>
              <w:rPr>
                <w:rFonts w:hint="eastAsia"/>
                <w:color w:val="auto"/>
                <w:highlight w:val="none"/>
                <w:lang w:eastAsia="zh-CN"/>
              </w:rPr>
              <w:t>（</w:t>
            </w:r>
            <w:r>
              <w:rPr>
                <w:rFonts w:hint="eastAsia"/>
                <w:color w:val="auto"/>
                <w:highlight w:val="none"/>
              </w:rPr>
              <w:t>新政发</w:t>
            </w:r>
            <w:r>
              <w:rPr>
                <w:rFonts w:hint="eastAsia" w:ascii="宋体" w:hAnsi="宋体" w:eastAsia="宋体" w:cs="宋体"/>
                <w:color w:val="auto"/>
                <w:highlight w:val="none"/>
              </w:rPr>
              <w:t>〔</w:t>
            </w:r>
            <w:r>
              <w:rPr>
                <w:rFonts w:hint="eastAsia"/>
                <w:color w:val="auto"/>
                <w:highlight w:val="none"/>
              </w:rPr>
              <w:t>2021</w:t>
            </w:r>
            <w:r>
              <w:rPr>
                <w:rFonts w:hint="eastAsia" w:ascii="宋体" w:hAnsi="宋体" w:eastAsia="宋体" w:cs="宋体"/>
                <w:color w:val="auto"/>
                <w:highlight w:val="none"/>
              </w:rPr>
              <w:t>〕</w:t>
            </w:r>
            <w:r>
              <w:rPr>
                <w:rFonts w:hint="eastAsia"/>
                <w:color w:val="auto"/>
                <w:highlight w:val="none"/>
              </w:rPr>
              <w:t>18号</w:t>
            </w:r>
            <w:r>
              <w:rPr>
                <w:rFonts w:hint="eastAsia"/>
                <w:color w:val="auto"/>
                <w:highlight w:val="none"/>
                <w:lang w:eastAsia="zh-CN"/>
              </w:rPr>
              <w:t>）、</w:t>
            </w:r>
            <w:r>
              <w:rPr>
                <w:rFonts w:hint="eastAsia"/>
                <w:color w:val="auto"/>
                <w:highlight w:val="none"/>
              </w:rPr>
              <w:t>《新疆维吾尔自治区生态环境分区管控动态更新成果》的通知</w:t>
            </w:r>
            <w:r>
              <w:rPr>
                <w:rFonts w:hint="eastAsia"/>
                <w:color w:val="auto"/>
                <w:highlight w:val="none"/>
                <w:lang w:eastAsia="zh-CN"/>
              </w:rPr>
              <w:t>（</w:t>
            </w:r>
            <w:r>
              <w:rPr>
                <w:rFonts w:hint="eastAsia"/>
                <w:color w:val="auto"/>
                <w:highlight w:val="none"/>
              </w:rPr>
              <w:t>新</w:t>
            </w:r>
            <w:r>
              <w:rPr>
                <w:rFonts w:hint="eastAsia"/>
                <w:color w:val="auto"/>
                <w:highlight w:val="none"/>
                <w:lang w:val="en-US" w:eastAsia="zh-CN"/>
              </w:rPr>
              <w:t>环环评发</w:t>
            </w:r>
            <w:r>
              <w:rPr>
                <w:rFonts w:hint="eastAsia" w:ascii="宋体" w:hAnsi="宋体" w:eastAsia="宋体" w:cs="宋体"/>
                <w:color w:val="auto"/>
                <w:highlight w:val="none"/>
              </w:rPr>
              <w:t>〔</w:t>
            </w:r>
            <w:r>
              <w:rPr>
                <w:rFonts w:hint="eastAsia"/>
                <w:color w:val="auto"/>
                <w:highlight w:val="none"/>
              </w:rPr>
              <w:t>202</w:t>
            </w:r>
            <w:r>
              <w:rPr>
                <w:rFonts w:hint="eastAsia"/>
                <w:color w:val="auto"/>
                <w:highlight w:val="none"/>
                <w:lang w:val="en-US" w:eastAsia="zh-CN"/>
              </w:rPr>
              <w:t>4</w:t>
            </w:r>
            <w:r>
              <w:rPr>
                <w:rFonts w:hint="eastAsia" w:ascii="宋体" w:hAnsi="宋体" w:eastAsia="宋体" w:cs="宋体"/>
                <w:color w:val="auto"/>
                <w:highlight w:val="none"/>
              </w:rPr>
              <w:t>〕</w:t>
            </w:r>
            <w:r>
              <w:rPr>
                <w:rFonts w:hint="eastAsia"/>
                <w:color w:val="auto"/>
                <w:highlight w:val="none"/>
              </w:rPr>
              <w:t>1</w:t>
            </w:r>
            <w:r>
              <w:rPr>
                <w:rFonts w:hint="eastAsia"/>
                <w:color w:val="auto"/>
                <w:highlight w:val="none"/>
                <w:lang w:val="en-US" w:eastAsia="zh-CN"/>
              </w:rPr>
              <w:t>57</w:t>
            </w:r>
            <w:r>
              <w:rPr>
                <w:rFonts w:hint="eastAsia"/>
                <w:color w:val="auto"/>
                <w:highlight w:val="none"/>
              </w:rPr>
              <w:t>号</w:t>
            </w:r>
            <w:r>
              <w:rPr>
                <w:rFonts w:hint="eastAsia"/>
                <w:color w:val="auto"/>
                <w:highlight w:val="none"/>
                <w:lang w:eastAsia="zh-CN"/>
              </w:rPr>
              <w:t>）</w:t>
            </w:r>
            <w:r>
              <w:rPr>
                <w:rFonts w:hint="eastAsia"/>
                <w:color w:val="auto"/>
                <w:highlight w:val="none"/>
              </w:rPr>
              <w:t>、《巴音郭楞蒙古自治州生态环境准入清单</w:t>
            </w:r>
            <w:r>
              <w:rPr>
                <w:rFonts w:hint="eastAsia"/>
                <w:color w:val="auto"/>
                <w:highlight w:val="none"/>
                <w:lang w:eastAsia="zh-CN"/>
              </w:rPr>
              <w:t>（</w:t>
            </w:r>
            <w:r>
              <w:rPr>
                <w:rFonts w:hint="eastAsia"/>
                <w:color w:val="auto"/>
                <w:highlight w:val="none"/>
                <w:lang w:val="en-US" w:eastAsia="zh-CN"/>
              </w:rPr>
              <w:t>2023年）</w:t>
            </w:r>
            <w:r>
              <w:rPr>
                <w:rFonts w:hint="eastAsia"/>
                <w:color w:val="auto"/>
                <w:highlight w:val="none"/>
              </w:rPr>
              <w:t>》</w:t>
            </w:r>
            <w:r>
              <w:rPr>
                <w:rFonts w:hint="eastAsia"/>
                <w:highlight w:val="none"/>
                <w:lang w:eastAsia="zh-CN"/>
              </w:rPr>
              <w:t>（</w:t>
            </w:r>
            <w:r>
              <w:rPr>
                <w:rFonts w:hint="eastAsia"/>
                <w:highlight w:val="none"/>
                <w:lang w:val="en-US" w:eastAsia="zh-CN"/>
              </w:rPr>
              <w:t>巴政办发</w:t>
            </w:r>
            <w:r>
              <w:rPr>
                <w:rFonts w:hint="eastAsia" w:ascii="宋体" w:hAnsi="宋体" w:eastAsia="宋体" w:cs="宋体"/>
                <w:color w:val="auto"/>
                <w:highlight w:val="none"/>
              </w:rPr>
              <w:t>〔</w:t>
            </w:r>
            <w:r>
              <w:rPr>
                <w:rFonts w:hint="eastAsia"/>
                <w:highlight w:val="none"/>
                <w:lang w:val="en-US" w:eastAsia="zh-CN"/>
              </w:rPr>
              <w:t>2024</w:t>
            </w:r>
            <w:r>
              <w:rPr>
                <w:rFonts w:hint="eastAsia" w:ascii="宋体" w:hAnsi="宋体" w:eastAsia="宋体" w:cs="宋体"/>
                <w:color w:val="auto"/>
                <w:highlight w:val="none"/>
              </w:rPr>
              <w:t>〕</w:t>
            </w:r>
            <w:r>
              <w:rPr>
                <w:rFonts w:hint="eastAsia"/>
                <w:highlight w:val="none"/>
                <w:lang w:val="en-US" w:eastAsia="zh-CN"/>
              </w:rPr>
              <w:t>32号</w:t>
            </w:r>
            <w:r>
              <w:rPr>
                <w:rFonts w:hint="eastAsia"/>
                <w:highlight w:val="none"/>
                <w:lang w:eastAsia="zh-CN"/>
              </w:rPr>
              <w:t>）</w:t>
            </w:r>
            <w:r>
              <w:rPr>
                <w:rFonts w:hint="eastAsia"/>
                <w:color w:val="auto"/>
                <w:highlight w:val="none"/>
              </w:rPr>
              <w:t>中相关要求进行对比分析如下。</w:t>
            </w:r>
          </w:p>
          <w:p w14:paraId="04DEBE53">
            <w:pPr>
              <w:pStyle w:val="3"/>
              <w:rPr>
                <w:rFonts w:hint="eastAsia" w:hAnsi="宋体" w:cs="宋体"/>
                <w:color w:val="auto"/>
                <w:highlight w:val="none"/>
              </w:rPr>
            </w:pPr>
            <w:r>
              <w:rPr>
                <w:rFonts w:hint="default" w:ascii="Times New Roman" w:hAnsi="Times New Roman" w:cs="Times New Roman"/>
                <w:color w:val="auto"/>
                <w:highlight w:val="none"/>
              </w:rPr>
              <w:t>2.1</w:t>
            </w:r>
            <w:r>
              <w:rPr>
                <w:rFonts w:hint="eastAsia" w:hAnsi="宋体" w:cs="宋体"/>
                <w:color w:val="auto"/>
                <w:highlight w:val="none"/>
              </w:rPr>
              <w:t>与《新疆维吾尔自治区“三线一单”生态环境分区管控方案》符合性分析</w:t>
            </w:r>
          </w:p>
          <w:p w14:paraId="70381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表1-1《新疆维吾尔自治区“三线一单”生态环境分区管控方案》符合性分析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60"/>
              <w:gridCol w:w="3517"/>
              <w:gridCol w:w="2275"/>
              <w:gridCol w:w="803"/>
            </w:tblGrid>
            <w:tr w14:paraId="15A1C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962" w:type="pct"/>
                  <w:gridSpan w:val="2"/>
                  <w:vAlign w:val="center"/>
                </w:tcPr>
                <w:p w14:paraId="3403E9C9">
                  <w:pPr>
                    <w:pStyle w:val="55"/>
                    <w:rPr>
                      <w:color w:val="auto"/>
                      <w:highlight w:val="none"/>
                    </w:rPr>
                  </w:pPr>
                  <w:r>
                    <w:rPr>
                      <w:color w:val="auto"/>
                      <w:highlight w:val="none"/>
                    </w:rPr>
                    <w:t>管控要求</w:t>
                  </w:r>
                </w:p>
              </w:tc>
              <w:tc>
                <w:tcPr>
                  <w:tcW w:w="1505" w:type="pct"/>
                  <w:vAlign w:val="center"/>
                </w:tcPr>
                <w:p w14:paraId="152C892E">
                  <w:pPr>
                    <w:pStyle w:val="55"/>
                    <w:rPr>
                      <w:color w:val="auto"/>
                      <w:highlight w:val="none"/>
                    </w:rPr>
                  </w:pPr>
                  <w:r>
                    <w:rPr>
                      <w:color w:val="auto"/>
                      <w:highlight w:val="none"/>
                    </w:rPr>
                    <w:t>本项目相关内容</w:t>
                  </w:r>
                </w:p>
              </w:tc>
              <w:tc>
                <w:tcPr>
                  <w:tcW w:w="531" w:type="pct"/>
                  <w:vAlign w:val="center"/>
                </w:tcPr>
                <w:p w14:paraId="68977649">
                  <w:pPr>
                    <w:pStyle w:val="55"/>
                    <w:rPr>
                      <w:color w:val="auto"/>
                      <w:highlight w:val="none"/>
                    </w:rPr>
                  </w:pPr>
                  <w:r>
                    <w:rPr>
                      <w:color w:val="auto"/>
                      <w:highlight w:val="none"/>
                    </w:rPr>
                    <w:t>符合性</w:t>
                  </w:r>
                </w:p>
              </w:tc>
            </w:tr>
            <w:tr w14:paraId="06B00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5" w:type="pct"/>
                  <w:vAlign w:val="center"/>
                </w:tcPr>
                <w:p w14:paraId="796DB8EE">
                  <w:pPr>
                    <w:pStyle w:val="55"/>
                    <w:ind w:firstLine="0" w:firstLineChars="0"/>
                    <w:rPr>
                      <w:color w:val="auto"/>
                      <w:highlight w:val="none"/>
                    </w:rPr>
                  </w:pPr>
                  <w:r>
                    <w:rPr>
                      <w:color w:val="auto"/>
                      <w:highlight w:val="none"/>
                    </w:rPr>
                    <w:t>生态保护红线</w:t>
                  </w:r>
                </w:p>
              </w:tc>
              <w:tc>
                <w:tcPr>
                  <w:tcW w:w="2327" w:type="pct"/>
                  <w:vAlign w:val="center"/>
                </w:tcPr>
                <w:p w14:paraId="015C8178">
                  <w:pPr>
                    <w:pStyle w:val="55"/>
                    <w:ind w:firstLine="0" w:firstLineChars="0"/>
                    <w:rPr>
                      <w:color w:val="auto"/>
                      <w:highlight w:val="none"/>
                    </w:rPr>
                  </w:pPr>
                  <w:r>
                    <w:rPr>
                      <w:color w:val="auto"/>
                      <w:highlight w:val="none"/>
                    </w:rPr>
                    <w:t>按照“生态功能不降低、面积不减少、性质不改变”的基本要求，对划定的生态保护红线实施严格管控，保障和维护国家生态安全的底线和生命线</w:t>
                  </w:r>
                </w:p>
              </w:tc>
              <w:tc>
                <w:tcPr>
                  <w:tcW w:w="1505" w:type="pct"/>
                  <w:vAlign w:val="center"/>
                </w:tcPr>
                <w:p w14:paraId="54DF8793">
                  <w:pPr>
                    <w:pStyle w:val="55"/>
                    <w:ind w:firstLine="0" w:firstLineChars="0"/>
                    <w:rPr>
                      <w:rFonts w:hint="eastAsia" w:eastAsia="宋体"/>
                      <w:color w:val="auto"/>
                      <w:highlight w:val="none"/>
                      <w:lang w:val="en-US" w:eastAsia="zh-CN"/>
                    </w:rPr>
                  </w:pPr>
                  <w:r>
                    <w:rPr>
                      <w:color w:val="auto"/>
                      <w:highlight w:val="none"/>
                    </w:rPr>
                    <w:t>本项目不在生态保护红线范围内</w:t>
                  </w:r>
                </w:p>
              </w:tc>
              <w:tc>
                <w:tcPr>
                  <w:tcW w:w="531" w:type="pct"/>
                  <w:vAlign w:val="center"/>
                </w:tcPr>
                <w:p w14:paraId="1E60E7F9">
                  <w:pPr>
                    <w:pStyle w:val="55"/>
                    <w:rPr>
                      <w:color w:val="auto"/>
                      <w:highlight w:val="none"/>
                    </w:rPr>
                  </w:pPr>
                  <w:r>
                    <w:rPr>
                      <w:color w:val="auto"/>
                      <w:highlight w:val="none"/>
                    </w:rPr>
                    <w:t>符合</w:t>
                  </w:r>
                </w:p>
              </w:tc>
            </w:tr>
            <w:tr w14:paraId="64F48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35" w:type="pct"/>
                  <w:vAlign w:val="center"/>
                </w:tcPr>
                <w:p w14:paraId="2AA40800">
                  <w:pPr>
                    <w:pStyle w:val="55"/>
                    <w:ind w:firstLine="0" w:firstLineChars="0"/>
                    <w:rPr>
                      <w:color w:val="auto"/>
                      <w:highlight w:val="none"/>
                    </w:rPr>
                  </w:pPr>
                  <w:r>
                    <w:rPr>
                      <w:color w:val="auto"/>
                      <w:highlight w:val="none"/>
                    </w:rPr>
                    <w:t>环境质量底线</w:t>
                  </w:r>
                </w:p>
              </w:tc>
              <w:tc>
                <w:tcPr>
                  <w:tcW w:w="2327" w:type="pct"/>
                  <w:vAlign w:val="center"/>
                </w:tcPr>
                <w:p w14:paraId="71D3B686">
                  <w:pPr>
                    <w:pStyle w:val="55"/>
                    <w:ind w:firstLine="0" w:firstLineChars="0"/>
                    <w:rPr>
                      <w:color w:val="auto"/>
                      <w:highlight w:val="none"/>
                    </w:rPr>
                  </w:pPr>
                  <w:r>
                    <w:rPr>
                      <w:color w:val="auto"/>
                      <w:highlight w:val="none"/>
                    </w:rPr>
                    <w:t>全区水环境质量持续改善，受污染地表水体得到优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505" w:type="pct"/>
                  <w:vAlign w:val="center"/>
                </w:tcPr>
                <w:p w14:paraId="620E1A4E">
                  <w:pPr>
                    <w:pStyle w:val="55"/>
                    <w:ind w:firstLine="0" w:firstLineChars="0"/>
                    <w:rPr>
                      <w:rFonts w:hint="eastAsia" w:eastAsia="宋体"/>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项目营运期间污染物产生量较小，废气、废水、噪声均能达标排放，固废采取相应措施后可合理处置。</w:t>
                  </w:r>
                </w:p>
              </w:tc>
              <w:tc>
                <w:tcPr>
                  <w:tcW w:w="531" w:type="pct"/>
                  <w:vAlign w:val="center"/>
                </w:tcPr>
                <w:p w14:paraId="52140444">
                  <w:pPr>
                    <w:pStyle w:val="55"/>
                    <w:rPr>
                      <w:color w:val="auto"/>
                      <w:highlight w:val="none"/>
                    </w:rPr>
                  </w:pPr>
                  <w:r>
                    <w:rPr>
                      <w:color w:val="auto"/>
                      <w:highlight w:val="none"/>
                    </w:rPr>
                    <w:t>符合</w:t>
                  </w:r>
                </w:p>
              </w:tc>
            </w:tr>
            <w:tr w14:paraId="38CD4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35" w:type="pct"/>
                  <w:vAlign w:val="center"/>
                </w:tcPr>
                <w:p w14:paraId="14FA7167">
                  <w:pPr>
                    <w:pStyle w:val="55"/>
                    <w:ind w:firstLine="0" w:firstLineChars="0"/>
                    <w:rPr>
                      <w:color w:val="auto"/>
                      <w:highlight w:val="none"/>
                    </w:rPr>
                  </w:pPr>
                  <w:r>
                    <w:rPr>
                      <w:color w:val="auto"/>
                      <w:highlight w:val="none"/>
                    </w:rPr>
                    <w:t>资源利用上线</w:t>
                  </w:r>
                </w:p>
              </w:tc>
              <w:tc>
                <w:tcPr>
                  <w:tcW w:w="2327" w:type="pct"/>
                  <w:vAlign w:val="center"/>
                </w:tcPr>
                <w:p w14:paraId="66DD2660">
                  <w:pPr>
                    <w:pStyle w:val="55"/>
                    <w:ind w:firstLine="0" w:firstLineChars="0"/>
                    <w:rPr>
                      <w:rFonts w:hint="eastAsia" w:eastAsia="宋体"/>
                      <w:color w:val="auto"/>
                      <w:highlight w:val="none"/>
                      <w:lang w:eastAsia="zh-CN"/>
                    </w:rPr>
                  </w:pPr>
                  <w:r>
                    <w:rPr>
                      <w:color w:val="auto"/>
                      <w:highlight w:val="none"/>
                    </w:rPr>
                    <w:t>强化节约集约利用，持续提升资源能源利用效率，水资源、土地资源、能源消耗等达到国家、自治区下达的总量和强度控制目标</w:t>
                  </w:r>
                </w:p>
              </w:tc>
              <w:tc>
                <w:tcPr>
                  <w:tcW w:w="1505" w:type="pct"/>
                  <w:vAlign w:val="center"/>
                </w:tcPr>
                <w:p w14:paraId="4D16264A">
                  <w:pPr>
                    <w:pStyle w:val="55"/>
                    <w:ind w:firstLine="0" w:firstLineChars="0"/>
                    <w:rPr>
                      <w:color w:val="auto"/>
                      <w:highlight w:val="none"/>
                    </w:rPr>
                  </w:pPr>
                  <w:r>
                    <w:rPr>
                      <w:rFonts w:hint="default" w:ascii="Times New Roman" w:hAnsi="Times New Roman" w:eastAsia="宋体" w:cs="Times New Roman"/>
                      <w:color w:val="auto"/>
                      <w:kern w:val="0"/>
                      <w:sz w:val="21"/>
                      <w:szCs w:val="21"/>
                      <w:highlight w:val="none"/>
                      <w:lang w:val="en-US" w:eastAsia="zh-CN"/>
                    </w:rPr>
                    <w:t>项目运营过程中消耗一定的水资源、电能，</w:t>
                  </w:r>
                  <w:r>
                    <w:rPr>
                      <w:rFonts w:hint="eastAsia"/>
                      <w:color w:val="auto"/>
                      <w:highlight w:val="none"/>
                      <w:lang w:val="en-US" w:eastAsia="zh-CN"/>
                    </w:rPr>
                    <w:t>项目处置的一般工业固体废物</w:t>
                  </w:r>
                  <w:r>
                    <w:rPr>
                      <w:rFonts w:hint="default" w:ascii="Times New Roman" w:hAnsi="Times New Roman" w:eastAsia="宋体" w:cs="Times New Roman"/>
                      <w:color w:val="auto"/>
                      <w:kern w:val="0"/>
                      <w:sz w:val="21"/>
                      <w:szCs w:val="21"/>
                      <w:highlight w:val="none"/>
                      <w:lang w:val="en-US" w:eastAsia="zh-CN"/>
                    </w:rPr>
                    <w:t>资源消耗量相对区域资源利用总量较少。</w:t>
                  </w:r>
                </w:p>
              </w:tc>
              <w:tc>
                <w:tcPr>
                  <w:tcW w:w="531" w:type="pct"/>
                  <w:vAlign w:val="center"/>
                </w:tcPr>
                <w:p w14:paraId="65C7B08F">
                  <w:pPr>
                    <w:pStyle w:val="55"/>
                    <w:rPr>
                      <w:color w:val="auto"/>
                      <w:highlight w:val="none"/>
                    </w:rPr>
                  </w:pPr>
                  <w:r>
                    <w:rPr>
                      <w:color w:val="auto"/>
                      <w:highlight w:val="none"/>
                    </w:rPr>
                    <w:t>符合</w:t>
                  </w:r>
                </w:p>
              </w:tc>
            </w:tr>
            <w:tr w14:paraId="0B161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35" w:type="pct"/>
                  <w:tcBorders>
                    <w:bottom w:val="single" w:color="auto" w:sz="4" w:space="0"/>
                  </w:tcBorders>
                  <w:vAlign w:val="center"/>
                </w:tcPr>
                <w:p w14:paraId="3682B3CB">
                  <w:pPr>
                    <w:pStyle w:val="55"/>
                    <w:ind w:firstLine="0" w:firstLineChars="0"/>
                    <w:rPr>
                      <w:color w:val="auto"/>
                      <w:highlight w:val="none"/>
                    </w:rPr>
                  </w:pPr>
                  <w:r>
                    <w:rPr>
                      <w:color w:val="auto"/>
                      <w:highlight w:val="none"/>
                    </w:rPr>
                    <w:t>环境管控单元（</w:t>
                  </w:r>
                  <w:r>
                    <w:rPr>
                      <w:rFonts w:hint="eastAsia"/>
                      <w:color w:val="auto"/>
                      <w:highlight w:val="none"/>
                      <w:lang w:val="en-US" w:eastAsia="zh-CN"/>
                    </w:rPr>
                    <w:t>一般</w:t>
                  </w:r>
                  <w:r>
                    <w:rPr>
                      <w:color w:val="auto"/>
                      <w:highlight w:val="none"/>
                    </w:rPr>
                    <w:t>管控单元）</w:t>
                  </w:r>
                </w:p>
              </w:tc>
              <w:tc>
                <w:tcPr>
                  <w:tcW w:w="2327" w:type="pct"/>
                  <w:vAlign w:val="center"/>
                </w:tcPr>
                <w:p w14:paraId="4F3846E4">
                  <w:pPr>
                    <w:pStyle w:val="55"/>
                    <w:ind w:firstLine="0" w:firstLineChars="0"/>
                    <w:rPr>
                      <w:color w:val="auto"/>
                      <w:highlight w:val="none"/>
                    </w:rPr>
                  </w:pPr>
                  <w:r>
                    <w:rPr>
                      <w:color w:val="auto"/>
                      <w:highlight w:val="none"/>
                    </w:rPr>
                    <w:t>自治区划定环境管控单元，分为优先保护单元、重点管控单元和一般管控单元三类，实施分类管控。重点管控单元主要针对环境质量是否达标以及经济社会发展水平等因素，制定差别化的生态环境准入要求，对环境质量不达标区域，提出污染物削减比例要求，对环境质量达标区域，提出允许排放量建议指标</w:t>
                  </w:r>
                </w:p>
              </w:tc>
              <w:tc>
                <w:tcPr>
                  <w:tcW w:w="1505" w:type="pct"/>
                  <w:vAlign w:val="center"/>
                </w:tcPr>
                <w:p w14:paraId="3D0471FE">
                  <w:pPr>
                    <w:pStyle w:val="55"/>
                    <w:ind w:firstLine="0" w:firstLineChars="0"/>
                    <w:rPr>
                      <w:rFonts w:hint="eastAsia" w:eastAsia="宋体"/>
                      <w:color w:val="auto"/>
                      <w:highlight w:val="none"/>
                      <w:lang w:val="en-US" w:eastAsia="zh-CN"/>
                    </w:rPr>
                  </w:pPr>
                  <w:r>
                    <w:rPr>
                      <w:color w:val="auto"/>
                      <w:highlight w:val="none"/>
                    </w:rPr>
                    <w:t>本</w:t>
                  </w:r>
                  <w:r>
                    <w:rPr>
                      <w:rFonts w:hint="eastAsia"/>
                      <w:color w:val="auto"/>
                      <w:highlight w:val="none"/>
                    </w:rPr>
                    <w:t>项目</w:t>
                  </w:r>
                  <w:r>
                    <w:rPr>
                      <w:rFonts w:hint="eastAsia"/>
                      <w:color w:val="auto"/>
                      <w:highlight w:val="none"/>
                      <w:lang w:eastAsia="zh-CN"/>
                    </w:rPr>
                    <w:t>（</w:t>
                  </w:r>
                  <w:r>
                    <w:rPr>
                      <w:rFonts w:hint="eastAsia"/>
                      <w:color w:val="auto"/>
                      <w:highlight w:val="none"/>
                      <w:lang w:val="en-US" w:eastAsia="zh-CN"/>
                    </w:rPr>
                    <w:t>一般</w:t>
                  </w:r>
                  <w:r>
                    <w:rPr>
                      <w:color w:val="auto"/>
                      <w:highlight w:val="none"/>
                    </w:rPr>
                    <w:t>管控单元</w:t>
                  </w:r>
                  <w:r>
                    <w:rPr>
                      <w:rFonts w:hint="eastAsia"/>
                      <w:color w:val="auto"/>
                      <w:highlight w:val="none"/>
                      <w:lang w:eastAsia="zh-CN"/>
                    </w:rPr>
                    <w:t>）</w:t>
                  </w:r>
                  <w:r>
                    <w:rPr>
                      <w:color w:val="auto"/>
                      <w:highlight w:val="none"/>
                    </w:rPr>
                    <w:t>实施后通过采取完善的污染治理措施，不会对厂址周围大气环境、地表水环境、声环境、地下水、土壤环境产生明显影响</w:t>
                  </w:r>
                </w:p>
              </w:tc>
              <w:tc>
                <w:tcPr>
                  <w:tcW w:w="531" w:type="pct"/>
                  <w:vAlign w:val="center"/>
                </w:tcPr>
                <w:p w14:paraId="6E95FCF4">
                  <w:pPr>
                    <w:pStyle w:val="55"/>
                    <w:rPr>
                      <w:color w:val="auto"/>
                      <w:highlight w:val="none"/>
                    </w:rPr>
                  </w:pPr>
                  <w:r>
                    <w:rPr>
                      <w:color w:val="auto"/>
                      <w:highlight w:val="none"/>
                    </w:rPr>
                    <w:t>符合</w:t>
                  </w:r>
                </w:p>
              </w:tc>
            </w:tr>
          </w:tbl>
          <w:p w14:paraId="1963C532">
            <w:pPr>
              <w:pStyle w:val="3"/>
              <w:rPr>
                <w:color w:val="auto"/>
                <w:highlight w:val="none"/>
              </w:rPr>
            </w:pPr>
            <w:r>
              <w:rPr>
                <w:rFonts w:hint="default" w:ascii="Times New Roman" w:hAnsi="Times New Roman" w:cs="Times New Roman"/>
                <w:color w:val="auto"/>
                <w:highlight w:val="none"/>
              </w:rPr>
              <w:t xml:space="preserve">2.2 </w:t>
            </w:r>
            <w:r>
              <w:rPr>
                <w:rFonts w:hint="eastAsia"/>
                <w:color w:val="auto"/>
                <w:highlight w:val="none"/>
              </w:rPr>
              <w:t>与</w:t>
            </w:r>
            <w:r>
              <w:rPr>
                <w:rFonts w:hint="eastAsia"/>
                <w:b/>
                <w:color w:val="auto"/>
                <w:highlight w:val="none"/>
              </w:rPr>
              <w:t>新疆维吾尔自治区</w:t>
            </w:r>
            <w:r>
              <w:rPr>
                <w:rFonts w:hint="eastAsia"/>
                <w:b/>
                <w:color w:val="auto"/>
                <w:highlight w:val="none"/>
                <w:lang w:val="en-US" w:eastAsia="zh-CN"/>
              </w:rPr>
              <w:t>生态环境分区管控总体要求</w:t>
            </w:r>
            <w:r>
              <w:rPr>
                <w:rFonts w:hint="eastAsia"/>
                <w:color w:val="auto"/>
                <w:highlight w:val="none"/>
              </w:rPr>
              <w:t>符合性分析</w:t>
            </w:r>
          </w:p>
          <w:p w14:paraId="754A4CF3">
            <w:pPr>
              <w:pStyle w:val="3"/>
              <w:keepNext/>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表1-2  与新疆维吾尔自治区</w:t>
            </w:r>
            <w:r>
              <w:rPr>
                <w:rFonts w:hint="eastAsia" w:ascii="Times New Roman" w:hAnsi="Times New Roman" w:cs="Times New Roman"/>
                <w:b/>
                <w:bCs/>
                <w:color w:val="auto"/>
                <w:kern w:val="0"/>
                <w:sz w:val="21"/>
                <w:szCs w:val="21"/>
                <w:highlight w:val="none"/>
                <w:lang w:val="en-US" w:eastAsia="zh-CN" w:bidi="ar-SA"/>
              </w:rPr>
              <w:t>一般</w:t>
            </w:r>
            <w:r>
              <w:rPr>
                <w:rFonts w:hint="eastAsia" w:ascii="Times New Roman" w:hAnsi="Times New Roman" w:eastAsia="宋体" w:cs="Times New Roman"/>
                <w:b/>
                <w:bCs/>
                <w:color w:val="auto"/>
                <w:kern w:val="0"/>
                <w:sz w:val="21"/>
                <w:szCs w:val="21"/>
                <w:highlight w:val="none"/>
                <w:lang w:val="en-US" w:eastAsia="zh-CN" w:bidi="ar-SA"/>
              </w:rPr>
              <w:t>管控单元分类管控要求符合性分析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64"/>
              <w:gridCol w:w="3711"/>
              <w:gridCol w:w="1840"/>
              <w:gridCol w:w="554"/>
            </w:tblGrid>
            <w:tr w14:paraId="7713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3" w:type="dxa"/>
                  <w:gridSpan w:val="3"/>
                  <w:vAlign w:val="center"/>
                </w:tcPr>
                <w:p w14:paraId="2AA22010">
                  <w:pPr>
                    <w:pStyle w:val="3"/>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管控要求</w:t>
                  </w:r>
                </w:p>
              </w:tc>
              <w:tc>
                <w:tcPr>
                  <w:tcW w:w="1727" w:type="dxa"/>
                  <w:vAlign w:val="center"/>
                </w:tcPr>
                <w:p w14:paraId="3B1738DE">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本项目相关内容</w:t>
                  </w:r>
                </w:p>
              </w:tc>
              <w:tc>
                <w:tcPr>
                  <w:tcW w:w="520" w:type="dxa"/>
                  <w:vAlign w:val="center"/>
                </w:tcPr>
                <w:p w14:paraId="268E3AC2">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符合性</w:t>
                  </w:r>
                </w:p>
              </w:tc>
            </w:tr>
            <w:tr w14:paraId="32AA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7FCF9678">
                  <w:pPr>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A1</w:t>
                  </w:r>
                  <w:r>
                    <w:rPr>
                      <w:rFonts w:hint="eastAsia" w:cs="Times New Roman"/>
                      <w:bCs/>
                      <w:color w:val="auto"/>
                      <w:kern w:val="2"/>
                      <w:sz w:val="21"/>
                      <w:szCs w:val="21"/>
                      <w:highlight w:val="none"/>
                      <w:lang w:val="en-US" w:eastAsia="zh-CN" w:bidi="ar-SA"/>
                    </w:rPr>
                    <w:t>空间布局约束</w:t>
                  </w:r>
                </w:p>
              </w:tc>
              <w:tc>
                <w:tcPr>
                  <w:tcW w:w="717" w:type="dxa"/>
                  <w:vAlign w:val="center"/>
                </w:tcPr>
                <w:p w14:paraId="1522D0B6">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A1.1禁</w:t>
                  </w:r>
                </w:p>
                <w:p w14:paraId="60EA255E">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止开发建设的活动</w:t>
                  </w:r>
                </w:p>
              </w:tc>
              <w:tc>
                <w:tcPr>
                  <w:tcW w:w="3483" w:type="dxa"/>
                  <w:vAlign w:val="center"/>
                </w:tcPr>
                <w:p w14:paraId="69B8FCEA">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[A1.1-1〕禁止新建、扩建《产业结构调整指导目录</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2024年本</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》中淘汰类项目。禁止引入《市场准入负面清单</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202</w:t>
                  </w:r>
                  <w:r>
                    <w:rPr>
                      <w:rFonts w:hint="eastAsia" w:ascii="Times New Roman" w:hAnsi="Times New Roman" w:cs="Times New Roman"/>
                      <w:b w:val="0"/>
                      <w:bCs/>
                      <w:color w:val="auto"/>
                      <w:kern w:val="2"/>
                      <w:sz w:val="21"/>
                      <w:szCs w:val="21"/>
                      <w:highlight w:val="none"/>
                      <w:lang w:val="en-US" w:eastAsia="zh-CN" w:bidi="ar-SA"/>
                    </w:rPr>
                    <w:t>5</w:t>
                  </w:r>
                  <w:r>
                    <w:rPr>
                      <w:rFonts w:hint="eastAsia" w:ascii="Times New Roman" w:hAnsi="Times New Roman" w:eastAsia="宋体" w:cs="Times New Roman"/>
                      <w:b w:val="0"/>
                      <w:bCs/>
                      <w:color w:val="auto"/>
                      <w:kern w:val="2"/>
                      <w:sz w:val="21"/>
                      <w:szCs w:val="21"/>
                      <w:highlight w:val="none"/>
                      <w:lang w:val="en-US" w:eastAsia="zh-CN" w:bidi="ar-SA"/>
                    </w:rPr>
                    <w:t>年版</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》禁止准入类事项</w:t>
                  </w:r>
                </w:p>
              </w:tc>
              <w:tc>
                <w:tcPr>
                  <w:tcW w:w="1727" w:type="dxa"/>
                  <w:vAlign w:val="center"/>
                </w:tcPr>
                <w:p w14:paraId="76D39F0E">
                  <w:pPr>
                    <w:pStyle w:val="3"/>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本项目为固体废物治理不属于</w:t>
                  </w:r>
                  <w:r>
                    <w:rPr>
                      <w:rFonts w:hint="eastAsia" w:ascii="Times New Roman" w:hAnsi="Times New Roman" w:eastAsia="宋体" w:cs="Times New Roman"/>
                      <w:b w:val="0"/>
                      <w:bCs/>
                      <w:color w:val="auto"/>
                      <w:kern w:val="2"/>
                      <w:sz w:val="21"/>
                      <w:szCs w:val="21"/>
                      <w:highlight w:val="none"/>
                      <w:lang w:val="en-US" w:eastAsia="zh-CN" w:bidi="ar-SA"/>
                    </w:rPr>
                    <w:t>《产业结构调整指导目录</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2024年本</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ascii="Times New Roman" w:hAnsi="Times New Roman" w:cs="Times New Roman"/>
                      <w:b w:val="0"/>
                      <w:bCs/>
                      <w:color w:val="auto"/>
                      <w:kern w:val="2"/>
                      <w:sz w:val="21"/>
                      <w:szCs w:val="21"/>
                      <w:highlight w:val="none"/>
                      <w:lang w:val="en-US" w:eastAsia="zh-CN" w:bidi="ar-SA"/>
                    </w:rPr>
                    <w:t>中</w:t>
                  </w:r>
                  <w:r>
                    <w:rPr>
                      <w:rFonts w:hint="eastAsia" w:ascii="Times New Roman" w:hAnsi="Times New Roman" w:eastAsia="宋体" w:cs="Times New Roman"/>
                      <w:b w:val="0"/>
                      <w:bCs/>
                      <w:color w:val="auto"/>
                      <w:kern w:val="2"/>
                      <w:sz w:val="21"/>
                      <w:szCs w:val="21"/>
                      <w:highlight w:val="none"/>
                      <w:lang w:val="en-US" w:eastAsia="zh-CN" w:bidi="ar-SA"/>
                    </w:rPr>
                    <w:t>淘汰类项目</w:t>
                  </w:r>
                </w:p>
              </w:tc>
              <w:tc>
                <w:tcPr>
                  <w:tcW w:w="520" w:type="dxa"/>
                  <w:vAlign w:val="center"/>
                </w:tcPr>
                <w:p w14:paraId="54E0795C">
                  <w:pPr>
                    <w:pStyle w:val="3"/>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符合</w:t>
                  </w:r>
                </w:p>
              </w:tc>
            </w:tr>
            <w:tr w14:paraId="446A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71463973">
                  <w:pPr>
                    <w:pStyle w:val="55"/>
                    <w:pageBreakBefore w:val="0"/>
                    <w:widowControl w:val="0"/>
                    <w:kinsoku/>
                    <w:wordWrap/>
                    <w:overflowPunct/>
                    <w:topLinePunct w:val="0"/>
                    <w:bidi w:val="0"/>
                    <w:adjustRightInd w:val="0"/>
                    <w:snapToGrid w:val="0"/>
                    <w:spacing w:line="240" w:lineRule="auto"/>
                    <w:ind w:firstLine="0" w:firstLineChars="0"/>
                    <w:jc w:val="center"/>
                    <w:rPr>
                      <w:rFonts w:hint="eastAsia"/>
                      <w:color w:val="auto"/>
                      <w:highlight w:val="none"/>
                    </w:rPr>
                  </w:pPr>
                  <w:r>
                    <w:rPr>
                      <w:rFonts w:hint="eastAsia"/>
                      <w:color w:val="auto"/>
                      <w:highlight w:val="none"/>
                    </w:rPr>
                    <w:t>A2污染物排放管控</w:t>
                  </w:r>
                </w:p>
              </w:tc>
              <w:tc>
                <w:tcPr>
                  <w:tcW w:w="717" w:type="dxa"/>
                  <w:vAlign w:val="center"/>
                </w:tcPr>
                <w:p w14:paraId="7F547FF0">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A2.1污染物削减/替代要求</w:t>
                  </w:r>
                </w:p>
              </w:tc>
              <w:tc>
                <w:tcPr>
                  <w:tcW w:w="3483" w:type="dxa"/>
                  <w:vAlign w:val="center"/>
                </w:tcPr>
                <w:p w14:paraId="5F383FF4">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2.1-1〕新、改、扩建重点行业建设项目应符合“三线一单”、产业政策、区域环评、规划环评和行业环境准入管控要求。重点区域的新、改、扩建重点行业建设项目应遵循重点重金属污染物排放“减量替代”原则</w:t>
                  </w:r>
                </w:p>
              </w:tc>
              <w:tc>
                <w:tcPr>
                  <w:tcW w:w="1727" w:type="dxa"/>
                  <w:vAlign w:val="center"/>
                </w:tcPr>
                <w:p w14:paraId="5BB68B55">
                  <w:pPr>
                    <w:pStyle w:val="3"/>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本项目为新建项目符合</w:t>
                  </w:r>
                  <w:r>
                    <w:rPr>
                      <w:rFonts w:hint="eastAsia" w:ascii="Times New Roman" w:hAnsi="Times New Roman" w:eastAsia="宋体" w:cs="Times New Roman"/>
                      <w:b w:val="0"/>
                      <w:bCs/>
                      <w:color w:val="auto"/>
                      <w:kern w:val="2"/>
                      <w:sz w:val="21"/>
                      <w:szCs w:val="21"/>
                      <w:highlight w:val="none"/>
                      <w:lang w:val="en-US" w:eastAsia="zh-CN" w:bidi="ar-SA"/>
                    </w:rPr>
                    <w:t>“三线一单”、产业政策、区域环评、规划环评和行业环境准入管控要求</w:t>
                  </w:r>
                </w:p>
              </w:tc>
              <w:tc>
                <w:tcPr>
                  <w:tcW w:w="520" w:type="dxa"/>
                  <w:vAlign w:val="center"/>
                </w:tcPr>
                <w:p w14:paraId="09F674C1">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符合</w:t>
                  </w:r>
                </w:p>
              </w:tc>
            </w:tr>
            <w:tr w14:paraId="1F99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4BBB5E52">
                  <w:pPr>
                    <w:pStyle w:val="55"/>
                    <w:pageBreakBefore w:val="0"/>
                    <w:widowControl w:val="0"/>
                    <w:kinsoku/>
                    <w:wordWrap/>
                    <w:overflowPunct/>
                    <w:topLinePunct w:val="0"/>
                    <w:bidi w:val="0"/>
                    <w:adjustRightInd w:val="0"/>
                    <w:snapToGrid w:val="0"/>
                    <w:spacing w:line="240" w:lineRule="auto"/>
                    <w:ind w:firstLine="0" w:firstLineChars="0"/>
                    <w:jc w:val="center"/>
                    <w:rPr>
                      <w:rFonts w:hint="eastAsia"/>
                      <w:color w:val="auto"/>
                      <w:highlight w:val="none"/>
                    </w:rPr>
                  </w:pPr>
                  <w:r>
                    <w:rPr>
                      <w:rFonts w:hint="eastAsia"/>
                      <w:color w:val="auto"/>
                      <w:highlight w:val="none"/>
                    </w:rPr>
                    <w:t>A3环境风险防控</w:t>
                  </w:r>
                </w:p>
              </w:tc>
              <w:tc>
                <w:tcPr>
                  <w:tcW w:w="717" w:type="dxa"/>
                  <w:vAlign w:val="center"/>
                </w:tcPr>
                <w:p w14:paraId="65E45B23">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A3.</w:t>
                  </w:r>
                  <w:r>
                    <w:rPr>
                      <w:rFonts w:hint="eastAsia" w:ascii="Times New Roman" w:hAnsi="Times New Roman" w:eastAsia="宋体" w:cs="Times New Roman"/>
                      <w:b w:val="0"/>
                      <w:bCs/>
                      <w:color w:val="auto"/>
                      <w:kern w:val="2"/>
                      <w:sz w:val="21"/>
                      <w:szCs w:val="21"/>
                      <w:highlight w:val="none"/>
                      <w:lang w:val="en-US" w:eastAsia="zh-CN" w:bidi="ar-SA"/>
                    </w:rPr>
                    <w:t>2联防联控要求</w:t>
                  </w:r>
                </w:p>
              </w:tc>
              <w:tc>
                <w:tcPr>
                  <w:tcW w:w="3483" w:type="dxa"/>
                  <w:vAlign w:val="center"/>
                </w:tcPr>
                <w:p w14:paraId="409360EC">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727" w:type="dxa"/>
                  <w:vAlign w:val="center"/>
                </w:tcPr>
                <w:p w14:paraId="4120B6D9">
                  <w:pPr>
                    <w:pStyle w:val="3"/>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本项目为固体废物治理，依法编制</w:t>
                  </w:r>
                  <w:r>
                    <w:rPr>
                      <w:rFonts w:hint="eastAsia" w:ascii="Times New Roman" w:hAnsi="Times New Roman" w:eastAsia="宋体" w:cs="Times New Roman"/>
                      <w:b w:val="0"/>
                      <w:bCs/>
                      <w:color w:val="auto"/>
                      <w:kern w:val="2"/>
                      <w:sz w:val="21"/>
                      <w:szCs w:val="21"/>
                      <w:highlight w:val="none"/>
                      <w:lang w:val="en-US" w:eastAsia="zh-CN" w:bidi="ar-SA"/>
                    </w:rPr>
                    <w:t>企业突发生态环境应急预</w:t>
                  </w:r>
                  <w:r>
                    <w:rPr>
                      <w:rFonts w:hint="eastAsia" w:ascii="Times New Roman" w:hAnsi="Times New Roman" w:cs="Times New Roman"/>
                      <w:b w:val="0"/>
                      <w:bCs/>
                      <w:color w:val="auto"/>
                      <w:kern w:val="2"/>
                      <w:sz w:val="21"/>
                      <w:szCs w:val="21"/>
                      <w:highlight w:val="none"/>
                      <w:lang w:val="en-US" w:eastAsia="zh-CN" w:bidi="ar-SA"/>
                    </w:rPr>
                    <w:t>案，</w:t>
                  </w:r>
                  <w:r>
                    <w:rPr>
                      <w:rFonts w:hint="eastAsia" w:ascii="Times New Roman" w:hAnsi="Times New Roman" w:eastAsia="宋体" w:cs="Times New Roman"/>
                      <w:b w:val="0"/>
                      <w:bCs/>
                      <w:color w:val="auto"/>
                      <w:kern w:val="2"/>
                      <w:sz w:val="21"/>
                      <w:szCs w:val="21"/>
                      <w:highlight w:val="none"/>
                      <w:lang w:val="en-US" w:eastAsia="zh-CN" w:bidi="ar-SA"/>
                    </w:rPr>
                    <w:t>加强应急监测装备配置，定期开展应急演练，增强实战能力</w:t>
                  </w:r>
                </w:p>
              </w:tc>
              <w:tc>
                <w:tcPr>
                  <w:tcW w:w="520" w:type="dxa"/>
                  <w:vAlign w:val="center"/>
                </w:tcPr>
                <w:p w14:paraId="4DDA81E2">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符合</w:t>
                  </w:r>
                </w:p>
              </w:tc>
            </w:tr>
            <w:tr w14:paraId="0F34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2DAC21AC">
                  <w:pPr>
                    <w:pStyle w:val="55"/>
                    <w:pageBreakBefore w:val="0"/>
                    <w:widowControl w:val="0"/>
                    <w:kinsoku/>
                    <w:wordWrap/>
                    <w:overflowPunct/>
                    <w:topLinePunct w:val="0"/>
                    <w:bidi w:val="0"/>
                    <w:adjustRightInd w:val="0"/>
                    <w:snapToGrid w:val="0"/>
                    <w:spacing w:line="240" w:lineRule="auto"/>
                    <w:ind w:firstLine="0" w:firstLineChars="0"/>
                    <w:jc w:val="center"/>
                    <w:rPr>
                      <w:color w:val="auto"/>
                      <w:highlight w:val="none"/>
                      <w:vertAlign w:val="baseline"/>
                    </w:rPr>
                  </w:pPr>
                  <w:r>
                    <w:rPr>
                      <w:rFonts w:hint="eastAsia"/>
                      <w:color w:val="auto"/>
                      <w:highlight w:val="none"/>
                    </w:rPr>
                    <w:t>A4资源利用要求</w:t>
                  </w:r>
                </w:p>
              </w:tc>
              <w:tc>
                <w:tcPr>
                  <w:tcW w:w="717" w:type="dxa"/>
                  <w:vAlign w:val="center"/>
                </w:tcPr>
                <w:p w14:paraId="4BA1D6EA">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A4.</w:t>
                  </w:r>
                  <w:r>
                    <w:rPr>
                      <w:rFonts w:hint="eastAsia" w:ascii="Times New Roman" w:hAnsi="Times New Roman" w:eastAsia="宋体" w:cs="Times New Roman"/>
                      <w:b w:val="0"/>
                      <w:bCs/>
                      <w:color w:val="auto"/>
                      <w:kern w:val="2"/>
                      <w:sz w:val="21"/>
                      <w:szCs w:val="21"/>
                      <w:highlight w:val="none"/>
                      <w:lang w:val="en-US" w:eastAsia="zh-CN" w:bidi="ar-SA"/>
                    </w:rPr>
                    <w:t>5资源综合</w:t>
                  </w:r>
                </w:p>
                <w:p w14:paraId="6D03C0A6">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利用</w:t>
                  </w:r>
                </w:p>
              </w:tc>
              <w:tc>
                <w:tcPr>
                  <w:tcW w:w="3483" w:type="dxa"/>
                  <w:vAlign w:val="center"/>
                </w:tcPr>
                <w:p w14:paraId="1ACFF18D">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市</w:t>
                  </w:r>
                  <w:r>
                    <w:rPr>
                      <w:rFonts w:hint="eastAsia" w:ascii="Times New Roman" w:hAnsi="Times New Roman" w:cs="Times New Roman"/>
                      <w:b w:val="0"/>
                      <w:bCs/>
                      <w:color w:val="auto"/>
                      <w:kern w:val="2"/>
                      <w:sz w:val="21"/>
                      <w:szCs w:val="21"/>
                      <w:highlight w:val="none"/>
                      <w:lang w:val="en-US" w:eastAsia="zh-CN" w:bidi="ar-SA"/>
                    </w:rPr>
                    <w:t>）</w:t>
                  </w:r>
                  <w:r>
                    <w:rPr>
                      <w:rFonts w:hint="eastAsia" w:ascii="Times New Roman" w:hAnsi="Times New Roman" w:eastAsia="宋体" w:cs="Times New Roman"/>
                      <w:b w:val="0"/>
                      <w:bCs/>
                      <w:color w:val="auto"/>
                      <w:kern w:val="2"/>
                      <w:sz w:val="21"/>
                      <w:szCs w:val="21"/>
                      <w:highlight w:val="none"/>
                      <w:lang w:val="en-US" w:eastAsia="zh-CN" w:bidi="ar-SA"/>
                    </w:rPr>
                    <w:t>生活垃圾处理设施，到2025年，全城市生活垃圾无害化处理率达到99%以上</w:t>
                  </w:r>
                </w:p>
              </w:tc>
              <w:tc>
                <w:tcPr>
                  <w:tcW w:w="1727" w:type="dxa"/>
                  <w:vAlign w:val="center"/>
                </w:tcPr>
                <w:p w14:paraId="42AFB765">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本项目为固体废物治理，</w:t>
                  </w:r>
                  <w:r>
                    <w:rPr>
                      <w:rFonts w:hint="eastAsia" w:ascii="Times New Roman" w:hAnsi="Times New Roman" w:eastAsia="宋体" w:cs="Times New Roman"/>
                      <w:b w:val="0"/>
                      <w:bCs/>
                      <w:color w:val="auto"/>
                      <w:kern w:val="2"/>
                      <w:sz w:val="21"/>
                      <w:szCs w:val="21"/>
                      <w:highlight w:val="none"/>
                      <w:lang w:val="en-US" w:eastAsia="zh-CN" w:bidi="ar-SA"/>
                    </w:rPr>
                    <w:t>推进固体废物综合利用和环境整治不断提高废物资源化利用水平</w:t>
                  </w:r>
                </w:p>
              </w:tc>
              <w:tc>
                <w:tcPr>
                  <w:tcW w:w="520" w:type="dxa"/>
                  <w:vAlign w:val="center"/>
                </w:tcPr>
                <w:p w14:paraId="334577F2">
                  <w:pPr>
                    <w:pStyle w:val="3"/>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符合</w:t>
                  </w:r>
                </w:p>
              </w:tc>
            </w:tr>
          </w:tbl>
          <w:p w14:paraId="6A1B3F1D">
            <w:pPr>
              <w:pStyle w:val="3"/>
              <w:rPr>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与</w:t>
            </w:r>
            <w:r>
              <w:rPr>
                <w:rFonts w:hint="eastAsia"/>
                <w:b/>
                <w:color w:val="auto"/>
                <w:highlight w:val="none"/>
              </w:rPr>
              <w:t>新疆维吾尔自治区一般环境管控单元</w:t>
            </w:r>
            <w:r>
              <w:rPr>
                <w:rFonts w:hint="eastAsia"/>
                <w:b/>
                <w:color w:val="auto"/>
                <w:highlight w:val="none"/>
                <w:lang w:val="en-US" w:eastAsia="zh-CN"/>
              </w:rPr>
              <w:t>分类管控</w:t>
            </w:r>
            <w:r>
              <w:rPr>
                <w:rFonts w:hint="eastAsia"/>
                <w:b/>
                <w:color w:val="auto"/>
                <w:highlight w:val="none"/>
              </w:rPr>
              <w:t>要求</w:t>
            </w:r>
            <w:r>
              <w:rPr>
                <w:rFonts w:hint="eastAsia"/>
                <w:color w:val="auto"/>
                <w:highlight w:val="none"/>
              </w:rPr>
              <w:t>符合性分析</w:t>
            </w:r>
          </w:p>
          <w:p w14:paraId="32512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表1-</w:t>
            </w:r>
            <w:r>
              <w:rPr>
                <w:rFonts w:hint="eastAsia"/>
                <w:b/>
                <w:bCs/>
                <w:color w:val="auto"/>
                <w:kern w:val="0"/>
                <w:sz w:val="21"/>
                <w:szCs w:val="21"/>
                <w:highlight w:val="none"/>
                <w:lang w:val="en-US" w:eastAsia="zh-CN"/>
              </w:rPr>
              <w:t>3</w:t>
            </w:r>
            <w:r>
              <w:rPr>
                <w:rFonts w:hint="eastAsia"/>
                <w:b/>
                <w:bCs/>
                <w:color w:val="auto"/>
                <w:kern w:val="0"/>
                <w:sz w:val="21"/>
                <w:szCs w:val="21"/>
                <w:highlight w:val="none"/>
              </w:rPr>
              <w:t xml:space="preserve">  与新疆维吾尔自治区一般环境管控单元分类管控要求符合性分析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4"/>
              <w:gridCol w:w="539"/>
              <w:gridCol w:w="3894"/>
              <w:gridCol w:w="2093"/>
              <w:gridCol w:w="505"/>
            </w:tblGrid>
            <w:tr w14:paraId="5B3EA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52" w:type="dxa"/>
                  <w:gridSpan w:val="3"/>
                  <w:vAlign w:val="center"/>
                </w:tcPr>
                <w:p w14:paraId="4189698E">
                  <w:pPr>
                    <w:pStyle w:val="55"/>
                    <w:rPr>
                      <w:color w:val="auto"/>
                      <w:highlight w:val="none"/>
                    </w:rPr>
                  </w:pPr>
                  <w:r>
                    <w:rPr>
                      <w:color w:val="auto"/>
                      <w:highlight w:val="none"/>
                    </w:rPr>
                    <w:t>管控要求</w:t>
                  </w:r>
                </w:p>
              </w:tc>
              <w:tc>
                <w:tcPr>
                  <w:tcW w:w="1964" w:type="dxa"/>
                  <w:vAlign w:val="center"/>
                </w:tcPr>
                <w:p w14:paraId="4FA34620">
                  <w:pPr>
                    <w:pStyle w:val="55"/>
                    <w:rPr>
                      <w:color w:val="auto"/>
                      <w:highlight w:val="none"/>
                    </w:rPr>
                  </w:pPr>
                  <w:r>
                    <w:rPr>
                      <w:color w:val="auto"/>
                      <w:highlight w:val="none"/>
                    </w:rPr>
                    <w:t>本项目相关内容</w:t>
                  </w:r>
                </w:p>
              </w:tc>
              <w:tc>
                <w:tcPr>
                  <w:tcW w:w="474" w:type="dxa"/>
                  <w:vAlign w:val="center"/>
                </w:tcPr>
                <w:p w14:paraId="45C615C9">
                  <w:pPr>
                    <w:pStyle w:val="55"/>
                    <w:rPr>
                      <w:color w:val="auto"/>
                      <w:highlight w:val="none"/>
                    </w:rPr>
                  </w:pPr>
                  <w:r>
                    <w:rPr>
                      <w:color w:val="auto"/>
                      <w:highlight w:val="none"/>
                    </w:rPr>
                    <w:t>符合性</w:t>
                  </w:r>
                </w:p>
              </w:tc>
            </w:tr>
            <w:tr w14:paraId="2EA0E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2" w:type="dxa"/>
                  <w:vMerge w:val="restart"/>
                  <w:vAlign w:val="center"/>
                </w:tcPr>
                <w:p w14:paraId="68B92849">
                  <w:pPr>
                    <w:pStyle w:val="55"/>
                    <w:rPr>
                      <w:color w:val="auto"/>
                      <w:highlight w:val="none"/>
                    </w:rPr>
                  </w:pPr>
                  <w:r>
                    <w:rPr>
                      <w:rFonts w:hint="eastAsia"/>
                      <w:color w:val="auto"/>
                      <w:highlight w:val="none"/>
                    </w:rPr>
                    <w:t>A7一般管控单元</w:t>
                  </w:r>
                </w:p>
              </w:tc>
              <w:tc>
                <w:tcPr>
                  <w:tcW w:w="506" w:type="dxa"/>
                  <w:tcBorders>
                    <w:bottom w:val="single" w:color="auto" w:sz="4" w:space="0"/>
                  </w:tcBorders>
                  <w:vAlign w:val="center"/>
                </w:tcPr>
                <w:p w14:paraId="224B786D">
                  <w:pPr>
                    <w:pStyle w:val="55"/>
                    <w:ind w:firstLine="0" w:firstLineChars="0"/>
                    <w:rPr>
                      <w:color w:val="auto"/>
                      <w:highlight w:val="none"/>
                    </w:rPr>
                  </w:pPr>
                  <w:r>
                    <w:rPr>
                      <w:rFonts w:hint="eastAsia"/>
                      <w:color w:val="auto"/>
                      <w:highlight w:val="none"/>
                    </w:rPr>
                    <w:t>A7.1空间布局约束</w:t>
                  </w:r>
                </w:p>
              </w:tc>
              <w:tc>
                <w:tcPr>
                  <w:tcW w:w="3654" w:type="dxa"/>
                  <w:tcBorders>
                    <w:bottom w:val="single" w:color="auto" w:sz="4" w:space="0"/>
                  </w:tcBorders>
                  <w:vAlign w:val="center"/>
                </w:tcPr>
                <w:p w14:paraId="45581AD2">
                  <w:pPr>
                    <w:pStyle w:val="55"/>
                    <w:ind w:firstLine="0" w:firstLineChars="0"/>
                    <w:rPr>
                      <w:color w:val="auto"/>
                      <w:highlight w:val="none"/>
                    </w:rPr>
                  </w:pPr>
                  <w:r>
                    <w:rPr>
                      <w:rFonts w:hint="eastAsia"/>
                      <w:color w:val="auto"/>
                      <w:highlight w:val="none"/>
                    </w:rPr>
                    <w:t>【A7.1-1】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964" w:type="dxa"/>
                  <w:vAlign w:val="center"/>
                </w:tcPr>
                <w:p w14:paraId="71244390">
                  <w:pPr>
                    <w:pStyle w:val="55"/>
                    <w:ind w:firstLine="0" w:firstLineChars="0"/>
                    <w:rPr>
                      <w:color w:val="auto"/>
                      <w:highlight w:val="none"/>
                    </w:rPr>
                  </w:pPr>
                  <w:r>
                    <w:rPr>
                      <w:rFonts w:hint="eastAsia" w:ascii="宋体" w:hAnsi="宋体" w:cs="宋体"/>
                      <w:color w:val="auto"/>
                      <w:sz w:val="21"/>
                      <w:szCs w:val="21"/>
                      <w:highlight w:val="none"/>
                    </w:rPr>
                    <w:t>本项目为</w:t>
                  </w:r>
                  <w:r>
                    <w:rPr>
                      <w:rFonts w:hint="eastAsia"/>
                      <w:color w:val="auto"/>
                      <w:highlight w:val="none"/>
                      <w:lang w:val="en-US" w:eastAsia="zh-CN"/>
                    </w:rPr>
                    <w:t>固体废物治理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rPr>
                    <w:t>不属于</w:t>
                  </w:r>
                  <w:r>
                    <w:rPr>
                      <w:rFonts w:hint="eastAsia" w:ascii="宋体" w:hAnsi="宋体" w:cs="宋体"/>
                      <w:color w:val="auto"/>
                      <w:sz w:val="21"/>
                      <w:szCs w:val="21"/>
                      <w:highlight w:val="none"/>
                      <w:lang w:val="en-US" w:eastAsia="zh-CN"/>
                    </w:rPr>
                    <w:t>高污染、高环境风险</w:t>
                  </w:r>
                  <w:r>
                    <w:rPr>
                      <w:rFonts w:hint="eastAsia" w:ascii="宋体" w:hAnsi="宋体" w:cs="宋体"/>
                      <w:color w:val="auto"/>
                      <w:sz w:val="21"/>
                      <w:szCs w:val="21"/>
                      <w:highlight w:val="none"/>
                    </w:rPr>
                    <w:t>项目，</w:t>
                  </w:r>
                  <w:r>
                    <w:rPr>
                      <w:rFonts w:hint="eastAsia" w:ascii="宋体" w:hAnsi="宋体" w:cs="宋体"/>
                      <w:color w:val="auto"/>
                      <w:sz w:val="21"/>
                      <w:szCs w:val="21"/>
                      <w:highlight w:val="none"/>
                      <w:lang w:val="en-US" w:eastAsia="zh-CN"/>
                    </w:rPr>
                    <w:t>不使用国家和自治区明令禁止或淘汰的</w:t>
                  </w:r>
                  <w:r>
                    <w:rPr>
                      <w:rFonts w:hint="eastAsia" w:ascii="宋体" w:hAnsi="宋体" w:eastAsia="宋体" w:cs="宋体"/>
                      <w:color w:val="auto"/>
                      <w:sz w:val="21"/>
                      <w:szCs w:val="21"/>
                      <w:highlight w:val="none"/>
                      <w:lang w:val="en-US" w:eastAsia="zh-CN"/>
                    </w:rPr>
                    <w:t>工艺</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项目属于若羌县一般管控区内，管控单元代</w:t>
                  </w:r>
                  <w:r>
                    <w:rPr>
                      <w:rFonts w:hint="default" w:ascii="Times New Roman" w:hAnsi="Times New Roman" w:cs="Times New Roman"/>
                      <w:color w:val="auto"/>
                      <w:sz w:val="21"/>
                      <w:szCs w:val="21"/>
                      <w:highlight w:val="none"/>
                      <w:lang w:val="en-US" w:eastAsia="zh-CN"/>
                    </w:rPr>
                    <w:t>码（ZH65282430001）。</w:t>
                  </w:r>
                </w:p>
              </w:tc>
              <w:tc>
                <w:tcPr>
                  <w:tcW w:w="474" w:type="dxa"/>
                  <w:vAlign w:val="center"/>
                </w:tcPr>
                <w:p w14:paraId="1740DE68">
                  <w:pPr>
                    <w:pStyle w:val="55"/>
                    <w:rPr>
                      <w:color w:val="auto"/>
                      <w:highlight w:val="none"/>
                    </w:rPr>
                  </w:pPr>
                  <w:r>
                    <w:rPr>
                      <w:color w:val="auto"/>
                      <w:highlight w:val="none"/>
                    </w:rPr>
                    <w:t>符合</w:t>
                  </w:r>
                </w:p>
              </w:tc>
            </w:tr>
            <w:tr w14:paraId="64865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2" w:type="dxa"/>
                  <w:vMerge w:val="continue"/>
                  <w:vAlign w:val="center"/>
                </w:tcPr>
                <w:p w14:paraId="6F0788A5">
                  <w:pPr>
                    <w:pStyle w:val="55"/>
                    <w:rPr>
                      <w:color w:val="auto"/>
                      <w:highlight w:val="none"/>
                    </w:rPr>
                  </w:pPr>
                </w:p>
              </w:tc>
              <w:tc>
                <w:tcPr>
                  <w:tcW w:w="506" w:type="dxa"/>
                  <w:tcBorders>
                    <w:top w:val="single" w:color="auto" w:sz="4" w:space="0"/>
                    <w:bottom w:val="single" w:color="auto" w:sz="4" w:space="0"/>
                  </w:tcBorders>
                  <w:vAlign w:val="center"/>
                </w:tcPr>
                <w:p w14:paraId="0F1221B3">
                  <w:pPr>
                    <w:pStyle w:val="55"/>
                    <w:ind w:firstLine="0" w:firstLineChars="0"/>
                    <w:rPr>
                      <w:rFonts w:hint="eastAsia"/>
                      <w:color w:val="auto"/>
                      <w:highlight w:val="none"/>
                    </w:rPr>
                  </w:pPr>
                  <w:r>
                    <w:rPr>
                      <w:rFonts w:hint="eastAsia"/>
                      <w:color w:val="auto"/>
                      <w:highlight w:val="none"/>
                    </w:rPr>
                    <w:t>A7.2污染物排放管控</w:t>
                  </w:r>
                </w:p>
              </w:tc>
              <w:tc>
                <w:tcPr>
                  <w:tcW w:w="3654" w:type="dxa"/>
                  <w:tcBorders>
                    <w:top w:val="single" w:color="auto" w:sz="4" w:space="0"/>
                  </w:tcBorders>
                  <w:vAlign w:val="center"/>
                </w:tcPr>
                <w:p w14:paraId="45A377F7">
                  <w:pPr>
                    <w:pStyle w:val="55"/>
                    <w:ind w:firstLine="0" w:firstLineChars="0"/>
                    <w:rPr>
                      <w:rFonts w:hint="eastAsia"/>
                      <w:color w:val="auto"/>
                      <w:highlight w:val="none"/>
                    </w:rPr>
                  </w:pPr>
                  <w:r>
                    <w:rPr>
                      <w:rFonts w:hint="eastAsia"/>
                      <w:color w:val="auto"/>
                      <w:highlight w:val="none"/>
                    </w:rPr>
                    <w:t>【A7.2-1】落实污染物总量控制制度，根据区域环境质量改善目标，削减污染物排放总量。加强农业面源污染治理，严格控制化肥农药施加量，逐步削减农业面源污染物排放量。</w:t>
                  </w:r>
                </w:p>
              </w:tc>
              <w:tc>
                <w:tcPr>
                  <w:tcW w:w="1964" w:type="dxa"/>
                  <w:vAlign w:val="center"/>
                </w:tcPr>
                <w:p w14:paraId="2B3E1174">
                  <w:pPr>
                    <w:pStyle w:val="55"/>
                    <w:ind w:firstLine="0" w:firstLineChars="0"/>
                    <w:rPr>
                      <w:color w:val="auto"/>
                      <w:highlight w:val="none"/>
                    </w:rPr>
                  </w:pPr>
                  <w:r>
                    <w:rPr>
                      <w:rFonts w:hint="eastAsia" w:ascii="宋体" w:hAnsi="宋体" w:cs="宋体"/>
                      <w:color w:val="auto"/>
                      <w:sz w:val="21"/>
                      <w:szCs w:val="21"/>
                      <w:highlight w:val="none"/>
                    </w:rPr>
                    <w:t>本项目</w:t>
                  </w:r>
                  <w:r>
                    <w:rPr>
                      <w:rFonts w:hint="eastAsia" w:ascii="宋体" w:hAnsi="宋体" w:cs="宋体"/>
                      <w:color w:val="auto"/>
                      <w:sz w:val="21"/>
                      <w:szCs w:val="21"/>
                      <w:highlight w:val="none"/>
                      <w:lang w:val="en-US" w:eastAsia="zh-CN"/>
                    </w:rPr>
                    <w:t>产生的污染物较少，在严格落实各项污染治理措施后可实现稳定达标排放</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项目不产生涉及总量控制指标的污染物。</w:t>
                  </w:r>
                </w:p>
              </w:tc>
              <w:tc>
                <w:tcPr>
                  <w:tcW w:w="474" w:type="dxa"/>
                  <w:vAlign w:val="center"/>
                </w:tcPr>
                <w:p w14:paraId="07305700">
                  <w:pPr>
                    <w:pStyle w:val="55"/>
                    <w:rPr>
                      <w:color w:val="auto"/>
                      <w:highlight w:val="none"/>
                    </w:rPr>
                  </w:pPr>
                  <w:r>
                    <w:rPr>
                      <w:color w:val="auto"/>
                      <w:highlight w:val="none"/>
                    </w:rPr>
                    <w:t>符合</w:t>
                  </w:r>
                </w:p>
              </w:tc>
            </w:tr>
            <w:tr w14:paraId="21628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2" w:type="dxa"/>
                  <w:vMerge w:val="continue"/>
                  <w:vAlign w:val="center"/>
                </w:tcPr>
                <w:p w14:paraId="109A0331">
                  <w:pPr>
                    <w:pStyle w:val="55"/>
                    <w:rPr>
                      <w:color w:val="auto"/>
                      <w:highlight w:val="none"/>
                    </w:rPr>
                  </w:pPr>
                </w:p>
              </w:tc>
              <w:tc>
                <w:tcPr>
                  <w:tcW w:w="506" w:type="dxa"/>
                  <w:tcBorders>
                    <w:top w:val="single" w:color="auto" w:sz="4" w:space="0"/>
                    <w:bottom w:val="single" w:color="auto" w:sz="4" w:space="0"/>
                  </w:tcBorders>
                  <w:vAlign w:val="center"/>
                </w:tcPr>
                <w:p w14:paraId="7F792FD6">
                  <w:pPr>
                    <w:pStyle w:val="55"/>
                    <w:ind w:firstLine="0" w:firstLineChars="0"/>
                    <w:rPr>
                      <w:rFonts w:hint="eastAsia"/>
                      <w:color w:val="auto"/>
                      <w:highlight w:val="none"/>
                    </w:rPr>
                  </w:pPr>
                  <w:r>
                    <w:rPr>
                      <w:rFonts w:hint="eastAsia"/>
                      <w:color w:val="auto"/>
                      <w:highlight w:val="none"/>
                    </w:rPr>
                    <w:t>A7.3环境风险防控</w:t>
                  </w:r>
                </w:p>
              </w:tc>
              <w:tc>
                <w:tcPr>
                  <w:tcW w:w="3654" w:type="dxa"/>
                  <w:tcBorders>
                    <w:bottom w:val="single" w:color="auto" w:sz="4" w:space="0"/>
                  </w:tcBorders>
                  <w:vAlign w:val="center"/>
                </w:tcPr>
                <w:p w14:paraId="672D180E">
                  <w:pPr>
                    <w:pStyle w:val="55"/>
                    <w:ind w:firstLine="0" w:firstLineChars="0"/>
                    <w:rPr>
                      <w:rFonts w:hint="eastAsia"/>
                      <w:color w:val="auto"/>
                      <w:highlight w:val="none"/>
                    </w:rPr>
                  </w:pPr>
                  <w:r>
                    <w:rPr>
                      <w:rFonts w:hint="eastAsia"/>
                      <w:color w:val="auto"/>
                      <w:highlight w:val="none"/>
                    </w:rPr>
                    <w:t>【A7.3-1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964" w:type="dxa"/>
                  <w:vAlign w:val="center"/>
                </w:tcPr>
                <w:p w14:paraId="4800BFE8">
                  <w:pPr>
                    <w:pStyle w:val="55"/>
                    <w:ind w:firstLine="0" w:firstLineChars="0"/>
                    <w:rPr>
                      <w:color w:val="auto"/>
                      <w:highlight w:val="none"/>
                    </w:rPr>
                  </w:pPr>
                  <w:r>
                    <w:rPr>
                      <w:rFonts w:hint="eastAsia" w:ascii="宋体" w:hAnsi="宋体" w:cs="宋体"/>
                      <w:color w:val="auto"/>
                      <w:sz w:val="21"/>
                      <w:szCs w:val="21"/>
                      <w:highlight w:val="none"/>
                    </w:rPr>
                    <w:t>本项目工艺简单，不产生有毒有害物质，</w:t>
                  </w:r>
                  <w:r>
                    <w:rPr>
                      <w:rFonts w:hint="eastAsia" w:ascii="宋体" w:hAnsi="宋体" w:cs="宋体"/>
                      <w:color w:val="auto"/>
                      <w:sz w:val="21"/>
                      <w:szCs w:val="21"/>
                      <w:highlight w:val="none"/>
                      <w:lang w:val="en-US" w:eastAsia="zh-CN"/>
                    </w:rPr>
                    <w:t>项目周</w:t>
                  </w:r>
                  <w:r>
                    <w:rPr>
                      <w:rFonts w:hint="default" w:ascii="Times New Roman" w:hAnsi="Times New Roman" w:cs="Times New Roman"/>
                      <w:color w:val="auto"/>
                      <w:sz w:val="21"/>
                      <w:szCs w:val="21"/>
                      <w:highlight w:val="none"/>
                      <w:lang w:val="en-US" w:eastAsia="zh-CN"/>
                    </w:rPr>
                    <w:t>边500米范</w:t>
                  </w:r>
                  <w:r>
                    <w:rPr>
                      <w:rFonts w:hint="eastAsia" w:ascii="宋体" w:hAnsi="宋体" w:cs="宋体"/>
                      <w:color w:val="auto"/>
                      <w:sz w:val="21"/>
                      <w:szCs w:val="21"/>
                      <w:highlight w:val="none"/>
                      <w:lang w:val="en-US" w:eastAsia="zh-CN"/>
                    </w:rPr>
                    <w:t>围内无环境保护目标。</w:t>
                  </w:r>
                </w:p>
              </w:tc>
              <w:tc>
                <w:tcPr>
                  <w:tcW w:w="474" w:type="dxa"/>
                  <w:vAlign w:val="center"/>
                </w:tcPr>
                <w:p w14:paraId="5FCEF38E">
                  <w:pPr>
                    <w:pStyle w:val="55"/>
                    <w:rPr>
                      <w:color w:val="auto"/>
                      <w:highlight w:val="none"/>
                    </w:rPr>
                  </w:pPr>
                  <w:r>
                    <w:rPr>
                      <w:color w:val="auto"/>
                      <w:highlight w:val="none"/>
                    </w:rPr>
                    <w:t>符合</w:t>
                  </w:r>
                </w:p>
              </w:tc>
            </w:tr>
            <w:tr w14:paraId="683B6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50" w:hRule="atLeast"/>
                <w:jc w:val="center"/>
              </w:trPr>
              <w:tc>
                <w:tcPr>
                  <w:tcW w:w="492" w:type="dxa"/>
                  <w:vMerge w:val="continue"/>
                  <w:vAlign w:val="center"/>
                </w:tcPr>
                <w:p w14:paraId="5C887301">
                  <w:pPr>
                    <w:pStyle w:val="55"/>
                    <w:rPr>
                      <w:color w:val="auto"/>
                      <w:highlight w:val="none"/>
                    </w:rPr>
                  </w:pPr>
                </w:p>
              </w:tc>
              <w:tc>
                <w:tcPr>
                  <w:tcW w:w="506" w:type="dxa"/>
                  <w:tcBorders>
                    <w:top w:val="single" w:color="auto" w:sz="4" w:space="0"/>
                  </w:tcBorders>
                  <w:vAlign w:val="center"/>
                </w:tcPr>
                <w:p w14:paraId="79B0C480">
                  <w:pPr>
                    <w:pStyle w:val="55"/>
                    <w:ind w:firstLine="0" w:firstLineChars="0"/>
                    <w:rPr>
                      <w:rFonts w:hint="eastAsia"/>
                      <w:color w:val="auto"/>
                      <w:highlight w:val="none"/>
                    </w:rPr>
                  </w:pPr>
                  <w:r>
                    <w:rPr>
                      <w:rFonts w:hint="eastAsia"/>
                      <w:color w:val="auto"/>
                      <w:highlight w:val="none"/>
                    </w:rPr>
                    <w:t>A7.4资源利用要求</w:t>
                  </w:r>
                </w:p>
              </w:tc>
              <w:tc>
                <w:tcPr>
                  <w:tcW w:w="3654" w:type="dxa"/>
                  <w:tcBorders>
                    <w:top w:val="single" w:color="auto" w:sz="4" w:space="0"/>
                  </w:tcBorders>
                  <w:vAlign w:val="center"/>
                </w:tcPr>
                <w:p w14:paraId="0D6F6C39">
                  <w:pPr>
                    <w:pStyle w:val="55"/>
                    <w:ind w:firstLine="0" w:firstLineChars="0"/>
                    <w:rPr>
                      <w:rFonts w:hint="eastAsia"/>
                      <w:color w:val="auto"/>
                      <w:highlight w:val="none"/>
                    </w:rPr>
                  </w:pPr>
                  <w:r>
                    <w:rPr>
                      <w:rFonts w:hint="eastAsia"/>
                      <w:color w:val="auto"/>
                      <w:highlight w:val="none"/>
                    </w:rPr>
                    <w:t>【A7.4-1】实行水资源消耗总量和强度双控，推进农业节水，提高农业用水效率。优化能源结构，加强能源清洁利用。</w:t>
                  </w:r>
                </w:p>
              </w:tc>
              <w:tc>
                <w:tcPr>
                  <w:tcW w:w="1964" w:type="dxa"/>
                  <w:vAlign w:val="center"/>
                </w:tcPr>
                <w:p w14:paraId="069774CB">
                  <w:pPr>
                    <w:pStyle w:val="55"/>
                    <w:ind w:firstLine="0" w:firstLineChars="0"/>
                    <w:rPr>
                      <w:color w:val="auto"/>
                      <w:highlight w:val="none"/>
                    </w:rPr>
                  </w:pPr>
                  <w:r>
                    <w:rPr>
                      <w:rFonts w:hint="eastAsia" w:ascii="宋体" w:hAnsi="宋体" w:cs="宋体"/>
                      <w:color w:val="auto"/>
                      <w:sz w:val="21"/>
                      <w:szCs w:val="21"/>
                      <w:highlight w:val="none"/>
                    </w:rPr>
                    <w:t>本项目主要利用资源为</w:t>
                  </w:r>
                  <w:r>
                    <w:rPr>
                      <w:rFonts w:hint="eastAsia" w:ascii="宋体" w:hAnsi="宋体" w:cs="宋体"/>
                      <w:color w:val="auto"/>
                      <w:sz w:val="21"/>
                      <w:szCs w:val="21"/>
                      <w:highlight w:val="none"/>
                      <w:lang w:val="en-US" w:eastAsia="zh-CN"/>
                    </w:rPr>
                    <w:t>生产</w:t>
                  </w:r>
                  <w:r>
                    <w:rPr>
                      <w:rFonts w:hint="eastAsia" w:ascii="宋体" w:hAnsi="宋体" w:cs="宋体"/>
                      <w:color w:val="auto"/>
                      <w:sz w:val="21"/>
                      <w:szCs w:val="21"/>
                      <w:highlight w:val="none"/>
                    </w:rPr>
                    <w:t>用水</w:t>
                  </w:r>
                  <w:r>
                    <w:rPr>
                      <w:rFonts w:hint="eastAsia" w:ascii="宋体" w:hAnsi="宋体" w:cs="宋体"/>
                      <w:color w:val="auto"/>
                      <w:sz w:val="21"/>
                      <w:szCs w:val="21"/>
                      <w:highlight w:val="none"/>
                      <w:lang w:val="en-US" w:eastAsia="zh-CN"/>
                    </w:rPr>
                    <w:t>和</w:t>
                  </w:r>
                  <w:r>
                    <w:rPr>
                      <w:rFonts w:hint="eastAsia" w:ascii="宋体" w:hAnsi="宋体" w:cs="宋体"/>
                      <w:color w:val="auto"/>
                      <w:sz w:val="21"/>
                      <w:szCs w:val="21"/>
                      <w:highlight w:val="none"/>
                    </w:rPr>
                    <w:t>用电，用水量</w:t>
                  </w:r>
                  <w:r>
                    <w:rPr>
                      <w:rFonts w:hint="eastAsia" w:ascii="宋体" w:hAnsi="宋体" w:cs="宋体"/>
                      <w:color w:val="auto"/>
                      <w:sz w:val="21"/>
                      <w:szCs w:val="21"/>
                      <w:highlight w:val="none"/>
                      <w:lang w:val="en-US" w:eastAsia="zh-CN"/>
                    </w:rPr>
                    <w:t>和</w:t>
                  </w:r>
                  <w:r>
                    <w:rPr>
                      <w:rFonts w:hint="eastAsia" w:ascii="宋体" w:hAnsi="宋体" w:cs="宋体"/>
                      <w:color w:val="auto"/>
                      <w:sz w:val="21"/>
                      <w:szCs w:val="21"/>
                      <w:highlight w:val="none"/>
                    </w:rPr>
                    <w:t>耗电量较小，占地面积较小，对区域水资源、土地资源、能源消耗较小</w:t>
                  </w:r>
                  <w:r>
                    <w:rPr>
                      <w:rFonts w:hint="eastAsia" w:ascii="宋体" w:hAnsi="宋体" w:cs="宋体"/>
                      <w:color w:val="auto"/>
                      <w:sz w:val="21"/>
                      <w:szCs w:val="21"/>
                      <w:highlight w:val="none"/>
                      <w:lang w:eastAsia="zh-CN"/>
                    </w:rPr>
                    <w:t>。</w:t>
                  </w:r>
                </w:p>
              </w:tc>
              <w:tc>
                <w:tcPr>
                  <w:tcW w:w="474" w:type="dxa"/>
                  <w:vAlign w:val="center"/>
                </w:tcPr>
                <w:p w14:paraId="7B68380E">
                  <w:pPr>
                    <w:pStyle w:val="55"/>
                    <w:rPr>
                      <w:color w:val="auto"/>
                      <w:highlight w:val="none"/>
                    </w:rPr>
                  </w:pPr>
                  <w:r>
                    <w:rPr>
                      <w:color w:val="auto"/>
                      <w:highlight w:val="none"/>
                    </w:rPr>
                    <w:t>符合</w:t>
                  </w:r>
                </w:p>
              </w:tc>
            </w:tr>
          </w:tbl>
          <w:p w14:paraId="3B3B96D9">
            <w:pPr>
              <w:adjustRightInd w:val="0"/>
              <w:snapToGrid w:val="0"/>
              <w:ind w:firstLine="0" w:firstLineChars="0"/>
              <w:jc w:val="center"/>
              <w:rPr>
                <w:rFonts w:hint="default"/>
                <w:b/>
                <w:bCs/>
                <w:color w:val="auto"/>
                <w:kern w:val="0"/>
                <w:sz w:val="21"/>
                <w:szCs w:val="21"/>
                <w:highlight w:val="none"/>
              </w:rPr>
            </w:pPr>
            <w:r>
              <w:rPr>
                <w:rFonts w:hint="default"/>
                <w:b/>
                <w:bCs/>
                <w:color w:val="auto"/>
                <w:kern w:val="0"/>
                <w:sz w:val="21"/>
                <w:szCs w:val="21"/>
                <w:highlight w:val="none"/>
              </w:rPr>
              <w:t>表1-</w:t>
            </w:r>
            <w:r>
              <w:rPr>
                <w:rFonts w:hint="eastAsia"/>
                <w:b/>
                <w:bCs/>
                <w:color w:val="auto"/>
                <w:kern w:val="0"/>
                <w:sz w:val="21"/>
                <w:szCs w:val="21"/>
                <w:highlight w:val="none"/>
                <w:lang w:val="en-US" w:eastAsia="zh-CN"/>
              </w:rPr>
              <w:t>4</w:t>
            </w:r>
            <w:r>
              <w:rPr>
                <w:rFonts w:hint="default"/>
                <w:b/>
                <w:bCs/>
                <w:color w:val="auto"/>
                <w:kern w:val="0"/>
                <w:sz w:val="21"/>
                <w:szCs w:val="21"/>
                <w:highlight w:val="none"/>
              </w:rPr>
              <w:t xml:space="preserve"> 自治区七大片区“三线一单”生态环境分区管控要求符合性分析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3"/>
              <w:gridCol w:w="4425"/>
              <w:gridCol w:w="2148"/>
              <w:gridCol w:w="459"/>
            </w:tblGrid>
            <w:tr w14:paraId="6527A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restart"/>
                  <w:tcBorders>
                    <w:tl2br w:val="nil"/>
                    <w:tr2bl w:val="nil"/>
                  </w:tcBorders>
                  <w:vAlign w:val="center"/>
                </w:tcPr>
                <w:p w14:paraId="7816DF84">
                  <w:pPr>
                    <w:pStyle w:val="55"/>
                    <w:rPr>
                      <w:color w:val="auto"/>
                      <w:highlight w:val="none"/>
                    </w:rPr>
                  </w:pPr>
                  <w:r>
                    <w:rPr>
                      <w:color w:val="auto"/>
                      <w:highlight w:val="none"/>
                    </w:rPr>
                    <w:t>天山南坡片区总体管控要求</w:t>
                  </w:r>
                </w:p>
              </w:tc>
              <w:tc>
                <w:tcPr>
                  <w:tcW w:w="5060" w:type="dxa"/>
                  <w:tcBorders>
                    <w:tl2br w:val="nil"/>
                    <w:tr2bl w:val="nil"/>
                  </w:tcBorders>
                  <w:vAlign w:val="center"/>
                </w:tcPr>
                <w:p w14:paraId="2089BF3E">
                  <w:pPr>
                    <w:pStyle w:val="55"/>
                    <w:rPr>
                      <w:color w:val="auto"/>
                      <w:highlight w:val="none"/>
                    </w:rPr>
                  </w:pPr>
                  <w:r>
                    <w:rPr>
                      <w:color w:val="auto"/>
                      <w:highlight w:val="none"/>
                    </w:rPr>
                    <w:t>管控要求</w:t>
                  </w:r>
                </w:p>
              </w:tc>
              <w:tc>
                <w:tcPr>
                  <w:tcW w:w="2396" w:type="dxa"/>
                  <w:tcBorders>
                    <w:tl2br w:val="nil"/>
                    <w:tr2bl w:val="nil"/>
                  </w:tcBorders>
                  <w:vAlign w:val="center"/>
                </w:tcPr>
                <w:p w14:paraId="5F7A83C4">
                  <w:pPr>
                    <w:pStyle w:val="55"/>
                    <w:rPr>
                      <w:color w:val="auto"/>
                      <w:highlight w:val="none"/>
                    </w:rPr>
                  </w:pPr>
                  <w:r>
                    <w:rPr>
                      <w:color w:val="auto"/>
                      <w:highlight w:val="none"/>
                    </w:rPr>
                    <w:t>本项目</w:t>
                  </w:r>
                </w:p>
              </w:tc>
              <w:tc>
                <w:tcPr>
                  <w:tcW w:w="472" w:type="dxa"/>
                  <w:tcBorders>
                    <w:tl2br w:val="nil"/>
                    <w:tr2bl w:val="nil"/>
                  </w:tcBorders>
                  <w:vAlign w:val="center"/>
                </w:tcPr>
                <w:p w14:paraId="7A1DD2A9">
                  <w:pPr>
                    <w:pStyle w:val="55"/>
                    <w:rPr>
                      <w:color w:val="auto"/>
                      <w:highlight w:val="none"/>
                    </w:rPr>
                  </w:pPr>
                  <w:r>
                    <w:rPr>
                      <w:color w:val="auto"/>
                      <w:highlight w:val="none"/>
                    </w:rPr>
                    <w:t>符合性</w:t>
                  </w:r>
                </w:p>
              </w:tc>
            </w:tr>
            <w:tr w14:paraId="05F64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continue"/>
                  <w:tcBorders>
                    <w:tl2br w:val="nil"/>
                    <w:tr2bl w:val="nil"/>
                  </w:tcBorders>
                  <w:vAlign w:val="center"/>
                </w:tcPr>
                <w:p w14:paraId="3CAA7EC2">
                  <w:pPr>
                    <w:pStyle w:val="55"/>
                    <w:rPr>
                      <w:color w:val="auto"/>
                      <w:highlight w:val="none"/>
                    </w:rPr>
                  </w:pPr>
                </w:p>
              </w:tc>
              <w:tc>
                <w:tcPr>
                  <w:tcW w:w="5060" w:type="dxa"/>
                  <w:tcBorders>
                    <w:tl2br w:val="nil"/>
                    <w:tr2bl w:val="nil"/>
                  </w:tcBorders>
                  <w:vAlign w:val="center"/>
                </w:tcPr>
                <w:p w14:paraId="73CDBAC8">
                  <w:pPr>
                    <w:pStyle w:val="55"/>
                    <w:rPr>
                      <w:color w:val="auto"/>
                      <w:highlight w:val="none"/>
                    </w:rPr>
                  </w:pPr>
                  <w:r>
                    <w:rPr>
                      <w:color w:val="auto"/>
                      <w:highlight w:val="none"/>
                    </w:rPr>
                    <w:t>切实保护托木尔峰和天山南坡中段冰雪水源及生物多样性保护生态功能区内的托木尔峰自然景观、高山冰川、野生动物、森林和草原，合理利用 天然草地，稳步推进草原减牧，加强保护区管理，维护自然景观和生物多样性。</w:t>
                  </w:r>
                </w:p>
              </w:tc>
              <w:tc>
                <w:tcPr>
                  <w:tcW w:w="2396" w:type="dxa"/>
                  <w:tcBorders>
                    <w:tl2br w:val="nil"/>
                    <w:tr2bl w:val="nil"/>
                  </w:tcBorders>
                  <w:vAlign w:val="center"/>
                </w:tcPr>
                <w:p w14:paraId="3683707C">
                  <w:pPr>
                    <w:pStyle w:val="55"/>
                    <w:rPr>
                      <w:color w:val="auto"/>
                      <w:highlight w:val="none"/>
                    </w:rPr>
                  </w:pPr>
                  <w:r>
                    <w:rPr>
                      <w:color w:val="auto"/>
                      <w:highlight w:val="none"/>
                    </w:rPr>
                    <w:t>本项目不在托木尔峰和天山南坡中段冰雪水源及生物多样性保护生态功能区</w:t>
                  </w:r>
                </w:p>
              </w:tc>
              <w:tc>
                <w:tcPr>
                  <w:tcW w:w="472" w:type="dxa"/>
                  <w:tcBorders>
                    <w:tl2br w:val="nil"/>
                    <w:tr2bl w:val="nil"/>
                  </w:tcBorders>
                  <w:vAlign w:val="center"/>
                </w:tcPr>
                <w:p w14:paraId="6B7F1930">
                  <w:pPr>
                    <w:pStyle w:val="55"/>
                    <w:rPr>
                      <w:rFonts w:hint="eastAsia" w:eastAsia="宋体"/>
                      <w:color w:val="auto"/>
                      <w:highlight w:val="none"/>
                      <w:lang w:eastAsia="zh-CN"/>
                    </w:rPr>
                  </w:pPr>
                  <w:r>
                    <w:rPr>
                      <w:rFonts w:hint="eastAsia"/>
                      <w:color w:val="auto"/>
                      <w:highlight w:val="none"/>
                      <w:lang w:val="en-US" w:eastAsia="zh-CN"/>
                    </w:rPr>
                    <w:t>/</w:t>
                  </w:r>
                </w:p>
              </w:tc>
            </w:tr>
            <w:tr w14:paraId="675D1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continue"/>
                  <w:tcBorders>
                    <w:tl2br w:val="nil"/>
                    <w:tr2bl w:val="nil"/>
                  </w:tcBorders>
                  <w:vAlign w:val="center"/>
                </w:tcPr>
                <w:p w14:paraId="53E6F490">
                  <w:pPr>
                    <w:pStyle w:val="55"/>
                    <w:rPr>
                      <w:color w:val="auto"/>
                      <w:highlight w:val="none"/>
                    </w:rPr>
                  </w:pPr>
                </w:p>
              </w:tc>
              <w:tc>
                <w:tcPr>
                  <w:tcW w:w="5060" w:type="dxa"/>
                  <w:tcBorders>
                    <w:tl2br w:val="nil"/>
                    <w:tr2bl w:val="nil"/>
                  </w:tcBorders>
                  <w:vAlign w:val="center"/>
                </w:tcPr>
                <w:p w14:paraId="5E411E5D">
                  <w:pPr>
                    <w:pStyle w:val="55"/>
                    <w:rPr>
                      <w:color w:val="auto"/>
                      <w:highlight w:val="none"/>
                    </w:rPr>
                  </w:pPr>
                  <w:r>
                    <w:rPr>
                      <w:color w:val="auto"/>
                      <w:highlight w:val="none"/>
                    </w:rPr>
                    <w:t>重点做好塔里木盆地北缘荒漠化防治。加强荒漠植被及河岸荒漠林保护，规范油气勘探开发作业，建立油田和公路扰动区域工程与生物相结合的防风固沙体系，逐步形成生态屏障。</w:t>
                  </w:r>
                </w:p>
              </w:tc>
              <w:tc>
                <w:tcPr>
                  <w:tcW w:w="2396" w:type="dxa"/>
                  <w:tcBorders>
                    <w:tl2br w:val="nil"/>
                    <w:tr2bl w:val="nil"/>
                  </w:tcBorders>
                  <w:vAlign w:val="center"/>
                </w:tcPr>
                <w:p w14:paraId="0336BEC4">
                  <w:pPr>
                    <w:pStyle w:val="55"/>
                    <w:rPr>
                      <w:color w:val="auto"/>
                      <w:highlight w:val="none"/>
                    </w:rPr>
                  </w:pPr>
                  <w:r>
                    <w:rPr>
                      <w:color w:val="auto"/>
                      <w:highlight w:val="none"/>
                    </w:rPr>
                    <w:t>本项目不涉及油气勘探开发</w:t>
                  </w:r>
                </w:p>
              </w:tc>
              <w:tc>
                <w:tcPr>
                  <w:tcW w:w="472" w:type="dxa"/>
                  <w:tcBorders>
                    <w:tl2br w:val="nil"/>
                    <w:tr2bl w:val="nil"/>
                  </w:tcBorders>
                  <w:vAlign w:val="center"/>
                </w:tcPr>
                <w:p w14:paraId="664104AC">
                  <w:pPr>
                    <w:pStyle w:val="55"/>
                    <w:rPr>
                      <w:rFonts w:hint="eastAsia" w:eastAsia="宋体"/>
                      <w:color w:val="auto"/>
                      <w:highlight w:val="none"/>
                      <w:lang w:eastAsia="zh-CN"/>
                    </w:rPr>
                  </w:pPr>
                  <w:r>
                    <w:rPr>
                      <w:rFonts w:hint="eastAsia"/>
                      <w:color w:val="auto"/>
                      <w:highlight w:val="none"/>
                      <w:lang w:val="en-US" w:eastAsia="zh-CN"/>
                    </w:rPr>
                    <w:t>/</w:t>
                  </w:r>
                </w:p>
              </w:tc>
            </w:tr>
            <w:tr w14:paraId="1ADFA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continue"/>
                  <w:tcBorders>
                    <w:tl2br w:val="nil"/>
                    <w:tr2bl w:val="nil"/>
                  </w:tcBorders>
                  <w:vAlign w:val="center"/>
                </w:tcPr>
                <w:p w14:paraId="7A8B09AF">
                  <w:pPr>
                    <w:pStyle w:val="55"/>
                    <w:rPr>
                      <w:color w:val="auto"/>
                      <w:highlight w:val="none"/>
                    </w:rPr>
                  </w:pPr>
                </w:p>
              </w:tc>
              <w:tc>
                <w:tcPr>
                  <w:tcW w:w="5060" w:type="dxa"/>
                  <w:tcBorders>
                    <w:tl2br w:val="nil"/>
                    <w:tr2bl w:val="nil"/>
                  </w:tcBorders>
                  <w:vAlign w:val="center"/>
                </w:tcPr>
                <w:p w14:paraId="42FF7928">
                  <w:pPr>
                    <w:pStyle w:val="55"/>
                    <w:rPr>
                      <w:color w:val="auto"/>
                      <w:highlight w:val="none"/>
                    </w:rPr>
                  </w:pPr>
                  <w:r>
                    <w:rPr>
                      <w:color w:val="auto"/>
                      <w:highlight w:val="none"/>
                    </w:rPr>
                    <w:t>推进塔里木河流域用水结构调整，维护塔里木河、博斯腾湖基本生态用水。</w:t>
                  </w:r>
                </w:p>
              </w:tc>
              <w:tc>
                <w:tcPr>
                  <w:tcW w:w="2396" w:type="dxa"/>
                  <w:tcBorders>
                    <w:tl2br w:val="nil"/>
                    <w:tr2bl w:val="nil"/>
                  </w:tcBorders>
                  <w:vAlign w:val="center"/>
                </w:tcPr>
                <w:p w14:paraId="5DD7D3AA">
                  <w:pPr>
                    <w:pStyle w:val="55"/>
                    <w:rPr>
                      <w:color w:val="auto"/>
                      <w:highlight w:val="none"/>
                    </w:rPr>
                  </w:pPr>
                  <w:r>
                    <w:rPr>
                      <w:color w:val="auto"/>
                      <w:highlight w:val="none"/>
                    </w:rPr>
                    <w:t>本项目不涉及塔里木河、博斯腾湖生态用水</w:t>
                  </w:r>
                </w:p>
              </w:tc>
              <w:tc>
                <w:tcPr>
                  <w:tcW w:w="472" w:type="dxa"/>
                  <w:tcBorders>
                    <w:tl2br w:val="nil"/>
                    <w:tr2bl w:val="nil"/>
                  </w:tcBorders>
                  <w:vAlign w:val="center"/>
                </w:tcPr>
                <w:p w14:paraId="3BDFFC52">
                  <w:pPr>
                    <w:pStyle w:val="55"/>
                    <w:rPr>
                      <w:rFonts w:hint="eastAsia" w:eastAsia="宋体"/>
                      <w:color w:val="auto"/>
                      <w:highlight w:val="none"/>
                      <w:lang w:eastAsia="zh-CN"/>
                    </w:rPr>
                  </w:pPr>
                  <w:r>
                    <w:rPr>
                      <w:rFonts w:hint="eastAsia"/>
                      <w:color w:val="auto"/>
                      <w:highlight w:val="none"/>
                      <w:lang w:val="en-US" w:eastAsia="zh-CN"/>
                    </w:rPr>
                    <w:t>/</w:t>
                  </w:r>
                </w:p>
              </w:tc>
            </w:tr>
            <w:tr w14:paraId="2CA92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continue"/>
                  <w:tcBorders>
                    <w:tl2br w:val="nil"/>
                    <w:tr2bl w:val="nil"/>
                  </w:tcBorders>
                  <w:vAlign w:val="center"/>
                </w:tcPr>
                <w:p w14:paraId="122DC77E">
                  <w:pPr>
                    <w:pStyle w:val="55"/>
                    <w:rPr>
                      <w:color w:val="auto"/>
                      <w:highlight w:val="none"/>
                    </w:rPr>
                  </w:pPr>
                </w:p>
              </w:tc>
              <w:tc>
                <w:tcPr>
                  <w:tcW w:w="5060" w:type="dxa"/>
                  <w:tcBorders>
                    <w:tl2br w:val="nil"/>
                    <w:tr2bl w:val="nil"/>
                  </w:tcBorders>
                  <w:vAlign w:val="center"/>
                </w:tcPr>
                <w:p w14:paraId="014ADD42">
                  <w:pPr>
                    <w:pStyle w:val="55"/>
                    <w:rPr>
                      <w:color w:val="auto"/>
                      <w:highlight w:val="none"/>
                    </w:rPr>
                  </w:pPr>
                  <w:r>
                    <w:rPr>
                      <w:color w:val="auto"/>
                      <w:highlight w:val="none"/>
                    </w:rPr>
                    <w:t>加强塔里木河流域水环境风险管控。加大博斯腾湖污染源头达标排放治理和监督力度，实施博斯腾湖综合治理。</w:t>
                  </w:r>
                </w:p>
              </w:tc>
              <w:tc>
                <w:tcPr>
                  <w:tcW w:w="2396" w:type="dxa"/>
                  <w:tcBorders>
                    <w:tl2br w:val="nil"/>
                    <w:tr2bl w:val="nil"/>
                  </w:tcBorders>
                  <w:vAlign w:val="center"/>
                </w:tcPr>
                <w:p w14:paraId="3016CE19">
                  <w:pPr>
                    <w:pStyle w:val="55"/>
                    <w:rPr>
                      <w:color w:val="auto"/>
                      <w:highlight w:val="none"/>
                    </w:rPr>
                  </w:pPr>
                  <w:r>
                    <w:rPr>
                      <w:color w:val="auto"/>
                      <w:highlight w:val="none"/>
                    </w:rPr>
                    <w:t>本项目不涉及</w:t>
                  </w:r>
                </w:p>
              </w:tc>
              <w:tc>
                <w:tcPr>
                  <w:tcW w:w="472" w:type="dxa"/>
                  <w:tcBorders>
                    <w:tl2br w:val="nil"/>
                    <w:tr2bl w:val="nil"/>
                  </w:tcBorders>
                  <w:vAlign w:val="center"/>
                </w:tcPr>
                <w:p w14:paraId="75ED537F">
                  <w:pPr>
                    <w:pStyle w:val="55"/>
                    <w:rPr>
                      <w:rFonts w:hint="eastAsia" w:eastAsia="宋体"/>
                      <w:color w:val="auto"/>
                      <w:highlight w:val="none"/>
                      <w:lang w:eastAsia="zh-CN"/>
                    </w:rPr>
                  </w:pPr>
                  <w:r>
                    <w:rPr>
                      <w:rFonts w:hint="eastAsia"/>
                      <w:color w:val="auto"/>
                      <w:highlight w:val="none"/>
                      <w:lang w:val="en-US" w:eastAsia="zh-CN"/>
                    </w:rPr>
                    <w:t>/</w:t>
                  </w:r>
                </w:p>
              </w:tc>
            </w:tr>
            <w:tr w14:paraId="1C424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48" w:type="dxa"/>
                  <w:vMerge w:val="continue"/>
                  <w:tcBorders>
                    <w:tl2br w:val="nil"/>
                    <w:tr2bl w:val="nil"/>
                  </w:tcBorders>
                  <w:vAlign w:val="center"/>
                </w:tcPr>
                <w:p w14:paraId="6F46B85F">
                  <w:pPr>
                    <w:pStyle w:val="55"/>
                    <w:rPr>
                      <w:color w:val="auto"/>
                      <w:highlight w:val="none"/>
                    </w:rPr>
                  </w:pPr>
                </w:p>
              </w:tc>
              <w:tc>
                <w:tcPr>
                  <w:tcW w:w="5060" w:type="dxa"/>
                  <w:tcBorders>
                    <w:tl2br w:val="nil"/>
                    <w:tr2bl w:val="nil"/>
                  </w:tcBorders>
                  <w:vAlign w:val="center"/>
                </w:tcPr>
                <w:p w14:paraId="071C0A27">
                  <w:pPr>
                    <w:pStyle w:val="55"/>
                    <w:rPr>
                      <w:color w:val="auto"/>
                      <w:highlight w:val="none"/>
                    </w:rPr>
                  </w:pPr>
                  <w:r>
                    <w:rPr>
                      <w:color w:val="auto"/>
                      <w:highlight w:val="none"/>
                    </w:rPr>
                    <w:t>加强油</w:t>
                  </w:r>
                  <w:r>
                    <w:rPr>
                      <w:rFonts w:hint="eastAsia"/>
                      <w:color w:val="auto"/>
                      <w:highlight w:val="none"/>
                      <w:lang w:eastAsia="zh-CN"/>
                    </w:rPr>
                    <w:t>（</w:t>
                  </w:r>
                  <w:r>
                    <w:rPr>
                      <w:color w:val="auto"/>
                      <w:highlight w:val="none"/>
                    </w:rPr>
                    <w:t>气</w:t>
                  </w:r>
                  <w:r>
                    <w:rPr>
                      <w:rFonts w:hint="eastAsia"/>
                      <w:color w:val="auto"/>
                      <w:highlight w:val="none"/>
                      <w:lang w:eastAsia="zh-CN"/>
                    </w:rPr>
                    <w:t>）</w:t>
                  </w:r>
                  <w:r>
                    <w:rPr>
                      <w:color w:val="auto"/>
                      <w:highlight w:val="none"/>
                    </w:rPr>
                    <w:t>资源开发区土壤环境污染综合整治。强化涉重金属行业污染防控与工业废物处理处置。</w:t>
                  </w:r>
                </w:p>
              </w:tc>
              <w:tc>
                <w:tcPr>
                  <w:tcW w:w="2396" w:type="dxa"/>
                  <w:tcBorders>
                    <w:tl2br w:val="nil"/>
                    <w:tr2bl w:val="nil"/>
                  </w:tcBorders>
                  <w:vAlign w:val="center"/>
                </w:tcPr>
                <w:p w14:paraId="59BE3489">
                  <w:pPr>
                    <w:pStyle w:val="55"/>
                    <w:rPr>
                      <w:color w:val="auto"/>
                      <w:highlight w:val="none"/>
                    </w:rPr>
                  </w:pPr>
                  <w:r>
                    <w:rPr>
                      <w:color w:val="auto"/>
                      <w:highlight w:val="none"/>
                    </w:rPr>
                    <w:t>本项目不涉及油气开发，不涉及重金属排放</w:t>
                  </w:r>
                </w:p>
              </w:tc>
              <w:tc>
                <w:tcPr>
                  <w:tcW w:w="472" w:type="dxa"/>
                  <w:tcBorders>
                    <w:tl2br w:val="nil"/>
                    <w:tr2bl w:val="nil"/>
                  </w:tcBorders>
                  <w:vAlign w:val="center"/>
                </w:tcPr>
                <w:p w14:paraId="70F258B6">
                  <w:pPr>
                    <w:pStyle w:val="55"/>
                    <w:rPr>
                      <w:rFonts w:hint="eastAsia" w:eastAsia="宋体"/>
                      <w:color w:val="auto"/>
                      <w:highlight w:val="none"/>
                      <w:lang w:eastAsia="zh-CN"/>
                    </w:rPr>
                  </w:pPr>
                  <w:r>
                    <w:rPr>
                      <w:rFonts w:hint="eastAsia"/>
                      <w:color w:val="auto"/>
                      <w:highlight w:val="none"/>
                      <w:lang w:val="en-US" w:eastAsia="zh-CN"/>
                    </w:rPr>
                    <w:t>/</w:t>
                  </w:r>
                </w:p>
              </w:tc>
            </w:tr>
          </w:tbl>
          <w:p w14:paraId="34F8DA8E">
            <w:pPr>
              <w:pStyle w:val="3"/>
              <w:rPr>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 与</w:t>
            </w:r>
            <w:r>
              <w:rPr>
                <w:rFonts w:hint="eastAsia"/>
                <w:color w:val="auto"/>
                <w:highlight w:val="none"/>
              </w:rPr>
              <w:t>《巴音郭楞蒙古自治州生态环境准入清单（</w:t>
            </w:r>
            <w:r>
              <w:rPr>
                <w:rFonts w:hint="default" w:ascii="Times New Roman" w:hAnsi="Times New Roman" w:cs="Times New Roman"/>
                <w:color w:val="auto"/>
                <w:highlight w:val="none"/>
              </w:rPr>
              <w:t>2023</w:t>
            </w:r>
            <w:r>
              <w:rPr>
                <w:rFonts w:hint="eastAsia"/>
                <w:color w:val="auto"/>
                <w:highlight w:val="none"/>
              </w:rPr>
              <w:t>年动态更新版）》</w:t>
            </w:r>
            <w:r>
              <w:rPr>
                <w:color w:val="auto"/>
                <w:highlight w:val="none"/>
              </w:rPr>
              <w:t>符合性分析</w:t>
            </w:r>
          </w:p>
          <w:p w14:paraId="49E53B39">
            <w:pPr>
              <w:pStyle w:val="3"/>
              <w:rPr>
                <w:color w:val="auto"/>
                <w:highlight w:val="none"/>
              </w:rPr>
            </w:pPr>
            <w:r>
              <w:rPr>
                <w:rFonts w:hint="eastAsia" w:ascii="Times New Roman" w:hAnsi="Times New Roman" w:cs="Times New Roman"/>
                <w:color w:val="auto"/>
                <w:highlight w:val="none"/>
                <w:lang w:val="en-US" w:eastAsia="zh-CN"/>
              </w:rPr>
              <w:t>3.3.1 总</w:t>
            </w:r>
            <w:r>
              <w:rPr>
                <w:rFonts w:hint="eastAsia"/>
                <w:color w:val="auto"/>
                <w:highlight w:val="none"/>
              </w:rPr>
              <w:t>体要求</w:t>
            </w:r>
          </w:p>
          <w:p w14:paraId="7A1DD80A">
            <w:pPr>
              <w:ind w:firstLine="480"/>
              <w:rPr>
                <w:color w:val="auto"/>
                <w:highlight w:val="none"/>
              </w:rPr>
            </w:pPr>
            <w:r>
              <w:rPr>
                <w:rFonts w:hint="eastAsia"/>
                <w:color w:val="auto"/>
                <w:highlight w:val="none"/>
              </w:rPr>
              <w:t>（1）生态保护红线</w:t>
            </w:r>
          </w:p>
          <w:p w14:paraId="65F5EBC5">
            <w:pPr>
              <w:ind w:firstLine="480"/>
              <w:rPr>
                <w:color w:val="auto"/>
                <w:highlight w:val="none"/>
              </w:rPr>
            </w:pPr>
            <w:r>
              <w:rPr>
                <w:rFonts w:hint="eastAsia"/>
                <w:color w:val="auto"/>
                <w:highlight w:val="none"/>
              </w:rPr>
              <w:t>按照“生态功能不降低、面积不减少、性质不改变”的基本要求，对划定的生态保护红线实施严格管控，保障和维护国家生态安全的底线和生命线。</w:t>
            </w:r>
          </w:p>
          <w:p w14:paraId="2662D363">
            <w:pPr>
              <w:ind w:firstLine="480"/>
              <w:rPr>
                <w:color w:val="auto"/>
                <w:highlight w:val="none"/>
              </w:rPr>
            </w:pPr>
            <w:r>
              <w:rPr>
                <w:rFonts w:hint="eastAsia"/>
                <w:color w:val="auto"/>
                <w:highlight w:val="none"/>
              </w:rPr>
              <w:t>该项目位于</w:t>
            </w:r>
            <w:r>
              <w:rPr>
                <w:color w:val="auto"/>
                <w:highlight w:val="none"/>
              </w:rPr>
              <w:t>新疆巴州</w:t>
            </w:r>
            <w:r>
              <w:rPr>
                <w:rFonts w:hint="eastAsia"/>
                <w:color w:val="auto"/>
                <w:highlight w:val="none"/>
              </w:rPr>
              <w:t>若羌县一般管控区内，属于一般管控单元，管控单元编码：ZH65282430001，</w:t>
            </w:r>
            <w:r>
              <w:rPr>
                <w:color w:val="auto"/>
                <w:highlight w:val="none"/>
              </w:rPr>
              <w:t>评价范围内无自然保护区、风景名胜区、饮用水水源地保护区、自然公园等生态保护目标，符合生态保护红线的要求。</w:t>
            </w:r>
          </w:p>
          <w:p w14:paraId="3854493E">
            <w:pPr>
              <w:ind w:firstLine="480"/>
              <w:rPr>
                <w:color w:val="auto"/>
                <w:highlight w:val="none"/>
              </w:rPr>
            </w:pPr>
            <w:r>
              <w:rPr>
                <w:rFonts w:hint="eastAsia"/>
                <w:color w:val="auto"/>
                <w:highlight w:val="none"/>
              </w:rPr>
              <w:t>（2）资源利用上线</w:t>
            </w:r>
          </w:p>
          <w:p w14:paraId="148AA5EB">
            <w:pPr>
              <w:ind w:firstLine="480"/>
              <w:rPr>
                <w:color w:val="auto"/>
                <w:highlight w:val="none"/>
              </w:rPr>
            </w:pPr>
            <w:r>
              <w:rPr>
                <w:rFonts w:hint="eastAsia"/>
                <w:color w:val="auto"/>
                <w:highlight w:val="none"/>
              </w:rPr>
              <w:t>强化节约集约利用，持续提升资源能源利用率，水资源、土地资源、能源消耗达到国家、自治区下达的总量和强度控制目标。加快低碳发展，提升碳汇能力，做好碳达峰和碳中和工作。</w:t>
            </w:r>
          </w:p>
          <w:p w14:paraId="260BEC68">
            <w:pPr>
              <w:ind w:firstLine="480"/>
              <w:rPr>
                <w:color w:val="auto"/>
                <w:highlight w:val="none"/>
              </w:rPr>
            </w:pPr>
            <w:r>
              <w:rPr>
                <w:rFonts w:hint="eastAsia"/>
                <w:color w:val="auto"/>
                <w:highlight w:val="none"/>
              </w:rPr>
              <w:t>项目不占用耕地、林地、牧地、水域等土地资源。用水主要是</w:t>
            </w:r>
            <w:r>
              <w:rPr>
                <w:rFonts w:hint="eastAsia"/>
                <w:color w:val="auto"/>
                <w:highlight w:val="none"/>
                <w:lang w:val="en-US" w:eastAsia="zh-CN"/>
              </w:rPr>
              <w:t>生活用水及生产用水</w:t>
            </w:r>
            <w:r>
              <w:rPr>
                <w:rFonts w:hint="eastAsia"/>
                <w:color w:val="auto"/>
                <w:highlight w:val="none"/>
              </w:rPr>
              <w:t>，由园区管网供给。项目建成运行后通过内部管理、设备选择、原辅料的选用和管理、污染治理等多方面采取合理可行的防治措施，以“节能、降耗、减污”为目标，有效地控制污染及资源利用水平；最大程度发挥能源资源利用的效果</w:t>
            </w:r>
            <w:r>
              <w:rPr>
                <w:color w:val="auto"/>
                <w:highlight w:val="none"/>
              </w:rPr>
              <w:t>。</w:t>
            </w:r>
          </w:p>
          <w:p w14:paraId="327928ED">
            <w:pPr>
              <w:ind w:firstLine="480"/>
              <w:rPr>
                <w:color w:val="auto"/>
                <w:highlight w:val="none"/>
              </w:rPr>
            </w:pPr>
            <w:r>
              <w:rPr>
                <w:rFonts w:hint="eastAsia"/>
                <w:color w:val="auto"/>
                <w:highlight w:val="none"/>
              </w:rPr>
              <w:t>（3）环境质量底线</w:t>
            </w:r>
          </w:p>
          <w:p w14:paraId="6D23C916">
            <w:pPr>
              <w:ind w:firstLine="480"/>
              <w:rPr>
                <w:color w:val="auto"/>
                <w:highlight w:val="none"/>
              </w:rPr>
            </w:pPr>
            <w:r>
              <w:rPr>
                <w:rFonts w:hint="eastAsia"/>
                <w:color w:val="auto"/>
                <w:highlight w:val="none"/>
              </w:rPr>
              <w:t>根据《202</w:t>
            </w:r>
            <w:r>
              <w:rPr>
                <w:rFonts w:hint="eastAsia"/>
                <w:color w:val="auto"/>
                <w:highlight w:val="none"/>
                <w:lang w:val="en-US" w:eastAsia="zh-CN"/>
              </w:rPr>
              <w:t>4</w:t>
            </w:r>
            <w:r>
              <w:rPr>
                <w:rFonts w:hint="eastAsia"/>
                <w:color w:val="auto"/>
                <w:highlight w:val="none"/>
              </w:rPr>
              <w:t>巴音郭楞蒙古自治州生态环境状况公报》结论，项目所在区域SO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、CO和O</w:t>
            </w:r>
            <w:r>
              <w:rPr>
                <w:rFonts w:hint="eastAsia"/>
                <w:color w:val="auto"/>
                <w:highlight w:val="none"/>
                <w:vertAlign w:val="subscript"/>
              </w:rPr>
              <w:t>3</w:t>
            </w:r>
            <w:r>
              <w:rPr>
                <w:rFonts w:hint="eastAsia"/>
                <w:color w:val="auto"/>
                <w:highlight w:val="none"/>
                <w:vertAlign w:val="baseline"/>
                <w:lang w:val="en-US" w:eastAsia="zh-CN"/>
              </w:rPr>
              <w:t>平</w:t>
            </w:r>
            <w:r>
              <w:rPr>
                <w:rFonts w:hint="eastAsia"/>
                <w:color w:val="auto"/>
                <w:highlight w:val="none"/>
              </w:rPr>
              <w:t>均浓度均满足《环境空气质量标准》（GB3095-2012）及其修改单的二级标准要求；</w:t>
            </w:r>
            <w:r>
              <w:rPr>
                <w:rFonts w:hint="eastAsia"/>
                <w:color w:val="auto"/>
                <w:kern w:val="0"/>
                <w:highlight w:val="none"/>
              </w:rPr>
              <w:t>受沙尘天气影响</w:t>
            </w:r>
            <w:r>
              <w:rPr>
                <w:rFonts w:hint="eastAsia"/>
                <w:color w:val="auto"/>
                <w:highlight w:val="none"/>
              </w:rPr>
              <w:t>PM</w:t>
            </w:r>
            <w:r>
              <w:rPr>
                <w:rFonts w:hint="eastAsia"/>
                <w:color w:val="auto"/>
                <w:highlight w:val="none"/>
                <w:vertAlign w:val="subscript"/>
              </w:rPr>
              <w:t>2.5</w:t>
            </w:r>
            <w:r>
              <w:rPr>
                <w:rFonts w:hint="eastAsia"/>
                <w:color w:val="auto"/>
                <w:highlight w:val="none"/>
              </w:rPr>
              <w:t>、</w:t>
            </w:r>
            <w:r>
              <w:rPr>
                <w:rFonts w:hint="eastAsia"/>
                <w:color w:val="auto"/>
                <w:kern w:val="0"/>
                <w:highlight w:val="none"/>
              </w:rPr>
              <w:t>PM</w:t>
            </w:r>
            <w:r>
              <w:rPr>
                <w:rFonts w:hint="eastAsia"/>
                <w:color w:val="auto"/>
                <w:kern w:val="0"/>
                <w:highlight w:val="none"/>
                <w:vertAlign w:val="subscript"/>
              </w:rPr>
              <w:t>10</w:t>
            </w:r>
            <w:r>
              <w:rPr>
                <w:rFonts w:hint="eastAsia"/>
                <w:color w:val="auto"/>
                <w:kern w:val="0"/>
                <w:highlight w:val="none"/>
              </w:rPr>
              <w:t>年均值浓度超过《环境空气质量标准》</w:t>
            </w:r>
            <w:r>
              <w:rPr>
                <w:rFonts w:hint="eastAsia"/>
                <w:color w:val="auto"/>
                <w:highlight w:val="none"/>
              </w:rPr>
              <w:t>及其修改单</w:t>
            </w:r>
            <w:r>
              <w:rPr>
                <w:rFonts w:hint="eastAsia"/>
                <w:color w:val="auto"/>
                <w:kern w:val="0"/>
                <w:highlight w:val="none"/>
              </w:rPr>
              <w:t>（GB3095-2012）的二级标准要求，本项目所在区域为不达标区域。</w:t>
            </w:r>
            <w:r>
              <w:rPr>
                <w:rFonts w:hint="eastAsia"/>
                <w:color w:val="auto"/>
                <w:highlight w:val="none"/>
              </w:rPr>
              <w:t>项目所在区域地表水满足《地表水质量标准》（GB3838-2002</w:t>
            </w:r>
            <w:r>
              <w:rPr>
                <w:color w:val="auto"/>
                <w:highlight w:val="none"/>
              </w:rPr>
              <w:t>）Ⅱ类</w:t>
            </w:r>
            <w:r>
              <w:rPr>
                <w:rFonts w:hint="eastAsia"/>
                <w:color w:val="auto"/>
                <w:highlight w:val="none"/>
              </w:rPr>
              <w:t>标准要求；项目所在区域声环境质量满足《声环境质量标准》（GB3096-2008）3类标准。</w:t>
            </w:r>
          </w:p>
          <w:p w14:paraId="10E64BA7">
            <w:pPr>
              <w:ind w:firstLine="480"/>
              <w:rPr>
                <w:color w:val="auto"/>
                <w:highlight w:val="none"/>
              </w:rPr>
            </w:pPr>
            <w:r>
              <w:rPr>
                <w:rFonts w:hint="eastAsia"/>
                <w:color w:val="auto"/>
                <w:highlight w:val="none"/>
              </w:rPr>
              <w:t>综上本项目建设符合环境质量底线要求。</w:t>
            </w:r>
          </w:p>
          <w:p w14:paraId="6DF1067A">
            <w:pPr>
              <w:ind w:firstLine="480"/>
              <w:rPr>
                <w:color w:val="auto"/>
                <w:highlight w:val="none"/>
              </w:rPr>
            </w:pPr>
            <w:r>
              <w:rPr>
                <w:rFonts w:hint="eastAsia"/>
                <w:color w:val="auto"/>
                <w:highlight w:val="none"/>
              </w:rPr>
              <w:t>（4）环境管控准入清单</w:t>
            </w:r>
          </w:p>
          <w:p w14:paraId="52927B18">
            <w:pPr>
              <w:autoSpaceDE w:val="0"/>
              <w:autoSpaceDN w:val="0"/>
              <w:ind w:firstLine="480"/>
              <w:jc w:val="left"/>
              <w:rPr>
                <w:color w:val="auto"/>
                <w:highlight w:val="none"/>
              </w:rPr>
            </w:pPr>
            <w:r>
              <w:rPr>
                <w:rFonts w:hint="eastAsia"/>
                <w:color w:val="auto"/>
                <w:highlight w:val="none"/>
                <w:lang w:val="en-US" w:eastAsia="zh-CN"/>
              </w:rPr>
              <w:t>根据《关于印发巴音郭楞蒙古自治州“三线一单”生态环境分区管控动态更新成果（2023年）的通知》（巴政办发〔2024〕32号），</w:t>
            </w:r>
            <w:r>
              <w:rPr>
                <w:rFonts w:hint="eastAsia"/>
                <w:color w:val="auto"/>
                <w:highlight w:val="none"/>
              </w:rPr>
              <w:t>本项目位于新疆巴州若羌县一般管控区内，管控单元类别为一般管控单元，管控单元编码为ZH65282430001。根据表1-5分析，项目建设符合“巴音郭楞蒙古自治州环境管控单元准入清单”的管控要求。</w:t>
            </w:r>
          </w:p>
          <w:p w14:paraId="58891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表1-5  本项目与</w:t>
            </w:r>
            <w:r>
              <w:rPr>
                <w:rFonts w:hint="eastAsia"/>
                <w:b/>
                <w:bCs/>
                <w:color w:val="auto"/>
                <w:kern w:val="0"/>
                <w:sz w:val="21"/>
                <w:szCs w:val="21"/>
                <w:highlight w:val="none"/>
                <w:lang w:val="en-US" w:eastAsia="zh-CN"/>
              </w:rPr>
              <w:t>若羌</w:t>
            </w:r>
            <w:r>
              <w:rPr>
                <w:rFonts w:hint="eastAsia"/>
                <w:b/>
                <w:bCs/>
                <w:color w:val="auto"/>
                <w:kern w:val="0"/>
                <w:sz w:val="21"/>
                <w:szCs w:val="21"/>
                <w:highlight w:val="none"/>
              </w:rPr>
              <w:t>县环境管控单元准入清单符合性分析一览表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44"/>
              <w:gridCol w:w="693"/>
              <w:gridCol w:w="2741"/>
              <w:gridCol w:w="2681"/>
              <w:gridCol w:w="697"/>
            </w:tblGrid>
            <w:tr w14:paraId="2CE12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698" w:type="dxa"/>
                  <w:tcBorders>
                    <w:tl2br w:val="nil"/>
                    <w:tr2bl w:val="nil"/>
                  </w:tcBorders>
                  <w:vAlign w:val="center"/>
                </w:tcPr>
                <w:p w14:paraId="21435897">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lang w:val="en-US" w:eastAsia="zh-CN"/>
                    </w:rPr>
                    <w:t>管控单元</w:t>
                  </w:r>
                  <w:r>
                    <w:rPr>
                      <w:color w:val="auto"/>
                      <w:highlight w:val="none"/>
                    </w:rPr>
                    <w:t>名称</w:t>
                  </w:r>
                </w:p>
              </w:tc>
              <w:tc>
                <w:tcPr>
                  <w:tcW w:w="3222" w:type="dxa"/>
                  <w:gridSpan w:val="2"/>
                  <w:tcBorders>
                    <w:tl2br w:val="nil"/>
                    <w:tr2bl w:val="nil"/>
                  </w:tcBorders>
                  <w:vAlign w:val="center"/>
                </w:tcPr>
                <w:p w14:paraId="3370085A">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管控要求</w:t>
                  </w:r>
                </w:p>
              </w:tc>
              <w:tc>
                <w:tcPr>
                  <w:tcW w:w="2516" w:type="dxa"/>
                  <w:tcBorders>
                    <w:tl2br w:val="nil"/>
                    <w:tr2bl w:val="nil"/>
                  </w:tcBorders>
                  <w:vAlign w:val="center"/>
                </w:tcPr>
                <w:p w14:paraId="6BFD44C0">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本项目</w:t>
                  </w:r>
                </w:p>
              </w:tc>
              <w:tc>
                <w:tcPr>
                  <w:tcW w:w="654" w:type="dxa"/>
                  <w:tcBorders>
                    <w:tl2br w:val="nil"/>
                    <w:tr2bl w:val="nil"/>
                  </w:tcBorders>
                  <w:vAlign w:val="center"/>
                </w:tcPr>
                <w:p w14:paraId="6E4374B4">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符合性分析</w:t>
                  </w:r>
                </w:p>
              </w:tc>
            </w:tr>
            <w:tr w14:paraId="7C215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43" w:hRule="atLeast"/>
                <w:jc w:val="center"/>
              </w:trPr>
              <w:tc>
                <w:tcPr>
                  <w:tcW w:w="698" w:type="dxa"/>
                  <w:vMerge w:val="restart"/>
                  <w:tcBorders>
                    <w:tl2br w:val="nil"/>
                    <w:tr2bl w:val="nil"/>
                  </w:tcBorders>
                  <w:vAlign w:val="center"/>
                </w:tcPr>
                <w:p w14:paraId="304C98EF">
                  <w:pPr>
                    <w:pStyle w:val="55"/>
                    <w:keepNext w:val="0"/>
                    <w:keepLines/>
                    <w:pageBreakBefore/>
                    <w:widowControl w:val="0"/>
                    <w:kinsoku/>
                    <w:wordWrap/>
                    <w:overflowPunct/>
                    <w:topLinePunct w:val="0"/>
                    <w:bidi w:val="0"/>
                    <w:adjustRightInd w:val="0"/>
                    <w:snapToGrid w:val="0"/>
                    <w:rPr>
                      <w:color w:val="auto"/>
                      <w:highlight w:val="none"/>
                    </w:rPr>
                  </w:pPr>
                  <w:r>
                    <w:rPr>
                      <w:rFonts w:hint="default" w:ascii="Times New Roman" w:hAnsi="Times New Roman" w:eastAsia="宋体" w:cs="Times New Roman"/>
                      <w:color w:val="auto"/>
                      <w:kern w:val="0"/>
                      <w:sz w:val="21"/>
                      <w:szCs w:val="21"/>
                      <w:highlight w:val="none"/>
                    </w:rPr>
                    <w:t>ZH65282430001“若羌县一般管控区”</w:t>
                  </w:r>
                </w:p>
              </w:tc>
              <w:tc>
                <w:tcPr>
                  <w:tcW w:w="650" w:type="dxa"/>
                  <w:tcBorders>
                    <w:tl2br w:val="nil"/>
                    <w:tr2bl w:val="nil"/>
                  </w:tcBorders>
                  <w:vAlign w:val="center"/>
                </w:tcPr>
                <w:p w14:paraId="1531E805">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空间布局约束</w:t>
                  </w:r>
                </w:p>
              </w:tc>
              <w:tc>
                <w:tcPr>
                  <w:tcW w:w="2572" w:type="dxa"/>
                  <w:tcBorders>
                    <w:tl2br w:val="nil"/>
                    <w:tr2bl w:val="nil"/>
                  </w:tcBorders>
                  <w:vAlign w:val="center"/>
                </w:tcPr>
                <w:p w14:paraId="2D72C03C">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1.建设项目用地原则上不得占用基本农田，确需占用基本农田的建设项目须符合《中华人民共和国基本农田保护条例》中相关要求，占用耕地、林地或草地的建设项目须按照国家、自治区相关补偿要求进行补偿。</w:t>
                  </w:r>
                </w:p>
                <w:p w14:paraId="64EB30AF">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3.永久基本农田集中区域禁止规划新建可能造成土壤污染的建设项目。涉及有毒有害物质可能造成土壤污染的新</w:t>
                  </w:r>
                  <w:r>
                    <w:rPr>
                      <w:rFonts w:hint="eastAsia"/>
                      <w:color w:val="auto"/>
                      <w:highlight w:val="none"/>
                      <w:lang w:eastAsia="zh-CN"/>
                    </w:rPr>
                    <w:t>（</w:t>
                  </w:r>
                  <w:r>
                    <w:rPr>
                      <w:rFonts w:hint="eastAsia"/>
                      <w:color w:val="auto"/>
                      <w:highlight w:val="none"/>
                    </w:rPr>
                    <w:t>改、扩</w:t>
                  </w:r>
                  <w:r>
                    <w:rPr>
                      <w:rFonts w:hint="eastAsia"/>
                      <w:color w:val="auto"/>
                      <w:highlight w:val="none"/>
                      <w:lang w:eastAsia="zh-CN"/>
                    </w:rPr>
                    <w:t>）</w:t>
                  </w:r>
                  <w:r>
                    <w:rPr>
                      <w:rFonts w:hint="eastAsia"/>
                      <w:color w:val="auto"/>
                      <w:highlight w:val="none"/>
                    </w:rPr>
                    <w:t>建项目，提出并落实土壤和地下水污染防治要求。</w:t>
                  </w:r>
                </w:p>
                <w:p w14:paraId="0471A397">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5.禁止向沙漠、滩涂、盐碱地、沼泽地等非法排污、倾倒有毒有害物质。</w:t>
                  </w:r>
                </w:p>
              </w:tc>
              <w:tc>
                <w:tcPr>
                  <w:tcW w:w="2516" w:type="dxa"/>
                  <w:tcBorders>
                    <w:tl2br w:val="nil"/>
                    <w:tr2bl w:val="nil"/>
                  </w:tcBorders>
                  <w:vAlign w:val="center"/>
                </w:tcPr>
                <w:p w14:paraId="769B33D9">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本项目建设用地未占用基本农田，不存在乱采滥伐现象，项目属</w:t>
                  </w:r>
                  <w:r>
                    <w:rPr>
                      <w:rFonts w:hint="eastAsia"/>
                      <w:color w:val="auto"/>
                      <w:highlight w:val="none"/>
                      <w:lang w:val="en-US" w:eastAsia="zh-CN"/>
                    </w:rPr>
                    <w:t>于</w:t>
                  </w:r>
                  <w:r>
                    <w:rPr>
                      <w:rFonts w:hint="eastAsia"/>
                      <w:color w:val="auto"/>
                      <w:highlight w:val="none"/>
                    </w:rPr>
                    <w:t>生态保护和环境治理业，不存在有毒有害物质，不会对土壤和地下水造成污染，</w:t>
                  </w:r>
                  <w:r>
                    <w:rPr>
                      <w:rFonts w:hint="eastAsia"/>
                      <w:color w:val="auto"/>
                      <w:highlight w:val="none"/>
                      <w:lang w:val="en-US" w:eastAsia="zh-CN"/>
                    </w:rPr>
                    <w:t>粉煤灰</w:t>
                  </w:r>
                  <w:r>
                    <w:rPr>
                      <w:rFonts w:hint="eastAsia"/>
                      <w:color w:val="auto"/>
                      <w:highlight w:val="none"/>
                    </w:rPr>
                    <w:t>生产过程中产生的粉尘，通过洒水降尘、全封闭原料库房、密闭式</w:t>
                  </w:r>
                  <w:r>
                    <w:rPr>
                      <w:rFonts w:hint="eastAsia"/>
                      <w:color w:val="auto"/>
                      <w:highlight w:val="none"/>
                      <w:lang w:val="en-US" w:eastAsia="zh-CN"/>
                    </w:rPr>
                    <w:t>生产装置</w:t>
                  </w:r>
                  <w:r>
                    <w:rPr>
                      <w:rFonts w:hint="eastAsia"/>
                      <w:color w:val="auto"/>
                      <w:highlight w:val="none"/>
                    </w:rPr>
                    <w:t>及布袋除尘器处理后排放，严格落实上述环保措施，不会对环境产生影响。</w:t>
                  </w:r>
                </w:p>
              </w:tc>
              <w:tc>
                <w:tcPr>
                  <w:tcW w:w="654" w:type="dxa"/>
                  <w:tcBorders>
                    <w:tl2br w:val="nil"/>
                    <w:tr2bl w:val="nil"/>
                  </w:tcBorders>
                  <w:vAlign w:val="center"/>
                </w:tcPr>
                <w:p w14:paraId="33486A43">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符合</w:t>
                  </w:r>
                </w:p>
              </w:tc>
            </w:tr>
            <w:tr w14:paraId="59A51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698" w:type="dxa"/>
                  <w:vMerge w:val="continue"/>
                  <w:tcBorders>
                    <w:tl2br w:val="nil"/>
                    <w:tr2bl w:val="nil"/>
                  </w:tcBorders>
                  <w:vAlign w:val="center"/>
                </w:tcPr>
                <w:p w14:paraId="7194C9E3">
                  <w:pPr>
                    <w:pStyle w:val="55"/>
                    <w:keepNext w:val="0"/>
                    <w:keepLines/>
                    <w:pageBreakBefore/>
                    <w:widowControl w:val="0"/>
                    <w:kinsoku/>
                    <w:wordWrap/>
                    <w:overflowPunct/>
                    <w:topLinePunct w:val="0"/>
                    <w:bidi w:val="0"/>
                    <w:adjustRightInd w:val="0"/>
                    <w:snapToGrid w:val="0"/>
                    <w:rPr>
                      <w:color w:val="auto"/>
                      <w:highlight w:val="none"/>
                    </w:rPr>
                  </w:pPr>
                </w:p>
              </w:tc>
              <w:tc>
                <w:tcPr>
                  <w:tcW w:w="650" w:type="dxa"/>
                  <w:tcBorders>
                    <w:tl2br w:val="nil"/>
                    <w:tr2bl w:val="nil"/>
                  </w:tcBorders>
                  <w:vAlign w:val="center"/>
                </w:tcPr>
                <w:p w14:paraId="72885CC2">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污染物排放管控</w:t>
                  </w:r>
                </w:p>
              </w:tc>
              <w:tc>
                <w:tcPr>
                  <w:tcW w:w="2572" w:type="dxa"/>
                  <w:tcBorders>
                    <w:tl2br w:val="nil"/>
                    <w:tr2bl w:val="nil"/>
                  </w:tcBorders>
                  <w:vAlign w:val="center"/>
                </w:tcPr>
                <w:p w14:paraId="4C6FE7B0">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2.严格控制林地、草地、园地农药使用量，禁止使用高毒、高残留农药。</w:t>
                  </w:r>
                </w:p>
                <w:p w14:paraId="5B20AF87">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4.对化学品生产企业、工业集聚区、尾矿库、矿山开采区、危险废物处置场、垃圾填埋场等地下水污染源及周边区域，逐步开展地下水环境状况调查评估，加强风险管控。</w:t>
                  </w:r>
                </w:p>
                <w:p w14:paraId="535423E0">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5.严控土壤重金属污染，加强油（气）田开发土壤污染防治，以历史遗留工业企业污染场地为重点，开展土壤污染风险管控与修复工程。</w:t>
                  </w:r>
                </w:p>
              </w:tc>
              <w:tc>
                <w:tcPr>
                  <w:tcW w:w="2516" w:type="dxa"/>
                  <w:tcBorders>
                    <w:tl2br w:val="nil"/>
                    <w:tr2bl w:val="nil"/>
                  </w:tcBorders>
                  <w:vAlign w:val="center"/>
                </w:tcPr>
                <w:p w14:paraId="3B45E00E">
                  <w:pPr>
                    <w:pStyle w:val="55"/>
                    <w:keepNext w:val="0"/>
                    <w:keepLines/>
                    <w:pageBreakBefore/>
                    <w:widowControl w:val="0"/>
                    <w:kinsoku/>
                    <w:wordWrap/>
                    <w:overflowPunct/>
                    <w:topLinePunct w:val="0"/>
                    <w:bidi w:val="0"/>
                    <w:adjustRightInd w:val="0"/>
                    <w:snapToGrid w:val="0"/>
                    <w:rPr>
                      <w:color w:val="auto"/>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cs="Times New Roman"/>
                      <w:color w:val="auto"/>
                      <w:sz w:val="21"/>
                      <w:szCs w:val="21"/>
                      <w:highlight w:val="none"/>
                      <w:lang w:val="en-US" w:eastAsia="zh-CN"/>
                    </w:rPr>
                    <w:t>为固体废物治理，属于生态保护和环境治理业，不涉及禽畜养殖、农药使用，</w:t>
                  </w:r>
                  <w:r>
                    <w:rPr>
                      <w:rFonts w:hint="default" w:ascii="Times New Roman" w:hAnsi="Times New Roman" w:eastAsia="宋体" w:cs="Times New Roman"/>
                      <w:color w:val="auto"/>
                      <w:sz w:val="21"/>
                      <w:szCs w:val="21"/>
                      <w:highlight w:val="none"/>
                      <w:lang w:val="en-US" w:eastAsia="zh-CN"/>
                    </w:rPr>
                    <w:t>生产过程产生污染较少</w:t>
                  </w:r>
                  <w:r>
                    <w:rPr>
                      <w:rFonts w:hint="default" w:ascii="Times New Roman" w:hAnsi="Times New Roman" w:cs="Times New Roman"/>
                      <w:bCs/>
                      <w:color w:val="auto"/>
                      <w:kern w:val="2"/>
                      <w:sz w:val="21"/>
                      <w:szCs w:val="21"/>
                      <w:highlight w:val="none"/>
                      <w:lang w:val="en-US" w:eastAsia="zh-CN"/>
                    </w:rPr>
                    <w:t>，不会对所在区域大气、地下水、土壤环境产生影响。</w:t>
                  </w:r>
                </w:p>
              </w:tc>
              <w:tc>
                <w:tcPr>
                  <w:tcW w:w="654" w:type="dxa"/>
                  <w:tcBorders>
                    <w:tl2br w:val="nil"/>
                    <w:tr2bl w:val="nil"/>
                  </w:tcBorders>
                  <w:vAlign w:val="center"/>
                </w:tcPr>
                <w:p w14:paraId="5340024D">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符合</w:t>
                  </w:r>
                </w:p>
              </w:tc>
            </w:tr>
            <w:tr w14:paraId="3A7C7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698" w:type="dxa"/>
                  <w:vMerge w:val="continue"/>
                  <w:tcBorders>
                    <w:tl2br w:val="nil"/>
                    <w:tr2bl w:val="nil"/>
                  </w:tcBorders>
                  <w:vAlign w:val="center"/>
                </w:tcPr>
                <w:p w14:paraId="55A3B8D7">
                  <w:pPr>
                    <w:pStyle w:val="55"/>
                    <w:keepNext w:val="0"/>
                    <w:keepLines/>
                    <w:pageBreakBefore/>
                    <w:widowControl w:val="0"/>
                    <w:kinsoku/>
                    <w:wordWrap/>
                    <w:overflowPunct/>
                    <w:topLinePunct w:val="0"/>
                    <w:bidi w:val="0"/>
                    <w:adjustRightInd w:val="0"/>
                    <w:snapToGrid w:val="0"/>
                    <w:rPr>
                      <w:color w:val="auto"/>
                      <w:highlight w:val="none"/>
                    </w:rPr>
                  </w:pPr>
                </w:p>
              </w:tc>
              <w:tc>
                <w:tcPr>
                  <w:tcW w:w="650" w:type="dxa"/>
                  <w:tcBorders>
                    <w:tl2br w:val="nil"/>
                    <w:tr2bl w:val="nil"/>
                  </w:tcBorders>
                  <w:vAlign w:val="center"/>
                </w:tcPr>
                <w:p w14:paraId="10DB4AAF">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环境风险防控</w:t>
                  </w:r>
                </w:p>
              </w:tc>
              <w:tc>
                <w:tcPr>
                  <w:tcW w:w="2572" w:type="dxa"/>
                  <w:tcBorders>
                    <w:tl2br w:val="nil"/>
                    <w:tr2bl w:val="nil"/>
                  </w:tcBorders>
                  <w:vAlign w:val="center"/>
                </w:tcPr>
                <w:p w14:paraId="4AFB3480">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1.加强对矿山、油田等矿产资源开采影响区域内未利用地的环境监管，发现土壤污染问题的，要坚决查处，并及时督促有关单位采取有效防治措施消除或减轻污染。</w:t>
                  </w:r>
                </w:p>
                <w:p w14:paraId="09A40CEA">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2.对排查出的危库和病库以及风险评估有严重环境安全隐患的尾矿库，要求企业完善污染治理设施、进行治理和修复。全面整治历史遗留尾矿库，完善覆膜、压土、排洪、堤坝加固等隐患治理和闭库措施。</w:t>
                  </w:r>
                </w:p>
              </w:tc>
              <w:tc>
                <w:tcPr>
                  <w:tcW w:w="2516" w:type="dxa"/>
                  <w:tcBorders>
                    <w:tl2br w:val="nil"/>
                    <w:tr2bl w:val="nil"/>
                  </w:tcBorders>
                  <w:vAlign w:val="center"/>
                </w:tcPr>
                <w:p w14:paraId="0B0E44AF">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本项目为固体废物治理，属于生态保护和环境治理业。本项目将建立风险防范措施，要求企业尽快编制突发环境事件应急预案，与</w:t>
                  </w:r>
                  <w:r>
                    <w:rPr>
                      <w:rFonts w:hint="eastAsia"/>
                      <w:color w:val="auto"/>
                      <w:highlight w:val="none"/>
                      <w:lang w:val="en-US" w:eastAsia="zh-CN"/>
                    </w:rPr>
                    <w:t>若羌</w:t>
                  </w:r>
                  <w:r>
                    <w:rPr>
                      <w:rFonts w:hint="eastAsia"/>
                      <w:color w:val="auto"/>
                      <w:highlight w:val="none"/>
                    </w:rPr>
                    <w:t>县构建区域联动一体的应急响应体系。</w:t>
                  </w:r>
                </w:p>
              </w:tc>
              <w:tc>
                <w:tcPr>
                  <w:tcW w:w="654" w:type="dxa"/>
                  <w:tcBorders>
                    <w:tl2br w:val="nil"/>
                    <w:tr2bl w:val="nil"/>
                  </w:tcBorders>
                  <w:vAlign w:val="center"/>
                </w:tcPr>
                <w:p w14:paraId="3FEB21CD">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符合</w:t>
                  </w:r>
                </w:p>
              </w:tc>
            </w:tr>
            <w:tr w14:paraId="27D90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698" w:type="dxa"/>
                  <w:vMerge w:val="continue"/>
                  <w:tcBorders>
                    <w:tl2br w:val="nil"/>
                    <w:tr2bl w:val="nil"/>
                  </w:tcBorders>
                  <w:vAlign w:val="center"/>
                </w:tcPr>
                <w:p w14:paraId="0155B8DB">
                  <w:pPr>
                    <w:pStyle w:val="55"/>
                    <w:keepNext w:val="0"/>
                    <w:keepLines/>
                    <w:pageBreakBefore/>
                    <w:widowControl w:val="0"/>
                    <w:kinsoku/>
                    <w:wordWrap/>
                    <w:overflowPunct/>
                    <w:topLinePunct w:val="0"/>
                    <w:bidi w:val="0"/>
                    <w:adjustRightInd w:val="0"/>
                    <w:snapToGrid w:val="0"/>
                    <w:rPr>
                      <w:color w:val="auto"/>
                      <w:highlight w:val="none"/>
                    </w:rPr>
                  </w:pPr>
                </w:p>
              </w:tc>
              <w:tc>
                <w:tcPr>
                  <w:tcW w:w="650" w:type="dxa"/>
                  <w:tcBorders>
                    <w:tl2br w:val="nil"/>
                    <w:tr2bl w:val="nil"/>
                  </w:tcBorders>
                  <w:vAlign w:val="center"/>
                </w:tcPr>
                <w:p w14:paraId="56D49276">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资源利用效率</w:t>
                  </w:r>
                </w:p>
              </w:tc>
              <w:tc>
                <w:tcPr>
                  <w:tcW w:w="2572" w:type="dxa"/>
                  <w:tcBorders>
                    <w:tl2br w:val="nil"/>
                    <w:tr2bl w:val="nil"/>
                  </w:tcBorders>
                  <w:vAlign w:val="center"/>
                </w:tcPr>
                <w:p w14:paraId="348212CC">
                  <w:pPr>
                    <w:pStyle w:val="55"/>
                    <w:keepNext w:val="0"/>
                    <w:keepLines/>
                    <w:pageBreakBefore/>
                    <w:widowControl w:val="0"/>
                    <w:kinsoku/>
                    <w:wordWrap/>
                    <w:overflowPunct/>
                    <w:topLinePunct w:val="0"/>
                    <w:bidi w:val="0"/>
                    <w:adjustRightInd w:val="0"/>
                    <w:snapToGrid w:val="0"/>
                    <w:rPr>
                      <w:rFonts w:hint="eastAsia"/>
                      <w:color w:val="auto"/>
                      <w:highlight w:val="none"/>
                    </w:rPr>
                  </w:pPr>
                  <w:r>
                    <w:rPr>
                      <w:rFonts w:hint="eastAsia"/>
                      <w:color w:val="auto"/>
                      <w:highlight w:val="none"/>
                    </w:rPr>
                    <w:t>2.减少化肥农药使用量，增加有机肥使用量，实现化肥农药使用量负增长。</w:t>
                  </w:r>
                </w:p>
                <w:p w14:paraId="0BCBF124">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3.推广渠道防渗、管道输水、喷灌、微灌等节水灌溉技术，完善灌溉用水计量设施。推进规模化高效节水灌溉，推广农作物节水抗旱技术。建立灌区墒情测报网络，提高农业用水效率，降低农业用水比重。</w:t>
                  </w:r>
                </w:p>
              </w:tc>
              <w:tc>
                <w:tcPr>
                  <w:tcW w:w="2516" w:type="dxa"/>
                  <w:tcBorders>
                    <w:tl2br w:val="nil"/>
                    <w:tr2bl w:val="nil"/>
                  </w:tcBorders>
                  <w:vAlign w:val="center"/>
                </w:tcPr>
                <w:p w14:paraId="07F6754A">
                  <w:pPr>
                    <w:pStyle w:val="55"/>
                    <w:keepNext w:val="0"/>
                    <w:keepLines/>
                    <w:pageBreakBefore/>
                    <w:widowControl w:val="0"/>
                    <w:kinsoku/>
                    <w:wordWrap/>
                    <w:overflowPunct/>
                    <w:topLinePunct w:val="0"/>
                    <w:bidi w:val="0"/>
                    <w:adjustRightInd w:val="0"/>
                    <w:snapToGrid w:val="0"/>
                    <w:rPr>
                      <w:color w:val="auto"/>
                      <w:highlight w:val="none"/>
                    </w:rPr>
                  </w:pPr>
                  <w:r>
                    <w:rPr>
                      <w:rFonts w:hint="eastAsia"/>
                      <w:color w:val="auto"/>
                      <w:highlight w:val="none"/>
                    </w:rPr>
                    <w:t>本项目的用水水源由园区供给，园区供水能力可满足本项目用水需要。因此，本项目用水不挤占当地的农业用水、生态用水和居民用水，符合资源利用上线要求。</w:t>
                  </w:r>
                </w:p>
              </w:tc>
              <w:tc>
                <w:tcPr>
                  <w:tcW w:w="654" w:type="dxa"/>
                  <w:tcBorders>
                    <w:tl2br w:val="nil"/>
                    <w:tr2bl w:val="nil"/>
                  </w:tcBorders>
                  <w:vAlign w:val="center"/>
                </w:tcPr>
                <w:p w14:paraId="4285F371">
                  <w:pPr>
                    <w:pStyle w:val="55"/>
                    <w:keepNext w:val="0"/>
                    <w:keepLines/>
                    <w:pageBreakBefore/>
                    <w:widowControl w:val="0"/>
                    <w:kinsoku/>
                    <w:wordWrap/>
                    <w:overflowPunct/>
                    <w:topLinePunct w:val="0"/>
                    <w:bidi w:val="0"/>
                    <w:adjustRightInd w:val="0"/>
                    <w:snapToGrid w:val="0"/>
                    <w:rPr>
                      <w:color w:val="auto"/>
                      <w:highlight w:val="none"/>
                    </w:rPr>
                  </w:pPr>
                  <w:r>
                    <w:rPr>
                      <w:color w:val="auto"/>
                      <w:highlight w:val="none"/>
                    </w:rPr>
                    <w:t>符合</w:t>
                  </w:r>
                </w:p>
              </w:tc>
            </w:tr>
          </w:tbl>
          <w:p w14:paraId="4B0D28FA">
            <w:pPr>
              <w:ind w:firstLine="480"/>
              <w:rPr>
                <w:rFonts w:hint="eastAsia"/>
                <w:color w:val="auto"/>
                <w:highlight w:val="none"/>
              </w:rPr>
            </w:pPr>
            <w:r>
              <w:rPr>
                <w:rFonts w:hint="default"/>
                <w:b/>
                <w:bCs/>
                <w:color w:val="auto"/>
                <w:szCs w:val="21"/>
                <w:highlight w:val="none"/>
                <w:lang w:val="en-US"/>
              </w:rPr>
              <mc:AlternateContent>
                <mc:Choice Requires="wps">
                  <w:drawing>
                    <wp:anchor distT="0" distB="0" distL="114300" distR="114300" simplePos="0" relativeHeight="251661312" behindDoc="0" locked="0" layoutInCell="1" allowOverlap="1">
                      <wp:simplePos x="0" y="0"/>
                      <wp:positionH relativeFrom="column">
                        <wp:posOffset>2987675</wp:posOffset>
                      </wp:positionH>
                      <wp:positionV relativeFrom="paragraph">
                        <wp:posOffset>1827530</wp:posOffset>
                      </wp:positionV>
                      <wp:extent cx="683260" cy="283210"/>
                      <wp:effectExtent l="869950" t="4445" r="8890" b="302895"/>
                      <wp:wrapNone/>
                      <wp:docPr id="39" name="自选图形 215"/>
                      <wp:cNvGraphicFramePr/>
                      <a:graphic xmlns:a="http://schemas.openxmlformats.org/drawingml/2006/main">
                        <a:graphicData uri="http://schemas.microsoft.com/office/word/2010/wordprocessingShape">
                          <wps:wsp>
                            <wps:cNvSpPr/>
                            <wps:spPr>
                              <a:xfrm>
                                <a:off x="0" y="0"/>
                                <a:ext cx="683260" cy="283210"/>
                              </a:xfrm>
                              <a:prstGeom prst="wedgeRectCallout">
                                <a:avLst>
                                  <a:gd name="adj1" fmla="val -172026"/>
                                  <a:gd name="adj2" fmla="val 147309"/>
                                </a:avLst>
                              </a:prstGeom>
                              <a:noFill/>
                              <a:ln w="9525" cap="flat" cmpd="sng">
                                <a:solidFill>
                                  <a:srgbClr val="000000"/>
                                </a:solidFill>
                                <a:prstDash val="solid"/>
                                <a:miter/>
                                <a:headEnd type="none" w="med" len="med"/>
                                <a:tailEnd type="none" w="med" len="med"/>
                              </a:ln>
                            </wps:spPr>
                            <wps:txbx>
                              <w:txbxContent>
                                <w:p w14:paraId="72E6E874">
                                  <w:pPr>
                                    <w:keepNext w:val="0"/>
                                    <w:keepLines w:val="0"/>
                                    <w:pageBreakBefore w:val="0"/>
                                    <w:widowControl w:val="0"/>
                                    <w:kinsoku/>
                                    <w:wordWrap/>
                                    <w:overflowPunct/>
                                    <w:topLinePunct w:val="0"/>
                                    <w:bidi w:val="0"/>
                                    <w:adjustRightInd w:val="0"/>
                                    <w:snapToGrid w:val="0"/>
                                    <w:ind w:firstLine="0" w:firstLineChars="0"/>
                                    <w:textAlignment w:val="auto"/>
                                    <w:rPr>
                                      <w:sz w:val="18"/>
                                      <w:szCs w:val="11"/>
                                    </w:rPr>
                                  </w:pPr>
                                  <w:r>
                                    <w:rPr>
                                      <w:rFonts w:hint="eastAsia"/>
                                      <w:sz w:val="18"/>
                                      <w:szCs w:val="11"/>
                                    </w:rPr>
                                    <w:t>项目位置</w:t>
                                  </w:r>
                                </w:p>
                              </w:txbxContent>
                            </wps:txbx>
                            <wps:bodyPr vert="horz" wrap="square" anchor="t" anchorCtr="0" upright="1"/>
                          </wps:wsp>
                        </a:graphicData>
                      </a:graphic>
                    </wp:anchor>
                  </w:drawing>
                </mc:Choice>
                <mc:Fallback>
                  <w:pict>
                    <v:shape id="自选图形 215" o:spid="_x0000_s1026" o:spt="61" type="#_x0000_t61" style="position:absolute;left:0pt;margin-left:235.25pt;margin-top:143.9pt;height:22.3pt;width:53.8pt;z-index:251661312;mso-width-relative:page;mso-height-relative:page;" filled="f" stroked="t" coordsize="21600,21600" o:gfxdata="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2NQdoA&#10;AAALAQAADwAAAAAAAAABACAAAAAiAAAAZHJzL2Rvd25yZXYueG1sUEsBAhQAFAAAAAgAh07iQJaw&#10;4cVWAgAAmwQAAA4AAAAAAAAAAQAgAAAAKQEAAGRycy9lMm9Eb2MueG1sUEsFBgAAAAAGAAYAWQEA&#10;APEFAAAAAA==&#10;" adj="-26358,42619">
                      <v:fill on="f" focussize="0,0"/>
                      <v:stroke color="#000000" joinstyle="miter"/>
                      <v:imagedata o:title=""/>
                      <o:lock v:ext="edit" aspectratio="f"/>
                      <v:textbox>
                        <w:txbxContent>
                          <w:p w14:paraId="72E6E874">
                            <w:pPr>
                              <w:keepNext w:val="0"/>
                              <w:keepLines w:val="0"/>
                              <w:pageBreakBefore w:val="0"/>
                              <w:widowControl w:val="0"/>
                              <w:kinsoku/>
                              <w:wordWrap/>
                              <w:overflowPunct/>
                              <w:topLinePunct w:val="0"/>
                              <w:bidi w:val="0"/>
                              <w:adjustRightInd w:val="0"/>
                              <w:snapToGrid w:val="0"/>
                              <w:ind w:firstLine="0" w:firstLineChars="0"/>
                              <w:textAlignment w:val="auto"/>
                              <w:rPr>
                                <w:sz w:val="18"/>
                                <w:szCs w:val="11"/>
                              </w:rPr>
                            </w:pPr>
                            <w:r>
                              <w:rPr>
                                <w:rFonts w:hint="eastAsia"/>
                                <w:sz w:val="18"/>
                                <w:szCs w:val="11"/>
                              </w:rPr>
                              <w:t>项目位置</w:t>
                            </w:r>
                          </w:p>
                        </w:txbxContent>
                      </v:textbox>
                    </v:shape>
                  </w:pict>
                </mc:Fallback>
              </mc:AlternateContent>
            </w:r>
            <w:r>
              <w:rPr>
                <w:color w:val="auto"/>
                <w:highlight w:val="none"/>
              </w:rPr>
              <w:drawing>
                <wp:anchor distT="0" distB="0" distL="114300" distR="114300" simplePos="0" relativeHeight="251660288" behindDoc="0" locked="0" layoutInCell="1" allowOverlap="1">
                  <wp:simplePos x="0" y="0"/>
                  <wp:positionH relativeFrom="column">
                    <wp:posOffset>47625</wp:posOffset>
                  </wp:positionH>
                  <wp:positionV relativeFrom="paragraph">
                    <wp:posOffset>391795</wp:posOffset>
                  </wp:positionV>
                  <wp:extent cx="4512310" cy="3173095"/>
                  <wp:effectExtent l="0" t="0" r="2540" b="825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512310" cy="3173095"/>
                          </a:xfrm>
                          <a:prstGeom prst="rect">
                            <a:avLst/>
                          </a:prstGeom>
                          <a:noFill/>
                          <a:ln>
                            <a:noFill/>
                          </a:ln>
                        </pic:spPr>
                      </pic:pic>
                    </a:graphicData>
                  </a:graphic>
                </wp:anchor>
              </w:drawing>
            </w:r>
            <w:r>
              <w:rPr>
                <w:rFonts w:hint="eastAsia"/>
                <w:color w:val="auto"/>
                <w:highlight w:val="none"/>
              </w:rPr>
              <w:t>综上所述，本项目的建设符合“三线一单”的管控原则。</w:t>
            </w:r>
          </w:p>
          <w:p w14:paraId="27CBFCAD">
            <w:pPr>
              <w:adjustRightInd w:val="0"/>
              <w:snapToGrid w:val="0"/>
              <w:ind w:firstLine="0" w:firstLineChars="0"/>
              <w:jc w:val="center"/>
              <w:rPr>
                <w:rFonts w:hint="default"/>
                <w:b/>
                <w:bCs/>
                <w:color w:val="auto"/>
                <w:szCs w:val="21"/>
                <w:highlight w:val="none"/>
                <w:lang w:val="en-US"/>
              </w:rPr>
            </w:pPr>
            <w:r>
              <w:rPr>
                <w:rFonts w:hint="eastAsia"/>
                <w:b/>
                <w:bCs/>
                <w:color w:val="auto"/>
                <w:kern w:val="0"/>
                <w:sz w:val="21"/>
                <w:szCs w:val="21"/>
                <w:highlight w:val="none"/>
                <w:lang w:val="en-US" w:eastAsia="zh-CN"/>
              </w:rPr>
              <w:t>图</w:t>
            </w:r>
            <w:r>
              <w:rPr>
                <w:rFonts w:hint="eastAsia"/>
                <w:b/>
                <w:bCs/>
                <w:color w:val="auto"/>
                <w:kern w:val="0"/>
                <w:sz w:val="21"/>
                <w:szCs w:val="21"/>
                <w:highlight w:val="none"/>
              </w:rPr>
              <w:t>1-</w:t>
            </w:r>
            <w:r>
              <w:rPr>
                <w:rFonts w:hint="eastAsia"/>
                <w:b/>
                <w:bCs/>
                <w:color w:val="auto"/>
                <w:kern w:val="0"/>
                <w:sz w:val="21"/>
                <w:szCs w:val="21"/>
                <w:highlight w:val="none"/>
                <w:lang w:val="en-US" w:eastAsia="zh-CN"/>
              </w:rPr>
              <w:t>1</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巴音郭楞蒙古自治州“三线一单”图集</w:t>
            </w:r>
          </w:p>
          <w:p w14:paraId="52E9DE6E">
            <w:pPr>
              <w:keepNext w:val="0"/>
              <w:keepLines w:val="0"/>
              <w:pageBreakBefore w:val="0"/>
              <w:widowControl w:val="0"/>
              <w:kinsoku/>
              <w:wordWrap/>
              <w:overflowPunct/>
              <w:topLinePunct w:val="0"/>
              <w:autoSpaceDE/>
              <w:autoSpaceDN/>
              <w:bidi w:val="0"/>
              <w:adjustRightInd w:val="0"/>
              <w:snapToGrid w:val="0"/>
              <w:ind w:firstLine="0" w:firstLineChars="0"/>
              <w:textAlignment w:val="auto"/>
              <w:rPr>
                <w:b/>
                <w:bCs/>
                <w:color w:val="auto"/>
                <w:highlight w:val="none"/>
              </w:rPr>
            </w:pPr>
            <w:r>
              <w:rPr>
                <w:rFonts w:hint="eastAsia"/>
                <w:b/>
                <w:bCs/>
                <w:color w:val="auto"/>
                <w:szCs w:val="21"/>
                <w:highlight w:val="none"/>
                <w:lang w:val="en-US" w:eastAsia="zh-CN"/>
              </w:rPr>
              <w:t>3</w:t>
            </w:r>
            <w:r>
              <w:rPr>
                <w:b/>
                <w:bCs/>
                <w:color w:val="auto"/>
                <w:highlight w:val="none"/>
              </w:rPr>
              <w:t>.4其他</w:t>
            </w:r>
            <w:r>
              <w:rPr>
                <w:rFonts w:hint="eastAsia" w:ascii="宋体" w:hAnsi="宋体" w:cs="宋体"/>
                <w:b/>
                <w:bCs/>
                <w:color w:val="auto"/>
                <w:highlight w:val="none"/>
              </w:rPr>
              <w:t>符合性分析</w:t>
            </w:r>
          </w:p>
          <w:p w14:paraId="7106F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表1-6  其他符合性分析表</w:t>
            </w:r>
          </w:p>
          <w:tbl>
            <w:tblPr>
              <w:tblStyle w:val="30"/>
              <w:tblW w:w="713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48"/>
              <w:gridCol w:w="2734"/>
              <w:gridCol w:w="2200"/>
              <w:gridCol w:w="650"/>
            </w:tblGrid>
            <w:tr w14:paraId="0C55ED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32A94826">
                  <w:pPr>
                    <w:pStyle w:val="55"/>
                    <w:rPr>
                      <w:color w:val="auto"/>
                      <w:highlight w:val="none"/>
                    </w:rPr>
                  </w:pPr>
                  <w:r>
                    <w:rPr>
                      <w:color w:val="auto"/>
                      <w:highlight w:val="none"/>
                    </w:rPr>
                    <w:t>相关政策</w:t>
                  </w:r>
                </w:p>
              </w:tc>
              <w:tc>
                <w:tcPr>
                  <w:tcW w:w="2734" w:type="dxa"/>
                  <w:vAlign w:val="center"/>
                </w:tcPr>
                <w:p w14:paraId="23419EAA">
                  <w:pPr>
                    <w:pStyle w:val="55"/>
                    <w:rPr>
                      <w:color w:val="auto"/>
                      <w:highlight w:val="none"/>
                    </w:rPr>
                  </w:pPr>
                  <w:r>
                    <w:rPr>
                      <w:color w:val="auto"/>
                      <w:highlight w:val="none"/>
                    </w:rPr>
                    <w:t>政策要求</w:t>
                  </w:r>
                </w:p>
              </w:tc>
              <w:tc>
                <w:tcPr>
                  <w:tcW w:w="2200" w:type="dxa"/>
                  <w:vAlign w:val="center"/>
                </w:tcPr>
                <w:p w14:paraId="2770B6D4">
                  <w:pPr>
                    <w:pStyle w:val="55"/>
                    <w:rPr>
                      <w:color w:val="auto"/>
                      <w:highlight w:val="none"/>
                    </w:rPr>
                  </w:pPr>
                  <w:r>
                    <w:rPr>
                      <w:color w:val="auto"/>
                      <w:highlight w:val="none"/>
                    </w:rPr>
                    <w:t>本</w:t>
                  </w:r>
                  <w:r>
                    <w:rPr>
                      <w:rFonts w:hint="eastAsia"/>
                      <w:color w:val="auto"/>
                      <w:highlight w:val="none"/>
                    </w:rPr>
                    <w:t>项目</w:t>
                  </w:r>
                  <w:r>
                    <w:rPr>
                      <w:color w:val="auto"/>
                      <w:highlight w:val="none"/>
                    </w:rPr>
                    <w:t>建设情况</w:t>
                  </w:r>
                </w:p>
              </w:tc>
              <w:tc>
                <w:tcPr>
                  <w:tcW w:w="650" w:type="dxa"/>
                  <w:vAlign w:val="center"/>
                </w:tcPr>
                <w:p w14:paraId="2A22990A">
                  <w:pPr>
                    <w:pStyle w:val="55"/>
                    <w:rPr>
                      <w:color w:val="auto"/>
                      <w:highlight w:val="none"/>
                    </w:rPr>
                  </w:pPr>
                  <w:r>
                    <w:rPr>
                      <w:color w:val="auto"/>
                      <w:highlight w:val="none"/>
                    </w:rPr>
                    <w:t>符合性</w:t>
                  </w:r>
                </w:p>
              </w:tc>
            </w:tr>
            <w:tr w14:paraId="2B475A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604C5F20">
                  <w:pPr>
                    <w:pStyle w:val="55"/>
                    <w:rPr>
                      <w:color w:val="auto"/>
                      <w:highlight w:val="none"/>
                    </w:rPr>
                  </w:pPr>
                  <w:r>
                    <w:rPr>
                      <w:rFonts w:hint="eastAsia"/>
                      <w:color w:val="auto"/>
                      <w:highlight w:val="none"/>
                    </w:rPr>
                    <w:t>《新疆维吾尔自治区国民经济和社会发展第十四个五年规划和2035年远景目标纲要》(2021年2月5日新疆维吾尔自治区第十三届人民代表大会第四次会议通过)</w:t>
                  </w:r>
                </w:p>
              </w:tc>
              <w:tc>
                <w:tcPr>
                  <w:tcW w:w="2734" w:type="dxa"/>
                  <w:vAlign w:val="center"/>
                </w:tcPr>
                <w:p w14:paraId="6CEA3ECA">
                  <w:pPr>
                    <w:pStyle w:val="55"/>
                    <w:rPr>
                      <w:color w:val="auto"/>
                      <w:highlight w:val="none"/>
                    </w:rPr>
                  </w:pPr>
                  <w:r>
                    <w:rPr>
                      <w:rFonts w:hint="eastAsia"/>
                      <w:color w:val="auto"/>
                      <w:highlight w:val="none"/>
                    </w:rPr>
                    <w:t>大力实施建材产业绿色化、智能化升级改造，加快推进装配式建筑和建材部品化，以及交通、水利、装备等水泥构件发展。</w:t>
                  </w:r>
                </w:p>
              </w:tc>
              <w:tc>
                <w:tcPr>
                  <w:tcW w:w="2200" w:type="dxa"/>
                  <w:vAlign w:val="center"/>
                </w:tcPr>
                <w:p w14:paraId="7177C85C">
                  <w:pPr>
                    <w:pStyle w:val="55"/>
                    <w:rPr>
                      <w:color w:val="auto"/>
                      <w:highlight w:val="none"/>
                    </w:rPr>
                  </w:pPr>
                  <w:r>
                    <w:rPr>
                      <w:rFonts w:hint="eastAsia"/>
                      <w:color w:val="auto"/>
                      <w:highlight w:val="none"/>
                    </w:rPr>
                    <w:t>本项目产品主要为</w:t>
                  </w:r>
                  <w:r>
                    <w:rPr>
                      <w:rFonts w:hint="eastAsia"/>
                      <w:color w:val="auto"/>
                      <w:highlight w:val="none"/>
                      <w:lang w:val="en-US" w:eastAsia="zh-CN"/>
                    </w:rPr>
                    <w:t>粉煤灰</w:t>
                  </w:r>
                  <w:r>
                    <w:rPr>
                      <w:rFonts w:hint="eastAsia"/>
                      <w:color w:val="auto"/>
                      <w:highlight w:val="none"/>
                    </w:rPr>
                    <w:t>，工艺简单，对城市建设有重要意义，项目消耗了固体废物，资源化利用更合理。</w:t>
                  </w:r>
                </w:p>
              </w:tc>
              <w:tc>
                <w:tcPr>
                  <w:tcW w:w="650" w:type="dxa"/>
                  <w:vAlign w:val="center"/>
                </w:tcPr>
                <w:p w14:paraId="1B4E70BA">
                  <w:pPr>
                    <w:pStyle w:val="55"/>
                    <w:rPr>
                      <w:color w:val="auto"/>
                      <w:highlight w:val="none"/>
                    </w:rPr>
                  </w:pPr>
                  <w:r>
                    <w:rPr>
                      <w:color w:val="auto"/>
                      <w:highlight w:val="none"/>
                    </w:rPr>
                    <w:t>符合</w:t>
                  </w:r>
                </w:p>
              </w:tc>
            </w:tr>
            <w:tr w14:paraId="0CA1CB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6B64CCAE">
                  <w:pPr>
                    <w:pStyle w:val="55"/>
                    <w:rPr>
                      <w:color w:val="auto"/>
                      <w:highlight w:val="none"/>
                    </w:rPr>
                  </w:pPr>
                  <w:r>
                    <w:rPr>
                      <w:rFonts w:hint="eastAsia"/>
                      <w:color w:val="auto"/>
                      <w:highlight w:val="none"/>
                    </w:rPr>
                    <w:t>《新疆维吾尔自治区大气污染防治条例》（2019年1月1日起施行）</w:t>
                  </w:r>
                </w:p>
              </w:tc>
              <w:tc>
                <w:tcPr>
                  <w:tcW w:w="2734" w:type="dxa"/>
                  <w:vAlign w:val="center"/>
                </w:tcPr>
                <w:p w14:paraId="150D1B30">
                  <w:pPr>
                    <w:pStyle w:val="55"/>
                    <w:rPr>
                      <w:color w:val="auto"/>
                      <w:highlight w:val="none"/>
                    </w:rPr>
                  </w:pPr>
                  <w:r>
                    <w:rPr>
                      <w:rFonts w:hint="eastAsia"/>
                      <w:color w:val="auto"/>
                      <w:highlight w:val="none"/>
                    </w:rPr>
                    <w:t>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tc>
              <w:tc>
                <w:tcPr>
                  <w:tcW w:w="2200" w:type="dxa"/>
                  <w:vAlign w:val="center"/>
                </w:tcPr>
                <w:p w14:paraId="32D8AA2C">
                  <w:pPr>
                    <w:pStyle w:val="55"/>
                    <w:rPr>
                      <w:rFonts w:hint="default" w:eastAsia="宋体"/>
                      <w:color w:val="auto"/>
                      <w:highlight w:val="none"/>
                      <w:lang w:val="en-US" w:eastAsia="zh-CN"/>
                    </w:rPr>
                  </w:pPr>
                  <w:r>
                    <w:rPr>
                      <w:rFonts w:hint="eastAsia"/>
                      <w:color w:val="auto"/>
                      <w:highlight w:val="none"/>
                    </w:rPr>
                    <w:t>本项目不属于“三高”行业。粉状原料均贮存在</w:t>
                  </w:r>
                  <w:r>
                    <w:rPr>
                      <w:rFonts w:hint="eastAsia"/>
                      <w:color w:val="auto"/>
                      <w:highlight w:val="none"/>
                      <w:lang w:val="en-US" w:eastAsia="zh-CN"/>
                    </w:rPr>
                    <w:t>封闭料仓</w:t>
                  </w:r>
                  <w:r>
                    <w:rPr>
                      <w:rFonts w:hint="eastAsia"/>
                      <w:color w:val="auto"/>
                      <w:highlight w:val="none"/>
                    </w:rPr>
                    <w:t>内，</w:t>
                  </w:r>
                  <w:r>
                    <w:rPr>
                      <w:rFonts w:hint="eastAsia"/>
                      <w:color w:val="auto"/>
                      <w:highlight w:val="none"/>
                      <w:lang w:val="en-US" w:eastAsia="zh-CN"/>
                    </w:rPr>
                    <w:t>炉渣</w:t>
                  </w:r>
                  <w:r>
                    <w:rPr>
                      <w:rFonts w:hint="eastAsia"/>
                      <w:color w:val="auto"/>
                      <w:highlight w:val="none"/>
                      <w:lang w:eastAsia="zh-CN"/>
                    </w:rPr>
                    <w:t>储存满足一般工业固废贮存标准，</w:t>
                  </w:r>
                  <w:r>
                    <w:rPr>
                      <w:rFonts w:hint="eastAsia"/>
                      <w:color w:val="auto"/>
                      <w:highlight w:val="none"/>
                    </w:rPr>
                    <w:t>生产过程产生的粉尘经收集后通过布袋除尘器除尘后由1根</w:t>
                  </w:r>
                  <w:r>
                    <w:rPr>
                      <w:rFonts w:hint="eastAsia"/>
                      <w:color w:val="auto"/>
                      <w:highlight w:val="none"/>
                      <w:lang w:eastAsia="zh-CN"/>
                    </w:rPr>
                    <w:t>22m</w:t>
                  </w:r>
                  <w:r>
                    <w:rPr>
                      <w:rFonts w:hint="eastAsia"/>
                      <w:color w:val="auto"/>
                      <w:highlight w:val="none"/>
                    </w:rPr>
                    <w:t>高排气筒排放，</w:t>
                  </w:r>
                  <w:r>
                    <w:rPr>
                      <w:rFonts w:hint="eastAsia"/>
                      <w:color w:val="auto"/>
                      <w:highlight w:val="none"/>
                      <w:lang w:val="en-US" w:eastAsia="zh-CN"/>
                    </w:rPr>
                    <w:t>物料通过密闭传送带输送，</w:t>
                  </w:r>
                  <w:r>
                    <w:rPr>
                      <w:rFonts w:hint="eastAsia"/>
                      <w:color w:val="auto"/>
                      <w:highlight w:val="none"/>
                    </w:rPr>
                    <w:t>生产线在密闭厂房内进行</w:t>
                  </w:r>
                  <w:r>
                    <w:rPr>
                      <w:color w:val="auto"/>
                      <w:highlight w:val="none"/>
                    </w:rPr>
                    <w:t>，</w:t>
                  </w:r>
                  <w:r>
                    <w:rPr>
                      <w:rFonts w:hint="eastAsia"/>
                      <w:color w:val="auto"/>
                      <w:highlight w:val="none"/>
                    </w:rPr>
                    <w:t>厂房内</w:t>
                  </w:r>
                  <w:r>
                    <w:rPr>
                      <w:color w:val="auto"/>
                      <w:highlight w:val="none"/>
                    </w:rPr>
                    <w:t>定期洒水降尘</w:t>
                  </w:r>
                  <w:r>
                    <w:rPr>
                      <w:rFonts w:hint="eastAsia"/>
                      <w:color w:val="auto"/>
                      <w:highlight w:val="none"/>
                    </w:rPr>
                    <w:t>、清扫。</w:t>
                  </w:r>
                  <w:r>
                    <w:rPr>
                      <w:rFonts w:hint="eastAsia"/>
                      <w:color w:val="auto"/>
                      <w:highlight w:val="none"/>
                      <w:lang w:val="en-US" w:eastAsia="zh-CN"/>
                    </w:rPr>
                    <w:t>物料运输过程加强车辆清洗、控制车速、厂区路面定期洒水降尘。</w:t>
                  </w:r>
                </w:p>
              </w:tc>
              <w:tc>
                <w:tcPr>
                  <w:tcW w:w="650" w:type="dxa"/>
                  <w:vAlign w:val="center"/>
                </w:tcPr>
                <w:p w14:paraId="3D053A7E">
                  <w:pPr>
                    <w:pStyle w:val="55"/>
                    <w:rPr>
                      <w:color w:val="auto"/>
                      <w:highlight w:val="none"/>
                    </w:rPr>
                  </w:pPr>
                  <w:r>
                    <w:rPr>
                      <w:color w:val="auto"/>
                      <w:highlight w:val="none"/>
                    </w:rPr>
                    <w:t>符合</w:t>
                  </w:r>
                </w:p>
              </w:tc>
            </w:tr>
            <w:tr w14:paraId="377695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434EBFE0">
                  <w:pPr>
                    <w:pStyle w:val="55"/>
                    <w:rPr>
                      <w:color w:val="auto"/>
                      <w:highlight w:val="none"/>
                    </w:rPr>
                  </w:pPr>
                  <w:r>
                    <w:rPr>
                      <w:rFonts w:hint="eastAsia"/>
                      <w:color w:val="auto"/>
                      <w:highlight w:val="none"/>
                    </w:rPr>
                    <w:t>《新疆生态环境保护“十四五”规划》（2021年12月24日）</w:t>
                  </w:r>
                </w:p>
              </w:tc>
              <w:tc>
                <w:tcPr>
                  <w:tcW w:w="2734" w:type="dxa"/>
                  <w:vAlign w:val="center"/>
                </w:tcPr>
                <w:p w14:paraId="3F23C06D">
                  <w:pPr>
                    <w:pStyle w:val="55"/>
                    <w:rPr>
                      <w:color w:val="auto"/>
                      <w:highlight w:val="none"/>
                    </w:rPr>
                  </w:pPr>
                  <w:r>
                    <w:rPr>
                      <w:rFonts w:hint="eastAsia"/>
                      <w:color w:val="auto"/>
                      <w:highlight w:val="none"/>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tc>
              <w:tc>
                <w:tcPr>
                  <w:tcW w:w="2200" w:type="dxa"/>
                  <w:vAlign w:val="center"/>
                </w:tcPr>
                <w:p w14:paraId="5999FD72">
                  <w:pPr>
                    <w:pStyle w:val="55"/>
                    <w:rPr>
                      <w:color w:val="auto"/>
                      <w:highlight w:val="none"/>
                    </w:rPr>
                  </w:pPr>
                  <w:r>
                    <w:rPr>
                      <w:rFonts w:hint="eastAsia"/>
                      <w:color w:val="auto"/>
                      <w:highlight w:val="none"/>
                    </w:rPr>
                    <w:t>本项目粉状原料均贮存在</w:t>
                  </w:r>
                  <w:r>
                    <w:rPr>
                      <w:rFonts w:hint="eastAsia"/>
                      <w:color w:val="auto"/>
                      <w:highlight w:val="none"/>
                      <w:lang w:val="en-US" w:eastAsia="zh-CN"/>
                    </w:rPr>
                    <w:t>封闭料仓内</w:t>
                  </w:r>
                  <w:r>
                    <w:rPr>
                      <w:rFonts w:hint="eastAsia"/>
                      <w:color w:val="auto"/>
                      <w:highlight w:val="none"/>
                    </w:rPr>
                    <w:t>，生产过程产生的粉尘经收集通过布袋除尘器处理后由</w:t>
                  </w:r>
                  <w:r>
                    <w:rPr>
                      <w:rFonts w:hint="eastAsia"/>
                      <w:color w:val="auto"/>
                      <w:highlight w:val="none"/>
                      <w:lang w:eastAsia="zh-CN"/>
                    </w:rPr>
                    <w:t>22m</w:t>
                  </w:r>
                  <w:r>
                    <w:rPr>
                      <w:rFonts w:hint="eastAsia"/>
                      <w:color w:val="auto"/>
                      <w:highlight w:val="none"/>
                    </w:rPr>
                    <w:t>高排气筒排放，</w:t>
                  </w:r>
                  <w:r>
                    <w:rPr>
                      <w:rFonts w:hint="eastAsia"/>
                      <w:color w:val="auto"/>
                      <w:highlight w:val="none"/>
                      <w:lang w:val="en-US" w:eastAsia="zh-CN"/>
                    </w:rPr>
                    <w:t>物料通过密闭传送带输送</w:t>
                  </w:r>
                  <w:r>
                    <w:rPr>
                      <w:rFonts w:hint="eastAsia"/>
                      <w:color w:val="auto"/>
                      <w:highlight w:val="none"/>
                      <w:lang w:eastAsia="zh-CN"/>
                    </w:rPr>
                    <w:t>，</w:t>
                  </w:r>
                  <w:r>
                    <w:rPr>
                      <w:rFonts w:hint="eastAsia"/>
                      <w:color w:val="auto"/>
                      <w:highlight w:val="none"/>
                    </w:rPr>
                    <w:t>生产线在密闭厂房内进行</w:t>
                  </w:r>
                  <w:r>
                    <w:rPr>
                      <w:color w:val="auto"/>
                      <w:highlight w:val="none"/>
                    </w:rPr>
                    <w:t>，</w:t>
                  </w:r>
                  <w:r>
                    <w:rPr>
                      <w:rFonts w:hint="eastAsia"/>
                      <w:color w:val="auto"/>
                      <w:highlight w:val="none"/>
                    </w:rPr>
                    <w:t>厂房内</w:t>
                  </w:r>
                  <w:r>
                    <w:rPr>
                      <w:color w:val="auto"/>
                      <w:highlight w:val="none"/>
                    </w:rPr>
                    <w:t>定期洒水降尘</w:t>
                  </w:r>
                  <w:r>
                    <w:rPr>
                      <w:rFonts w:hint="eastAsia"/>
                      <w:color w:val="auto"/>
                      <w:highlight w:val="none"/>
                    </w:rPr>
                    <w:t>、清扫。</w:t>
                  </w:r>
                </w:p>
              </w:tc>
              <w:tc>
                <w:tcPr>
                  <w:tcW w:w="650" w:type="dxa"/>
                  <w:vAlign w:val="center"/>
                </w:tcPr>
                <w:p w14:paraId="039CF52E">
                  <w:pPr>
                    <w:pStyle w:val="55"/>
                    <w:rPr>
                      <w:color w:val="auto"/>
                      <w:highlight w:val="none"/>
                    </w:rPr>
                  </w:pPr>
                  <w:r>
                    <w:rPr>
                      <w:color w:val="auto"/>
                      <w:highlight w:val="none"/>
                    </w:rPr>
                    <w:t>符合</w:t>
                  </w:r>
                </w:p>
              </w:tc>
            </w:tr>
            <w:tr w14:paraId="36D6B1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7F133FB0">
                  <w:pPr>
                    <w:pStyle w:val="39"/>
                    <w:bidi w:val="0"/>
                    <w:ind w:left="0" w:leftChars="0" w:firstLine="0" w:firstLineChars="0"/>
                    <w:jc w:val="both"/>
                    <w:rPr>
                      <w:rFonts w:hint="eastAsia"/>
                      <w:color w:val="auto"/>
                      <w:highlight w:val="none"/>
                    </w:rPr>
                  </w:pPr>
                  <w:r>
                    <w:rPr>
                      <w:rFonts w:hint="eastAsia" w:ascii="Times New Roman" w:hAnsi="Times New Roman" w:eastAsia="宋体" w:cs="Times New Roman"/>
                      <w:bCs/>
                      <w:color w:val="auto"/>
                      <w:kern w:val="2"/>
                      <w:sz w:val="21"/>
                      <w:szCs w:val="21"/>
                      <w:highlight w:val="none"/>
                      <w:lang w:val="en-US" w:eastAsia="zh-CN" w:bidi="ar-SA"/>
                    </w:rPr>
                    <w:t>《巴音郭楞蒙古自治州生态环境“十四五”规划》（巴党发〔2022〕4号）</w:t>
                  </w:r>
                </w:p>
              </w:tc>
              <w:tc>
                <w:tcPr>
                  <w:tcW w:w="2734" w:type="dxa"/>
                  <w:vAlign w:val="center"/>
                </w:tcPr>
                <w:p w14:paraId="1535BC07">
                  <w:pPr>
                    <w:pStyle w:val="39"/>
                    <w:bidi w:val="0"/>
                    <w:ind w:left="0" w:leftChars="0" w:firstLine="0" w:firstLineChars="0"/>
                    <w:jc w:val="both"/>
                    <w:rPr>
                      <w:rFonts w:hint="eastAsia"/>
                      <w:color w:val="auto"/>
                      <w:highlight w:val="none"/>
                    </w:rPr>
                  </w:pPr>
                  <w:r>
                    <w:rPr>
                      <w:rFonts w:hint="default" w:ascii="Times New Roman" w:hAnsi="Times New Roman" w:eastAsia="宋体" w:cs="Times New Roman"/>
                      <w:color w:val="auto"/>
                      <w:sz w:val="21"/>
                      <w:szCs w:val="21"/>
                      <w:highlight w:val="none"/>
                    </w:rPr>
                    <w:t>坚决遏制“两高”项目盲目发展，严格执行能源、矿产资源开发自治区人民政府“一支笔”审批制度、环境保护“一票否决”制度，落实“三线一单”生态环境分区管控要求，守住生态保护红线、环境质量底线和自然资源利用上线，实施兵地统一的生态环境准入清单管控。落实最严格的水资源管理制度，科学确定水资源承载能力，严格实行区域用水总量和强度控制，强化节水约束性指标管理。强化地下水超采治理。</w:t>
                  </w:r>
                </w:p>
              </w:tc>
              <w:tc>
                <w:tcPr>
                  <w:tcW w:w="2200" w:type="dxa"/>
                  <w:vAlign w:val="center"/>
                </w:tcPr>
                <w:p w14:paraId="28FD02E1">
                  <w:pPr>
                    <w:pStyle w:val="55"/>
                    <w:rPr>
                      <w:rFonts w:hint="eastAsia"/>
                      <w:color w:val="auto"/>
                      <w:highlight w:val="none"/>
                    </w:rPr>
                  </w:pPr>
                  <w:r>
                    <w:rPr>
                      <w:rFonts w:hint="default" w:ascii="Times New Roman" w:hAnsi="Times New Roman" w:eastAsia="宋体" w:cs="Times New Roman"/>
                      <w:b w:val="0"/>
                      <w:bCs w:val="0"/>
                      <w:snapToGrid/>
                      <w:color w:val="auto"/>
                      <w:kern w:val="2"/>
                      <w:sz w:val="21"/>
                      <w:szCs w:val="21"/>
                      <w:highlight w:val="none"/>
                      <w:lang w:val="en-US" w:eastAsia="zh-CN" w:bidi="ar-SA"/>
                      <w14:ligatures w14:val="standardContextual"/>
                    </w:rPr>
                    <w:t>本项目不属于“两高”类项目，生产过程主要产生粉尘，采用高效除尘设施处理达标后排放</w:t>
                  </w:r>
                  <w:r>
                    <w:rPr>
                      <w:rFonts w:hint="eastAsia" w:cs="Times New Roman"/>
                      <w:b w:val="0"/>
                      <w:bCs w:val="0"/>
                      <w:snapToGrid/>
                      <w:color w:val="auto"/>
                      <w:kern w:val="2"/>
                      <w:sz w:val="21"/>
                      <w:szCs w:val="21"/>
                      <w:highlight w:val="none"/>
                      <w:lang w:val="en-US" w:eastAsia="zh-CN" w:bidi="ar-SA"/>
                      <w14:ligatures w14:val="standardContextual"/>
                    </w:rPr>
                    <w:t>；项目产生的废水主要是设备冷却用水和少量的生活污水。设备冷却水循环利用。生活污水量也比较少，经化粪池预处理后拉运至若羌县污水处理厂进一步处理，待园区污水管网接通后排入管网；</w:t>
                  </w:r>
                  <w:r>
                    <w:rPr>
                      <w:rFonts w:hint="default" w:ascii="Times New Roman" w:hAnsi="Times New Roman" w:eastAsia="宋体" w:cs="Times New Roman"/>
                      <w:b w:val="0"/>
                      <w:bCs w:val="0"/>
                      <w:snapToGrid/>
                      <w:color w:val="auto"/>
                      <w:kern w:val="2"/>
                      <w:sz w:val="21"/>
                      <w:szCs w:val="21"/>
                      <w:highlight w:val="none"/>
                      <w:lang w:val="en-US" w:eastAsia="zh-CN" w:bidi="ar-SA"/>
                      <w14:ligatures w14:val="standardContextual"/>
                    </w:rPr>
                    <w:t>危险废物应遵循全过程管理，分类收集，交有资质单位处置。</w:t>
                  </w:r>
                </w:p>
              </w:tc>
              <w:tc>
                <w:tcPr>
                  <w:tcW w:w="650" w:type="dxa"/>
                  <w:vAlign w:val="center"/>
                </w:tcPr>
                <w:p w14:paraId="06EB72F5">
                  <w:pPr>
                    <w:pStyle w:val="55"/>
                    <w:rPr>
                      <w:color w:val="auto"/>
                      <w:highlight w:val="none"/>
                    </w:rPr>
                  </w:pPr>
                  <w:r>
                    <w:rPr>
                      <w:color w:val="auto"/>
                      <w:highlight w:val="none"/>
                    </w:rPr>
                    <w:t>符合</w:t>
                  </w:r>
                </w:p>
              </w:tc>
            </w:tr>
            <w:tr w14:paraId="67C73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651C69A2">
                  <w:pPr>
                    <w:pStyle w:val="39"/>
                    <w:bidi w:val="0"/>
                    <w:ind w:left="0" w:leftChars="0" w:firstLine="0" w:firstLineChars="0"/>
                    <w:jc w:val="both"/>
                    <w:rPr>
                      <w:rFonts w:hint="eastAsia"/>
                      <w:highlight w:val="none"/>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自治州大气污染防治三年攻坚行动方案（2023－2025年）</w:t>
                  </w: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巴政发〔2023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27号</w:t>
                  </w:r>
                  <w:r>
                    <w:rPr>
                      <w:rFonts w:hint="eastAsia" w:ascii="Times New Roman" w:cs="Times New Roman"/>
                      <w:color w:val="auto"/>
                      <w:sz w:val="21"/>
                      <w:szCs w:val="21"/>
                      <w:highlight w:val="none"/>
                      <w:lang w:val="en-US" w:eastAsia="zh-CN"/>
                    </w:rPr>
                    <w:t>）</w:t>
                  </w:r>
                </w:p>
              </w:tc>
              <w:tc>
                <w:tcPr>
                  <w:tcW w:w="2734" w:type="dxa"/>
                  <w:vAlign w:val="center"/>
                </w:tcPr>
                <w:p w14:paraId="3E6FB170">
                  <w:pPr>
                    <w:pStyle w:val="39"/>
                    <w:bidi w:val="0"/>
                    <w:ind w:left="0" w:leftChars="0" w:firstLine="0" w:firstLineChars="0"/>
                    <w:jc w:val="both"/>
                    <w:rPr>
                      <w:rFonts w:hint="eastAsia"/>
                      <w:color w:val="auto"/>
                      <w:highlight w:val="none"/>
                    </w:rPr>
                  </w:pPr>
                  <w:r>
                    <w:rPr>
                      <w:rFonts w:hint="default" w:ascii="Times New Roman" w:hAnsi="Times New Roman" w:eastAsia="宋体" w:cs="Times New Roman"/>
                      <w:color w:val="auto"/>
                      <w:sz w:val="21"/>
                      <w:szCs w:val="21"/>
                      <w:highlight w:val="none"/>
                    </w:rPr>
                    <w:t>严把高耗能、高排放、低水平项目准入关口，严格落实国家产业规划、产业政策、“三线一单”、规划环评，以及产能置换、煤炭消费减量替代、区域污染物消减要求，对不符合规定的项目坚决停批停建。加强已审批高耗能高排放项目环评文件审查，动态更新管理台账。库尔勒大气污染联防联控区严禁新增钢铁、水泥熟料、平板玻璃、炼油产能。其他地区钢铁、水泥熟料、平板玻璃、炼油、电解铝等新建、扩建项目严格实施产能等量置换要求。</w:t>
                  </w:r>
                </w:p>
              </w:tc>
              <w:tc>
                <w:tcPr>
                  <w:tcW w:w="2200" w:type="dxa"/>
                  <w:vAlign w:val="center"/>
                </w:tcPr>
                <w:p w14:paraId="6738FFE6">
                  <w:pPr>
                    <w:pStyle w:val="55"/>
                    <w:rPr>
                      <w:rFonts w:hint="eastAsia"/>
                      <w:color w:val="auto"/>
                      <w:highlight w:val="none"/>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高耗能、高排放、低水平项目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rPr>
                    <w:t>国家产业规划、</w:t>
                  </w:r>
                  <w:r>
                    <w:rPr>
                      <w:rFonts w:hint="default" w:ascii="Times New Roman" w:hAnsi="Times New Roman" w:eastAsia="宋体" w:cs="Times New Roman"/>
                      <w:color w:val="auto"/>
                      <w:sz w:val="21"/>
                      <w:szCs w:val="21"/>
                      <w:highlight w:val="none"/>
                      <w:lang w:val="en-US" w:eastAsia="zh-CN"/>
                    </w:rPr>
                    <w:t>地方产业政策</w:t>
                  </w:r>
                  <w:r>
                    <w:rPr>
                      <w:rFonts w:hint="eastAsia" w:ascii="Times New Roman" w:hAnsi="Times New Roman" w:eastAsia="宋体" w:cs="Times New Roman"/>
                      <w:color w:val="auto"/>
                      <w:sz w:val="21"/>
                      <w:szCs w:val="21"/>
                      <w:highlight w:val="none"/>
                      <w:lang w:val="en-US" w:eastAsia="zh-CN"/>
                    </w:rPr>
                    <w:t>相关要求</w:t>
                  </w:r>
                  <w:r>
                    <w:rPr>
                      <w:rFonts w:hint="default" w:ascii="Times New Roman" w:hAnsi="Times New Roman" w:eastAsia="宋体" w:cs="Times New Roman"/>
                      <w:color w:val="auto"/>
                      <w:sz w:val="21"/>
                      <w:szCs w:val="21"/>
                      <w:highlight w:val="none"/>
                      <w:lang w:val="en-US" w:eastAsia="zh-CN"/>
                    </w:rPr>
                    <w:t>。</w:t>
                  </w:r>
                </w:p>
              </w:tc>
              <w:tc>
                <w:tcPr>
                  <w:tcW w:w="650" w:type="dxa"/>
                  <w:vAlign w:val="center"/>
                </w:tcPr>
                <w:p w14:paraId="3544F5B0">
                  <w:pPr>
                    <w:pStyle w:val="55"/>
                    <w:rPr>
                      <w:color w:val="auto"/>
                      <w:highlight w:val="none"/>
                    </w:rPr>
                  </w:pPr>
                  <w:r>
                    <w:rPr>
                      <w:color w:val="auto"/>
                      <w:highlight w:val="none"/>
                    </w:rPr>
                    <w:t>符合</w:t>
                  </w:r>
                </w:p>
              </w:tc>
            </w:tr>
            <w:tr w14:paraId="146CF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548" w:type="dxa"/>
                  <w:vAlign w:val="center"/>
                </w:tcPr>
                <w:p w14:paraId="3759A402">
                  <w:pPr>
                    <w:pStyle w:val="39"/>
                    <w:bidi w:val="0"/>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一般工业固体废物贮存和填埋污染控制标准</w:t>
                  </w:r>
                  <w:r>
                    <w:rPr>
                      <w:rFonts w:hint="eastAsia" w:ascii="Times New Roman" w:cs="Times New Roman"/>
                      <w:color w:val="auto"/>
                      <w:sz w:val="21"/>
                      <w:szCs w:val="21"/>
                      <w:highlight w:val="none"/>
                      <w:lang w:val="en-US" w:eastAsia="zh-CN"/>
                    </w:rPr>
                    <w:t>》（GB 18599-2020）</w:t>
                  </w:r>
                </w:p>
              </w:tc>
              <w:tc>
                <w:tcPr>
                  <w:tcW w:w="2734" w:type="dxa"/>
                  <w:vAlign w:val="center"/>
                </w:tcPr>
                <w:p w14:paraId="6B7600F9">
                  <w:pPr>
                    <w:pStyle w:val="39"/>
                    <w:bidi w:val="0"/>
                    <w:ind w:left="0" w:leftChars="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易产生扬尘的贮存或填埋场应采取分区作业、覆盖、洒水等有效抑尘措施防止扬尘污染。</w:t>
                  </w:r>
                </w:p>
              </w:tc>
              <w:tc>
                <w:tcPr>
                  <w:tcW w:w="2200" w:type="dxa"/>
                  <w:vAlign w:val="center"/>
                </w:tcPr>
                <w:p w14:paraId="67B31463">
                  <w:pPr>
                    <w:pStyle w:val="55"/>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本项目产生的扬尘料仓内采用洒水等措施防治扬尘污染。</w:t>
                  </w:r>
                </w:p>
              </w:tc>
              <w:tc>
                <w:tcPr>
                  <w:tcW w:w="650" w:type="dxa"/>
                  <w:vAlign w:val="center"/>
                </w:tcPr>
                <w:p w14:paraId="3DE97D8D">
                  <w:pPr>
                    <w:pStyle w:val="55"/>
                    <w:rPr>
                      <w:color w:val="auto"/>
                      <w:highlight w:val="none"/>
                    </w:rPr>
                  </w:pPr>
                  <w:r>
                    <w:rPr>
                      <w:color w:val="auto"/>
                      <w:highlight w:val="none"/>
                    </w:rPr>
                    <w:t>符合</w:t>
                  </w:r>
                </w:p>
              </w:tc>
            </w:tr>
            <w:tr w14:paraId="5255E3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4" w:hRule="atLeast"/>
              </w:trPr>
              <w:tc>
                <w:tcPr>
                  <w:tcW w:w="1548" w:type="dxa"/>
                  <w:vAlign w:val="center"/>
                </w:tcPr>
                <w:p w14:paraId="79B064B6">
                  <w:pPr>
                    <w:widowControl/>
                    <w:spacing w:line="240" w:lineRule="auto"/>
                    <w:ind w:firstLine="0" w:firstLineChars="0"/>
                    <w:jc w:val="left"/>
                    <w:rPr>
                      <w:bCs/>
                      <w:color w:val="auto"/>
                      <w:sz w:val="21"/>
                      <w:szCs w:val="21"/>
                      <w:highlight w:val="none"/>
                    </w:rPr>
                  </w:pPr>
                  <w:r>
                    <w:rPr>
                      <w:rFonts w:hint="eastAsia"/>
                      <w:bCs/>
                      <w:color w:val="auto"/>
                      <w:sz w:val="21"/>
                      <w:szCs w:val="21"/>
                      <w:highlight w:val="none"/>
                    </w:rPr>
                    <w:t>《关于印发自治州固体废物污染防治实施方案的通知》巴政办发</w:t>
                  </w:r>
                  <w:r>
                    <w:rPr>
                      <w:rFonts w:hint="eastAsia"/>
                      <w:bCs/>
                      <w:color w:val="auto"/>
                      <w:sz w:val="21"/>
                      <w:szCs w:val="21"/>
                      <w:highlight w:val="none"/>
                      <w:lang w:eastAsia="zh-CN"/>
                    </w:rPr>
                    <w:t>〔2018〕79号</w:t>
                  </w:r>
                </w:p>
              </w:tc>
              <w:tc>
                <w:tcPr>
                  <w:tcW w:w="2734" w:type="dxa"/>
                  <w:vAlign w:val="center"/>
                </w:tcPr>
                <w:p w14:paraId="7F14948C">
                  <w:pPr>
                    <w:widowControl/>
                    <w:spacing w:line="240" w:lineRule="auto"/>
                    <w:ind w:firstLine="0" w:firstLineChars="0"/>
                    <w:jc w:val="left"/>
                    <w:rPr>
                      <w:bCs/>
                      <w:color w:val="auto"/>
                      <w:sz w:val="21"/>
                      <w:szCs w:val="21"/>
                      <w:highlight w:val="none"/>
                    </w:rPr>
                  </w:pPr>
                  <w:r>
                    <w:rPr>
                      <w:rFonts w:hint="eastAsia"/>
                      <w:bCs/>
                      <w:color w:val="auto"/>
                      <w:sz w:val="21"/>
                      <w:szCs w:val="21"/>
                      <w:highlight w:val="none"/>
                    </w:rPr>
                    <w:t>推进工业固体废物减量化。大力发展循环经济，促进工业固体废物资源化综合利用。</w:t>
                  </w:r>
                </w:p>
              </w:tc>
              <w:tc>
                <w:tcPr>
                  <w:tcW w:w="2200" w:type="dxa"/>
                  <w:vAlign w:val="center"/>
                </w:tcPr>
                <w:p w14:paraId="5393B791">
                  <w:pPr>
                    <w:pStyle w:val="26"/>
                    <w:spacing w:before="0" w:beforeAutospacing="0" w:after="0" w:afterAutospacing="0" w:line="240" w:lineRule="auto"/>
                    <w:ind w:firstLine="0" w:firstLineChars="0"/>
                    <w:rPr>
                      <w:rFonts w:ascii="Times New Roman" w:hAnsi="Times New Roman"/>
                      <w:bCs/>
                      <w:color w:val="auto"/>
                      <w:kern w:val="2"/>
                      <w:sz w:val="21"/>
                      <w:szCs w:val="21"/>
                      <w:highlight w:val="none"/>
                    </w:rPr>
                  </w:pPr>
                  <w:r>
                    <w:rPr>
                      <w:rFonts w:hint="eastAsia" w:ascii="Times New Roman" w:hAnsi="Times New Roman"/>
                      <w:bCs/>
                      <w:color w:val="auto"/>
                      <w:kern w:val="2"/>
                      <w:sz w:val="21"/>
                      <w:szCs w:val="21"/>
                      <w:highlight w:val="none"/>
                    </w:rPr>
                    <w:t>本项目属于生态保护和环境治理业，项目的建设可推进</w:t>
                  </w:r>
                  <w:r>
                    <w:rPr>
                      <w:rFonts w:hint="eastAsia" w:ascii="Times New Roman" w:hAnsi="Times New Roman"/>
                      <w:bCs/>
                      <w:color w:val="auto"/>
                      <w:kern w:val="2"/>
                      <w:sz w:val="21"/>
                      <w:szCs w:val="21"/>
                      <w:highlight w:val="none"/>
                      <w:lang w:val="en-US" w:eastAsia="zh-CN"/>
                    </w:rPr>
                    <w:t>若羌县</w:t>
                  </w:r>
                  <w:r>
                    <w:rPr>
                      <w:rFonts w:hint="eastAsia" w:ascii="Times New Roman" w:hAnsi="Times New Roman"/>
                      <w:bCs/>
                      <w:color w:val="auto"/>
                      <w:kern w:val="2"/>
                      <w:sz w:val="21"/>
                      <w:szCs w:val="21"/>
                      <w:highlight w:val="none"/>
                    </w:rPr>
                    <w:t>固体废物综合利用和环境整治。</w:t>
                  </w:r>
                </w:p>
              </w:tc>
              <w:tc>
                <w:tcPr>
                  <w:tcW w:w="650" w:type="dxa"/>
                  <w:vAlign w:val="center"/>
                </w:tcPr>
                <w:p w14:paraId="64F6277D">
                  <w:pPr>
                    <w:pStyle w:val="55"/>
                    <w:rPr>
                      <w:color w:val="auto"/>
                      <w:highlight w:val="none"/>
                    </w:rPr>
                  </w:pPr>
                  <w:r>
                    <w:rPr>
                      <w:rFonts w:hint="eastAsia"/>
                      <w:color w:val="auto"/>
                      <w:highlight w:val="none"/>
                    </w:rPr>
                    <w:t>符合</w:t>
                  </w:r>
                </w:p>
              </w:tc>
            </w:tr>
            <w:tr w14:paraId="6FF742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4" w:hRule="atLeast"/>
              </w:trPr>
              <w:tc>
                <w:tcPr>
                  <w:tcW w:w="1548" w:type="dxa"/>
                  <w:vAlign w:val="center"/>
                </w:tcPr>
                <w:p w14:paraId="4A8156A0">
                  <w:pPr>
                    <w:pStyle w:val="55"/>
                    <w:rPr>
                      <w:color w:val="auto"/>
                      <w:highlight w:val="none"/>
                    </w:rPr>
                  </w:pPr>
                  <w:r>
                    <w:rPr>
                      <w:rFonts w:hint="eastAsia"/>
                      <w:color w:val="auto"/>
                      <w:highlight w:val="none"/>
                    </w:rPr>
                    <w:t>《关于“十四五”大宗固体废弃物综合利用的指导意见》（发改环资〔2021〕381号）</w:t>
                  </w:r>
                </w:p>
              </w:tc>
              <w:tc>
                <w:tcPr>
                  <w:tcW w:w="2734" w:type="dxa"/>
                  <w:vAlign w:val="center"/>
                </w:tcPr>
                <w:p w14:paraId="5EE525BE">
                  <w:pPr>
                    <w:widowControl/>
                    <w:spacing w:line="240" w:lineRule="auto"/>
                    <w:ind w:firstLine="0" w:firstLineChars="0"/>
                    <w:jc w:val="left"/>
                    <w:rPr>
                      <w:bCs/>
                      <w:color w:val="auto"/>
                      <w:sz w:val="21"/>
                      <w:szCs w:val="21"/>
                      <w:highlight w:val="none"/>
                    </w:rPr>
                  </w:pPr>
                  <w:r>
                    <w:rPr>
                      <w:rFonts w:hint="eastAsia"/>
                      <w:bCs/>
                      <w:color w:val="auto"/>
                      <w:sz w:val="21"/>
                      <w:szCs w:val="21"/>
                      <w:highlight w:val="none"/>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w:t>
                  </w:r>
                </w:p>
              </w:tc>
              <w:tc>
                <w:tcPr>
                  <w:tcW w:w="2200" w:type="dxa"/>
                  <w:vAlign w:val="center"/>
                </w:tcPr>
                <w:p w14:paraId="17E5E043">
                  <w:pPr>
                    <w:pStyle w:val="55"/>
                    <w:rPr>
                      <w:color w:val="auto"/>
                      <w:kern w:val="0"/>
                      <w:highlight w:val="none"/>
                      <w:lang w:bidi="ar"/>
                    </w:rPr>
                  </w:pPr>
                  <w:r>
                    <w:rPr>
                      <w:rFonts w:hint="eastAsia"/>
                      <w:color w:val="auto"/>
                      <w:highlight w:val="none"/>
                    </w:rPr>
                    <w:t>本项目属于生态保护和环境治理业，以</w:t>
                  </w:r>
                  <w:r>
                    <w:rPr>
                      <w:rFonts w:hint="eastAsia"/>
                      <w:color w:val="auto"/>
                      <w:highlight w:val="none"/>
                      <w:lang w:val="en-US" w:eastAsia="zh-CN"/>
                    </w:rPr>
                    <w:t>炉渣</w:t>
                  </w:r>
                  <w:r>
                    <w:rPr>
                      <w:rFonts w:hint="eastAsia"/>
                      <w:color w:val="auto"/>
                      <w:highlight w:val="none"/>
                    </w:rPr>
                    <w:t>为原料，生产</w:t>
                  </w:r>
                  <w:r>
                    <w:rPr>
                      <w:rFonts w:hint="eastAsia"/>
                      <w:color w:val="auto"/>
                      <w:highlight w:val="none"/>
                      <w:lang w:val="en-US" w:eastAsia="zh-CN"/>
                    </w:rPr>
                    <w:t>粉煤灰</w:t>
                  </w:r>
                  <w:r>
                    <w:rPr>
                      <w:rFonts w:hint="eastAsia"/>
                      <w:color w:val="auto"/>
                      <w:highlight w:val="none"/>
                    </w:rPr>
                    <w:t>。</w:t>
                  </w:r>
                </w:p>
              </w:tc>
              <w:tc>
                <w:tcPr>
                  <w:tcW w:w="650" w:type="dxa"/>
                  <w:vAlign w:val="center"/>
                </w:tcPr>
                <w:p w14:paraId="68D935F1">
                  <w:pPr>
                    <w:pStyle w:val="55"/>
                    <w:rPr>
                      <w:color w:val="auto"/>
                      <w:highlight w:val="none"/>
                    </w:rPr>
                  </w:pPr>
                  <w:r>
                    <w:rPr>
                      <w:rFonts w:hint="eastAsia"/>
                      <w:color w:val="auto"/>
                      <w:highlight w:val="none"/>
                    </w:rPr>
                    <w:t>符合</w:t>
                  </w:r>
                </w:p>
              </w:tc>
            </w:tr>
            <w:tr w14:paraId="375CD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548" w:type="dxa"/>
                  <w:vAlign w:val="center"/>
                </w:tcPr>
                <w:p w14:paraId="6387F82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eastAsia="宋体"/>
                      <w:color w:val="auto"/>
                      <w:highlight w:val="none"/>
                      <w:lang w:eastAsia="zh-CN"/>
                    </w:rPr>
                  </w:pPr>
                  <w:r>
                    <w:rPr>
                      <w:rFonts w:hint="eastAsia"/>
                      <w:bCs/>
                      <w:color w:val="auto"/>
                      <w:sz w:val="21"/>
                      <w:szCs w:val="21"/>
                      <w:highlight w:val="none"/>
                      <w:lang w:val="en-US" w:eastAsia="zh-CN"/>
                    </w:rPr>
                    <w:t>国务院关于印发《空气质量持续改善行动计划》的通知（国发〔2023〕24号</w:t>
                  </w:r>
                  <w:r>
                    <w:rPr>
                      <w:rFonts w:hint="eastAsia"/>
                      <w:highlight w:val="none"/>
                      <w:lang w:eastAsia="zh-CN"/>
                    </w:rPr>
                    <w:t>）</w:t>
                  </w:r>
                </w:p>
              </w:tc>
              <w:tc>
                <w:tcPr>
                  <w:tcW w:w="2734" w:type="dxa"/>
                  <w:vAlign w:val="center"/>
                </w:tcPr>
                <w:p w14:paraId="23EF6F66">
                  <w:pPr>
                    <w:widowControl/>
                    <w:spacing w:line="240" w:lineRule="auto"/>
                    <w:ind w:firstLine="0" w:firstLineChars="0"/>
                    <w:jc w:val="left"/>
                    <w:rPr>
                      <w:rFonts w:hint="eastAsia"/>
                      <w:bCs/>
                      <w:color w:val="auto"/>
                      <w:sz w:val="21"/>
                      <w:szCs w:val="21"/>
                      <w:highlight w:val="none"/>
                    </w:rPr>
                  </w:pPr>
                  <w:r>
                    <w:rPr>
                      <w:rFonts w:hint="eastAsia"/>
                      <w:bCs/>
                      <w:color w:val="auto"/>
                      <w:sz w:val="21"/>
                      <w:szCs w:val="21"/>
                      <w:highlight w:val="none"/>
                      <w:lang w:val="en-US" w:eastAsia="zh-CN"/>
                    </w:rPr>
                    <w:t>坚决遏制高耗能、高排放、低水平项目盲目上马。新改扩建项目严格</w:t>
                  </w:r>
                  <w:r>
                    <w:rPr>
                      <w:rFonts w:hint="default"/>
                      <w:bCs/>
                      <w:color w:val="auto"/>
                      <w:sz w:val="21"/>
                      <w:szCs w:val="21"/>
                      <w:highlight w:val="none"/>
                      <w:lang w:val="en-US" w:eastAsia="zh-CN"/>
                    </w:rPr>
                    <w:t>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r>
                    <w:rPr>
                      <w:rFonts w:hint="default" w:ascii="CIDFont" w:hAnsi="CIDFont" w:eastAsia="CIDFont" w:cs="CIDFont"/>
                      <w:color w:val="auto"/>
                      <w:kern w:val="0"/>
                      <w:sz w:val="24"/>
                      <w:szCs w:val="24"/>
                      <w:highlight w:val="none"/>
                      <w:lang w:val="en-US" w:eastAsia="zh-CN" w:bidi="ar"/>
                    </w:rPr>
                    <w:t>。</w:t>
                  </w:r>
                </w:p>
              </w:tc>
              <w:tc>
                <w:tcPr>
                  <w:tcW w:w="2200" w:type="dxa"/>
                  <w:vAlign w:val="center"/>
                </w:tcPr>
                <w:p w14:paraId="13595454">
                  <w:pPr>
                    <w:pStyle w:val="55"/>
                    <w:rPr>
                      <w:rFonts w:hint="default" w:eastAsia="宋体"/>
                      <w:color w:val="auto"/>
                      <w:highlight w:val="none"/>
                      <w:lang w:val="en-US" w:eastAsia="zh-CN"/>
                    </w:rPr>
                  </w:pPr>
                  <w:r>
                    <w:rPr>
                      <w:rFonts w:hint="eastAsia"/>
                      <w:color w:val="auto"/>
                      <w:highlight w:val="none"/>
                    </w:rPr>
                    <w:t>本项目属于生态保护和环境治理业</w:t>
                  </w:r>
                  <w:r>
                    <w:rPr>
                      <w:rFonts w:hint="eastAsia"/>
                      <w:color w:val="auto"/>
                      <w:highlight w:val="none"/>
                      <w:lang w:val="en-US" w:eastAsia="zh-CN"/>
                    </w:rPr>
                    <w:t>，不属于</w:t>
                  </w:r>
                  <w:r>
                    <w:rPr>
                      <w:rFonts w:hint="eastAsia"/>
                      <w:bCs/>
                      <w:color w:val="auto"/>
                      <w:sz w:val="21"/>
                      <w:szCs w:val="21"/>
                      <w:highlight w:val="none"/>
                      <w:lang w:val="en-US" w:eastAsia="zh-CN"/>
                    </w:rPr>
                    <w:t>高耗能、高排放、低水平项目，且</w:t>
                  </w:r>
                  <w:r>
                    <w:rPr>
                      <w:rFonts w:hint="eastAsia" w:ascii="Times New Roman" w:hAnsi="Times New Roman" w:eastAsia="宋体" w:cs="Times New Roman"/>
                      <w:color w:val="auto"/>
                      <w:highlight w:val="none"/>
                      <w:lang w:val="en-US" w:eastAsia="zh-CN"/>
                    </w:rPr>
                    <w:t>符合园区规划布局、产业定位，并按要求开展环境影响评价，严格执行建设项目“三同时”环境管理制度，严格执行环境影响评价报告提出的各项环保措施，完善环境管理制度、环境风险防控体系、污染防治制度和环境监控体系，并及时编制应急预案，落实事故风险防范措施</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有效防止污染事故的发生。</w:t>
                  </w:r>
                </w:p>
              </w:tc>
              <w:tc>
                <w:tcPr>
                  <w:tcW w:w="650" w:type="dxa"/>
                  <w:vAlign w:val="center"/>
                </w:tcPr>
                <w:p w14:paraId="62C2649D">
                  <w:pPr>
                    <w:pStyle w:val="55"/>
                    <w:rPr>
                      <w:rFonts w:hint="eastAsia" w:eastAsia="宋体"/>
                      <w:color w:val="auto"/>
                      <w:highlight w:val="none"/>
                      <w:lang w:val="en-US" w:eastAsia="zh-CN"/>
                    </w:rPr>
                  </w:pPr>
                  <w:r>
                    <w:rPr>
                      <w:rFonts w:hint="eastAsia"/>
                      <w:color w:val="auto"/>
                      <w:highlight w:val="none"/>
                      <w:lang w:val="en-US" w:eastAsia="zh-CN"/>
                    </w:rPr>
                    <w:t>符合</w:t>
                  </w:r>
                </w:p>
              </w:tc>
            </w:tr>
            <w:tr w14:paraId="5AD52C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548" w:type="dxa"/>
                  <w:vAlign w:val="center"/>
                </w:tcPr>
                <w:p w14:paraId="5DFBCF3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hint="eastAsia"/>
                      <w:bCs/>
                      <w:color w:val="auto"/>
                      <w:sz w:val="21"/>
                      <w:szCs w:val="21"/>
                      <w:highlight w:val="none"/>
                      <w:lang w:val="en-US" w:eastAsia="zh-CN"/>
                    </w:rPr>
                  </w:pPr>
                  <w:r>
                    <w:rPr>
                      <w:rFonts w:hint="eastAsia"/>
                      <w:bCs/>
                      <w:color w:val="auto"/>
                      <w:sz w:val="21"/>
                      <w:szCs w:val="21"/>
                      <w:highlight w:val="none"/>
                      <w:lang w:val="en-US" w:eastAsia="zh-CN"/>
                    </w:rPr>
                    <w:t>《粉煤灰综合利用管理办法》（2013年3月1日起施行）</w:t>
                  </w:r>
                </w:p>
              </w:tc>
              <w:tc>
                <w:tcPr>
                  <w:tcW w:w="2734" w:type="dxa"/>
                  <w:vAlign w:val="center"/>
                </w:tcPr>
                <w:p w14:paraId="44B61D8E">
                  <w:pPr>
                    <w:widowControl/>
                    <w:spacing w:line="240" w:lineRule="auto"/>
                    <w:ind w:firstLine="0" w:firstLineChars="0"/>
                    <w:jc w:val="left"/>
                    <w:rPr>
                      <w:rFonts w:hint="eastAsia"/>
                      <w:bCs/>
                      <w:color w:val="auto"/>
                      <w:sz w:val="21"/>
                      <w:szCs w:val="21"/>
                      <w:highlight w:val="none"/>
                      <w:lang w:val="en-US" w:eastAsia="zh-CN"/>
                    </w:rPr>
                  </w:pPr>
                  <w:r>
                    <w:rPr>
                      <w:rFonts w:hint="eastAsia"/>
                      <w:bCs/>
                      <w:color w:val="auto"/>
                      <w:sz w:val="21"/>
                      <w:szCs w:val="21"/>
                      <w:highlight w:val="none"/>
                      <w:lang w:val="en-US" w:eastAsia="zh-CN"/>
                    </w:rPr>
                    <w:t>中华人民共和国境内粉煤灰的产生、储运、综合利用等活动，适用本办法。</w:t>
                  </w:r>
                </w:p>
              </w:tc>
              <w:tc>
                <w:tcPr>
                  <w:tcW w:w="2200" w:type="dxa"/>
                  <w:vAlign w:val="center"/>
                </w:tcPr>
                <w:p w14:paraId="7CA1814D">
                  <w:pPr>
                    <w:pStyle w:val="55"/>
                    <w:rPr>
                      <w:rFonts w:hint="eastAsia"/>
                      <w:color w:val="auto"/>
                      <w:highlight w:val="none"/>
                    </w:rPr>
                  </w:pPr>
                  <w:r>
                    <w:rPr>
                      <w:rFonts w:hint="eastAsia"/>
                      <w:color w:val="auto"/>
                      <w:highlight w:val="none"/>
                    </w:rPr>
                    <w:t>本项目属于生态保护和环境治理业，以</w:t>
                  </w:r>
                  <w:r>
                    <w:rPr>
                      <w:rFonts w:hint="eastAsia"/>
                      <w:color w:val="auto"/>
                      <w:highlight w:val="none"/>
                      <w:lang w:val="en-US" w:eastAsia="zh-CN"/>
                    </w:rPr>
                    <w:t>炉渣</w:t>
                  </w:r>
                  <w:r>
                    <w:rPr>
                      <w:rFonts w:hint="eastAsia"/>
                      <w:color w:val="auto"/>
                      <w:highlight w:val="none"/>
                    </w:rPr>
                    <w:t>为原料，生产</w:t>
                  </w:r>
                  <w:r>
                    <w:rPr>
                      <w:rFonts w:hint="eastAsia"/>
                      <w:color w:val="auto"/>
                      <w:highlight w:val="none"/>
                      <w:lang w:val="en-US" w:eastAsia="zh-CN"/>
                    </w:rPr>
                    <w:t>粉煤灰</w:t>
                  </w:r>
                  <w:r>
                    <w:rPr>
                      <w:rFonts w:hint="eastAsia"/>
                      <w:color w:val="auto"/>
                      <w:highlight w:val="none"/>
                    </w:rPr>
                    <w:t>。</w:t>
                  </w:r>
                </w:p>
              </w:tc>
              <w:tc>
                <w:tcPr>
                  <w:tcW w:w="650" w:type="dxa"/>
                  <w:vAlign w:val="center"/>
                </w:tcPr>
                <w:p w14:paraId="61BC5437">
                  <w:pPr>
                    <w:pStyle w:val="55"/>
                    <w:rPr>
                      <w:rFonts w:hint="eastAsia"/>
                      <w:color w:val="auto"/>
                      <w:highlight w:val="none"/>
                      <w:lang w:val="en-US" w:eastAsia="zh-CN"/>
                    </w:rPr>
                  </w:pPr>
                  <w:r>
                    <w:rPr>
                      <w:rFonts w:hint="eastAsia"/>
                      <w:color w:val="auto"/>
                      <w:highlight w:val="none"/>
                      <w:lang w:val="en-US" w:eastAsia="zh-CN"/>
                    </w:rPr>
                    <w:t>符合</w:t>
                  </w:r>
                </w:p>
              </w:tc>
            </w:tr>
            <w:tr w14:paraId="0D2436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548" w:type="dxa"/>
                  <w:vAlign w:val="center"/>
                </w:tcPr>
                <w:p w14:paraId="7F6B0FE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bCs/>
                      <w:color w:val="auto"/>
                      <w:sz w:val="21"/>
                      <w:szCs w:val="21"/>
                      <w:highlight w:val="none"/>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环境空气细颗粒物污染综合防治技术政策</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（2013-09-25实施）</w:t>
                  </w:r>
                </w:p>
              </w:tc>
              <w:tc>
                <w:tcPr>
                  <w:tcW w:w="2734" w:type="dxa"/>
                  <w:vAlign w:val="center"/>
                </w:tcPr>
                <w:p w14:paraId="20AF6511">
                  <w:pPr>
                    <w:widowControl/>
                    <w:spacing w:line="240" w:lineRule="auto"/>
                    <w:ind w:firstLine="0" w:firstLineChars="0"/>
                    <w:jc w:val="left"/>
                    <w:rPr>
                      <w:rFonts w:hint="eastAsia"/>
                      <w:bCs/>
                      <w:color w:val="auto"/>
                      <w:sz w:val="21"/>
                      <w:szCs w:val="21"/>
                      <w:highlight w:val="none"/>
                      <w:lang w:val="en-US" w:eastAsia="zh-CN"/>
                    </w:rPr>
                  </w:pPr>
                  <w:r>
                    <w:rPr>
                      <w:rFonts w:hint="eastAsia"/>
                      <w:bCs/>
                      <w:color w:val="auto"/>
                      <w:sz w:val="21"/>
                      <w:szCs w:val="21"/>
                      <w:highlight w:val="none"/>
                      <w:lang w:val="en-US" w:eastAsia="zh-CN"/>
                    </w:rPr>
                    <w:t>（二十三）对各种施工工地、各种粉状物料贮存场、各种港口装卸码头等，应采取设置围挡墙、防尘网和喷洒抑尘剂等有效的防尘、抑尘措施，防止颗粒物逸散；设置车辆清洗装置，保持上路行驶车辆的清洁；鼓励各类土建工程使用预搅拌的商品混凝土。</w:t>
                  </w:r>
                </w:p>
              </w:tc>
              <w:tc>
                <w:tcPr>
                  <w:tcW w:w="2200" w:type="dxa"/>
                  <w:vAlign w:val="center"/>
                </w:tcPr>
                <w:p w14:paraId="1A6372D7">
                  <w:pPr>
                    <w:pStyle w:val="55"/>
                    <w:rPr>
                      <w:rFonts w:hint="eastAsia"/>
                      <w:color w:val="auto"/>
                      <w:highlight w:val="none"/>
                    </w:rPr>
                  </w:pPr>
                  <w:r>
                    <w:rPr>
                      <w:rFonts w:hint="eastAsia"/>
                      <w:color w:val="auto"/>
                      <w:highlight w:val="none"/>
                      <w:lang w:val="en-US" w:eastAsia="zh-CN"/>
                    </w:rPr>
                    <w:t>本项目</w:t>
                  </w:r>
                  <w:r>
                    <w:rPr>
                      <w:rFonts w:hint="eastAsia"/>
                      <w:color w:val="auto"/>
                      <w:highlight w:val="none"/>
                    </w:rPr>
                    <w:t>粉状原料均贮存在封闭料仓内，炉渣储存满足一般工业固废贮存标准，生产过程产生的粉尘经收集后通过布袋除尘器除尘后由1根</w:t>
                  </w:r>
                  <w:r>
                    <w:rPr>
                      <w:rFonts w:hint="eastAsia"/>
                      <w:color w:val="auto"/>
                      <w:highlight w:val="none"/>
                      <w:lang w:eastAsia="zh-CN"/>
                    </w:rPr>
                    <w:t>22m</w:t>
                  </w:r>
                  <w:r>
                    <w:rPr>
                      <w:rFonts w:hint="eastAsia"/>
                      <w:color w:val="auto"/>
                      <w:highlight w:val="none"/>
                    </w:rPr>
                    <w:t>高排气筒排放，物料通过密闭传送带输送，生产线在密闭厂房内进行，厂房内定期洒水降尘、清扫。物料运输过程加强车辆清洗、控制车速、厂区路面定期洒水降尘。</w:t>
                  </w:r>
                </w:p>
              </w:tc>
              <w:tc>
                <w:tcPr>
                  <w:tcW w:w="650" w:type="dxa"/>
                  <w:vAlign w:val="center"/>
                </w:tcPr>
                <w:p w14:paraId="5BCF3AE9">
                  <w:pPr>
                    <w:pStyle w:val="55"/>
                    <w:rPr>
                      <w:rFonts w:hint="eastAsia"/>
                      <w:color w:val="auto"/>
                      <w:highlight w:val="none"/>
                      <w:lang w:val="en-US" w:eastAsia="zh-CN"/>
                    </w:rPr>
                  </w:pPr>
                  <w:r>
                    <w:rPr>
                      <w:rFonts w:hint="eastAsia"/>
                      <w:color w:val="auto"/>
                      <w:highlight w:val="none"/>
                      <w:lang w:val="en-US" w:eastAsia="zh-CN"/>
                    </w:rPr>
                    <w:t>符合</w:t>
                  </w:r>
                </w:p>
              </w:tc>
            </w:tr>
          </w:tbl>
          <w:p w14:paraId="7BD073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lang w:val="en-US"/>
              </w:rPr>
            </w:pPr>
            <w:r>
              <w:rPr>
                <w:rFonts w:hint="eastAsia"/>
                <w:b/>
                <w:bCs/>
                <w:color w:val="auto"/>
                <w:kern w:val="0"/>
                <w:sz w:val="21"/>
                <w:szCs w:val="21"/>
                <w:highlight w:val="none"/>
                <w:lang w:val="en-US"/>
              </w:rPr>
              <w:t>表1-7  《固体废物再生利用污染防治技术导则》（HJ1091-2020）符合性分析表</w:t>
            </w:r>
          </w:p>
          <w:tbl>
            <w:tblPr>
              <w:tblStyle w:val="30"/>
              <w:tblpPr w:leftFromText="180" w:rightFromText="180" w:vertAnchor="text" w:horzAnchor="page" w:tblpX="105" w:tblpY="27"/>
              <w:tblOverlap w:val="never"/>
              <w:tblW w:w="709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33"/>
              <w:gridCol w:w="2334"/>
              <w:gridCol w:w="566"/>
            </w:tblGrid>
            <w:tr w14:paraId="25975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66" w:type="dxa"/>
                  <w:tcBorders>
                    <w:tl2br w:val="nil"/>
                    <w:tr2bl w:val="nil"/>
                  </w:tcBorders>
                  <w:vAlign w:val="center"/>
                </w:tcPr>
                <w:p w14:paraId="6AE49DAA">
                  <w:pPr>
                    <w:pStyle w:val="68"/>
                    <w:rPr>
                      <w:rFonts w:cs="Times New Roman"/>
                      <w:color w:val="auto"/>
                      <w:highlight w:val="none"/>
                      <w:lang w:eastAsia="zh-CN"/>
                    </w:rPr>
                  </w:pPr>
                  <w:r>
                    <w:rPr>
                      <w:rFonts w:hint="eastAsia" w:cs="Times New Roman"/>
                      <w:color w:val="auto"/>
                      <w:highlight w:val="none"/>
                      <w:lang w:eastAsia="zh-CN"/>
                    </w:rPr>
                    <w:t>项目</w:t>
                  </w:r>
                </w:p>
              </w:tc>
              <w:tc>
                <w:tcPr>
                  <w:tcW w:w="3433" w:type="dxa"/>
                  <w:tcBorders>
                    <w:tl2br w:val="nil"/>
                    <w:tr2bl w:val="nil"/>
                  </w:tcBorders>
                  <w:vAlign w:val="center"/>
                </w:tcPr>
                <w:p w14:paraId="6224D4D8">
                  <w:pPr>
                    <w:pStyle w:val="68"/>
                    <w:rPr>
                      <w:rFonts w:cs="Times New Roman"/>
                      <w:color w:val="auto"/>
                      <w:highlight w:val="none"/>
                    </w:rPr>
                  </w:pPr>
                  <w:r>
                    <w:rPr>
                      <w:rFonts w:cs="Times New Roman"/>
                      <w:color w:val="auto"/>
                      <w:highlight w:val="none"/>
                    </w:rPr>
                    <w:t>内容</w:t>
                  </w:r>
                </w:p>
              </w:tc>
              <w:tc>
                <w:tcPr>
                  <w:tcW w:w="2334" w:type="dxa"/>
                  <w:tcBorders>
                    <w:tl2br w:val="nil"/>
                    <w:tr2bl w:val="nil"/>
                  </w:tcBorders>
                  <w:vAlign w:val="center"/>
                </w:tcPr>
                <w:p w14:paraId="659A3C40">
                  <w:pPr>
                    <w:pStyle w:val="68"/>
                    <w:rPr>
                      <w:rFonts w:cs="Times New Roman"/>
                      <w:color w:val="auto"/>
                      <w:highlight w:val="none"/>
                    </w:rPr>
                  </w:pPr>
                  <w:r>
                    <w:rPr>
                      <w:rFonts w:cs="Times New Roman"/>
                      <w:color w:val="auto"/>
                      <w:highlight w:val="none"/>
                    </w:rPr>
                    <w:t>本项目实际情况</w:t>
                  </w:r>
                </w:p>
              </w:tc>
              <w:tc>
                <w:tcPr>
                  <w:tcW w:w="566" w:type="dxa"/>
                  <w:tcBorders>
                    <w:tl2br w:val="nil"/>
                    <w:tr2bl w:val="nil"/>
                  </w:tcBorders>
                  <w:vAlign w:val="center"/>
                </w:tcPr>
                <w:p w14:paraId="51137EC6">
                  <w:pPr>
                    <w:pStyle w:val="68"/>
                    <w:rPr>
                      <w:rFonts w:cs="Times New Roman"/>
                      <w:color w:val="auto"/>
                      <w:highlight w:val="none"/>
                    </w:rPr>
                  </w:pPr>
                  <w:r>
                    <w:rPr>
                      <w:rFonts w:cs="Times New Roman"/>
                      <w:color w:val="auto"/>
                      <w:highlight w:val="none"/>
                    </w:rPr>
                    <w:t>相符性</w:t>
                  </w:r>
                </w:p>
              </w:tc>
            </w:tr>
            <w:tr w14:paraId="03719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766" w:type="dxa"/>
                  <w:vMerge w:val="restart"/>
                  <w:tcBorders>
                    <w:tl2br w:val="nil"/>
                    <w:tr2bl w:val="nil"/>
                  </w:tcBorders>
                  <w:vAlign w:val="center"/>
                </w:tcPr>
                <w:p w14:paraId="6C6C3D24">
                  <w:pPr>
                    <w:pStyle w:val="68"/>
                    <w:rPr>
                      <w:rFonts w:cs="Times New Roman"/>
                      <w:color w:val="auto"/>
                      <w:highlight w:val="none"/>
                      <w:lang w:eastAsia="zh-CN"/>
                    </w:rPr>
                  </w:pPr>
                  <w:r>
                    <w:rPr>
                      <w:rFonts w:hint="eastAsia" w:cs="Times New Roman"/>
                      <w:color w:val="auto"/>
                      <w:highlight w:val="none"/>
                      <w:lang w:eastAsia="zh-CN"/>
                    </w:rPr>
                    <w:t>总体要求</w:t>
                  </w:r>
                </w:p>
              </w:tc>
              <w:tc>
                <w:tcPr>
                  <w:tcW w:w="3433" w:type="dxa"/>
                  <w:tcBorders>
                    <w:tl2br w:val="nil"/>
                    <w:tr2bl w:val="nil"/>
                  </w:tcBorders>
                  <w:vAlign w:val="center"/>
                </w:tcPr>
                <w:p w14:paraId="1D16A390">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固体废物再生利用应遵循环境安全优先的原则，保证固体废物再生利用全过程的环境安全与人体健康。</w:t>
                  </w:r>
                </w:p>
              </w:tc>
              <w:tc>
                <w:tcPr>
                  <w:tcW w:w="2334" w:type="dxa"/>
                  <w:tcBorders>
                    <w:tl2br w:val="nil"/>
                    <w:tr2bl w:val="nil"/>
                  </w:tcBorders>
                  <w:vAlign w:val="center"/>
                </w:tcPr>
                <w:p w14:paraId="09EF457E">
                  <w:pPr>
                    <w:pStyle w:val="69"/>
                    <w:jc w:val="both"/>
                    <w:rPr>
                      <w:color w:val="auto"/>
                      <w:highlight w:val="none"/>
                    </w:rPr>
                  </w:pPr>
                  <w:r>
                    <w:rPr>
                      <w:rFonts w:hint="eastAsia" w:cs="Times New Roman"/>
                      <w:bCs/>
                      <w:color w:val="auto"/>
                      <w:highlight w:val="none"/>
                    </w:rPr>
                    <w:t>本项目以</w:t>
                  </w:r>
                  <w:r>
                    <w:rPr>
                      <w:rFonts w:hint="eastAsia"/>
                      <w:color w:val="auto"/>
                      <w:highlight w:val="none"/>
                      <w:lang w:val="en-US" w:eastAsia="zh-CN"/>
                    </w:rPr>
                    <w:t>炉渣</w:t>
                  </w:r>
                  <w:r>
                    <w:rPr>
                      <w:rFonts w:hint="eastAsia"/>
                      <w:color w:val="auto"/>
                      <w:highlight w:val="none"/>
                    </w:rPr>
                    <w:t>为原料，严格落实环评提出的各项环保措施后不会对环境安全及人体健康有明显影响。</w:t>
                  </w:r>
                </w:p>
              </w:tc>
              <w:tc>
                <w:tcPr>
                  <w:tcW w:w="566" w:type="dxa"/>
                  <w:tcBorders>
                    <w:tl2br w:val="nil"/>
                    <w:tr2bl w:val="nil"/>
                  </w:tcBorders>
                  <w:vAlign w:val="center"/>
                </w:tcPr>
                <w:p w14:paraId="174F2FD1">
                  <w:pPr>
                    <w:pStyle w:val="68"/>
                    <w:rPr>
                      <w:rFonts w:cs="Times New Roman"/>
                      <w:color w:val="auto"/>
                      <w:highlight w:val="none"/>
                    </w:rPr>
                  </w:pPr>
                  <w:r>
                    <w:rPr>
                      <w:rFonts w:cs="Times New Roman"/>
                      <w:color w:val="auto"/>
                      <w:highlight w:val="none"/>
                    </w:rPr>
                    <w:t>符合</w:t>
                  </w:r>
                </w:p>
              </w:tc>
            </w:tr>
            <w:tr w14:paraId="2D6F2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766" w:type="dxa"/>
                  <w:vMerge w:val="continue"/>
                  <w:tcBorders>
                    <w:tl2br w:val="nil"/>
                    <w:tr2bl w:val="nil"/>
                  </w:tcBorders>
                  <w:vAlign w:val="center"/>
                </w:tcPr>
                <w:p w14:paraId="5DC38C87">
                  <w:pPr>
                    <w:pStyle w:val="69"/>
                    <w:spacing w:line="240" w:lineRule="auto"/>
                    <w:rPr>
                      <w:color w:val="auto"/>
                      <w:highlight w:val="none"/>
                    </w:rPr>
                  </w:pPr>
                </w:p>
              </w:tc>
              <w:tc>
                <w:tcPr>
                  <w:tcW w:w="3433" w:type="dxa"/>
                  <w:tcBorders>
                    <w:tl2br w:val="nil"/>
                    <w:tr2bl w:val="nil"/>
                  </w:tcBorders>
                  <w:vAlign w:val="center"/>
                </w:tcPr>
                <w:p w14:paraId="27E67CEC">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进行固体废物再生利用技术选择时，应在固体废物再生利用技术生命周期评价结果的基础上，结合相关法规及行业的产业政策要求。</w:t>
                  </w:r>
                </w:p>
              </w:tc>
              <w:tc>
                <w:tcPr>
                  <w:tcW w:w="2334" w:type="dxa"/>
                  <w:tcBorders>
                    <w:tl2br w:val="nil"/>
                    <w:tr2bl w:val="nil"/>
                  </w:tcBorders>
                  <w:vAlign w:val="center"/>
                </w:tcPr>
                <w:p w14:paraId="66D56D3B">
                  <w:pPr>
                    <w:pStyle w:val="69"/>
                    <w:rPr>
                      <w:color w:val="auto"/>
                      <w:highlight w:val="none"/>
                    </w:rPr>
                  </w:pPr>
                  <w:r>
                    <w:rPr>
                      <w:rFonts w:hint="eastAsia"/>
                      <w:color w:val="auto"/>
                      <w:highlight w:val="none"/>
                    </w:rPr>
                    <w:t>本项目为“生态保护和环境治理业”属于《产业结构调整指导目录（2024年）》“第一类鼓励类四十二、环境保护与资源节约综合利用10.工业“三废”循环利用”，因此本项目建设符合现行国家产业政策。</w:t>
                  </w:r>
                </w:p>
              </w:tc>
              <w:tc>
                <w:tcPr>
                  <w:tcW w:w="566" w:type="dxa"/>
                  <w:tcBorders>
                    <w:tl2br w:val="nil"/>
                    <w:tr2bl w:val="nil"/>
                  </w:tcBorders>
                  <w:vAlign w:val="center"/>
                </w:tcPr>
                <w:p w14:paraId="4934DFEC">
                  <w:pPr>
                    <w:pStyle w:val="69"/>
                    <w:rPr>
                      <w:color w:val="auto"/>
                      <w:highlight w:val="none"/>
                    </w:rPr>
                  </w:pPr>
                  <w:r>
                    <w:rPr>
                      <w:rFonts w:cs="Times New Roman"/>
                      <w:color w:val="auto"/>
                      <w:highlight w:val="none"/>
                    </w:rPr>
                    <w:t>符合</w:t>
                  </w:r>
                </w:p>
              </w:tc>
            </w:tr>
            <w:tr w14:paraId="42B9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766" w:type="dxa"/>
                  <w:vMerge w:val="continue"/>
                  <w:tcBorders>
                    <w:tl2br w:val="nil"/>
                    <w:tr2bl w:val="nil"/>
                  </w:tcBorders>
                  <w:vAlign w:val="center"/>
                </w:tcPr>
                <w:p w14:paraId="0CFE97E3">
                  <w:pPr>
                    <w:pStyle w:val="69"/>
                    <w:spacing w:line="240" w:lineRule="auto"/>
                    <w:rPr>
                      <w:color w:val="auto"/>
                      <w:highlight w:val="none"/>
                    </w:rPr>
                  </w:pPr>
                </w:p>
              </w:tc>
              <w:tc>
                <w:tcPr>
                  <w:tcW w:w="3433" w:type="dxa"/>
                  <w:tcBorders>
                    <w:tl2br w:val="nil"/>
                    <w:tr2bl w:val="nil"/>
                  </w:tcBorders>
                  <w:vAlign w:val="center"/>
                </w:tcPr>
                <w:p w14:paraId="09752B35">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固体废物再生利用过程产生的各种污染物的排放应满足国家和地方的污染物排放（控制）标准与排污许可要求。</w:t>
                  </w:r>
                </w:p>
              </w:tc>
              <w:tc>
                <w:tcPr>
                  <w:tcW w:w="2334" w:type="dxa"/>
                  <w:tcBorders>
                    <w:tl2br w:val="nil"/>
                    <w:tr2bl w:val="nil"/>
                  </w:tcBorders>
                  <w:vAlign w:val="center"/>
                </w:tcPr>
                <w:p w14:paraId="2AD803FC">
                  <w:pPr>
                    <w:pStyle w:val="69"/>
                    <w:rPr>
                      <w:color w:val="auto"/>
                      <w:highlight w:val="none"/>
                    </w:rPr>
                  </w:pPr>
                  <w:r>
                    <w:rPr>
                      <w:color w:val="auto"/>
                      <w:highlight w:val="none"/>
                    </w:rPr>
                    <w:t>本项目</w:t>
                  </w:r>
                  <w:r>
                    <w:rPr>
                      <w:rFonts w:hint="eastAsia"/>
                      <w:color w:val="auto"/>
                      <w:highlight w:val="none"/>
                    </w:rPr>
                    <w:t>产生</w:t>
                  </w:r>
                  <w:r>
                    <w:rPr>
                      <w:color w:val="auto"/>
                      <w:highlight w:val="none"/>
                    </w:rPr>
                    <w:t>各项污染</w:t>
                  </w:r>
                  <w:r>
                    <w:rPr>
                      <w:rFonts w:hint="eastAsia"/>
                      <w:color w:val="auto"/>
                      <w:highlight w:val="none"/>
                    </w:rPr>
                    <w:t>物</w:t>
                  </w:r>
                  <w:r>
                    <w:rPr>
                      <w:color w:val="auto"/>
                      <w:highlight w:val="none"/>
                    </w:rPr>
                    <w:t>通过合理可行的治理措施处理后可稳定达标排放。</w:t>
                  </w:r>
                </w:p>
              </w:tc>
              <w:tc>
                <w:tcPr>
                  <w:tcW w:w="566" w:type="dxa"/>
                  <w:tcBorders>
                    <w:tl2br w:val="nil"/>
                    <w:tr2bl w:val="nil"/>
                  </w:tcBorders>
                  <w:vAlign w:val="center"/>
                </w:tcPr>
                <w:p w14:paraId="226FE2E0">
                  <w:pPr>
                    <w:pStyle w:val="69"/>
                    <w:rPr>
                      <w:color w:val="auto"/>
                      <w:highlight w:val="none"/>
                    </w:rPr>
                  </w:pPr>
                  <w:r>
                    <w:rPr>
                      <w:rFonts w:cs="Times New Roman"/>
                      <w:color w:val="auto"/>
                      <w:highlight w:val="none"/>
                    </w:rPr>
                    <w:t>符合</w:t>
                  </w:r>
                </w:p>
              </w:tc>
            </w:tr>
            <w:tr w14:paraId="024E3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6" w:type="dxa"/>
                  <w:vMerge w:val="restart"/>
                  <w:tcBorders>
                    <w:tl2br w:val="nil"/>
                    <w:tr2bl w:val="nil"/>
                  </w:tcBorders>
                  <w:vAlign w:val="center"/>
                </w:tcPr>
                <w:p w14:paraId="2FA55497">
                  <w:pPr>
                    <w:pStyle w:val="68"/>
                    <w:rPr>
                      <w:rFonts w:cs="Times New Roman"/>
                      <w:color w:val="auto"/>
                      <w:highlight w:val="none"/>
                      <w:lang w:eastAsia="zh-CN"/>
                    </w:rPr>
                  </w:pPr>
                  <w:r>
                    <w:rPr>
                      <w:rFonts w:hint="eastAsia" w:cs="Times New Roman"/>
                      <w:color w:val="auto"/>
                      <w:highlight w:val="none"/>
                      <w:lang w:eastAsia="zh-CN"/>
                    </w:rPr>
                    <w:t>一般规定</w:t>
                  </w:r>
                </w:p>
              </w:tc>
              <w:tc>
                <w:tcPr>
                  <w:tcW w:w="3433" w:type="dxa"/>
                  <w:tcBorders>
                    <w:tl2br w:val="nil"/>
                    <w:tr2bl w:val="nil"/>
                  </w:tcBorders>
                  <w:vAlign w:val="center"/>
                </w:tcPr>
                <w:p w14:paraId="49761D52">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进行再生利用作业前，应明确固体废物的理化特性，并采取相应的安全防护措施，防止固体废物在清洗、破碎、中和反应等过程中引起有毒有害物质的释放。</w:t>
                  </w:r>
                </w:p>
              </w:tc>
              <w:tc>
                <w:tcPr>
                  <w:tcW w:w="2334" w:type="dxa"/>
                  <w:vMerge w:val="restart"/>
                  <w:tcBorders>
                    <w:tl2br w:val="nil"/>
                    <w:tr2bl w:val="nil"/>
                  </w:tcBorders>
                  <w:vAlign w:val="center"/>
                </w:tcPr>
                <w:p w14:paraId="6ACA4781">
                  <w:pPr>
                    <w:pStyle w:val="68"/>
                    <w:rPr>
                      <w:rFonts w:cs="Times New Roman"/>
                      <w:color w:val="auto"/>
                      <w:highlight w:val="none"/>
                      <w:lang w:eastAsia="zh-CN"/>
                    </w:rPr>
                  </w:pPr>
                  <w:r>
                    <w:rPr>
                      <w:rFonts w:hint="eastAsia" w:cs="Times New Roman"/>
                      <w:bCs/>
                      <w:color w:val="auto"/>
                      <w:kern w:val="2"/>
                      <w:szCs w:val="21"/>
                      <w:highlight w:val="none"/>
                      <w:lang w:eastAsia="zh-CN"/>
                    </w:rPr>
                    <w:t>本</w:t>
                  </w:r>
                  <w:r>
                    <w:rPr>
                      <w:rFonts w:hint="eastAsia" w:ascii="宋体" w:hAnsi="宋体" w:cs="宋体"/>
                      <w:color w:val="auto"/>
                      <w:szCs w:val="21"/>
                      <w:highlight w:val="none"/>
                      <w:lang w:eastAsia="zh-CN" w:bidi="ar"/>
                    </w:rPr>
                    <w:t>项目以</w:t>
                  </w:r>
                  <w:r>
                    <w:rPr>
                      <w:rFonts w:hint="eastAsia" w:ascii="宋体" w:hAnsi="宋体" w:cs="宋体"/>
                      <w:color w:val="auto"/>
                      <w:szCs w:val="21"/>
                      <w:highlight w:val="none"/>
                      <w:lang w:val="en-US" w:eastAsia="zh-CN" w:bidi="ar"/>
                    </w:rPr>
                    <w:t>炉渣</w:t>
                  </w:r>
                  <w:r>
                    <w:rPr>
                      <w:rFonts w:hint="eastAsia" w:ascii="宋体" w:hAnsi="宋体" w:cs="宋体"/>
                      <w:color w:val="auto"/>
                      <w:szCs w:val="21"/>
                      <w:highlight w:val="none"/>
                      <w:lang w:eastAsia="zh-CN" w:bidi="ar"/>
                    </w:rPr>
                    <w:t>为原料，生产</w:t>
                  </w:r>
                  <w:r>
                    <w:rPr>
                      <w:rFonts w:hint="eastAsia" w:ascii="宋体" w:hAnsi="宋体" w:cs="宋体"/>
                      <w:color w:val="auto"/>
                      <w:szCs w:val="21"/>
                      <w:highlight w:val="none"/>
                      <w:lang w:val="en-US" w:eastAsia="zh-CN" w:bidi="ar"/>
                    </w:rPr>
                    <w:t>粉煤灰</w:t>
                  </w:r>
                  <w:r>
                    <w:rPr>
                      <w:rFonts w:hint="eastAsia" w:ascii="宋体" w:hAnsi="宋体" w:cs="宋体"/>
                      <w:color w:val="auto"/>
                      <w:szCs w:val="21"/>
                      <w:highlight w:val="none"/>
                      <w:lang w:eastAsia="zh-CN" w:bidi="ar"/>
                    </w:rPr>
                    <w:t>。粉状原料均贮存在</w:t>
                  </w:r>
                  <w:r>
                    <w:rPr>
                      <w:rFonts w:hint="eastAsia" w:ascii="宋体" w:hAnsi="宋体" w:cs="宋体"/>
                      <w:color w:val="auto"/>
                      <w:szCs w:val="21"/>
                      <w:highlight w:val="none"/>
                      <w:lang w:val="en-US" w:eastAsia="zh-CN" w:bidi="ar"/>
                    </w:rPr>
                    <w:t>环保库内</w:t>
                  </w:r>
                  <w:r>
                    <w:rPr>
                      <w:rFonts w:hint="eastAsia" w:ascii="宋体" w:hAnsi="宋体" w:cs="宋体"/>
                      <w:color w:val="auto"/>
                      <w:szCs w:val="21"/>
                      <w:highlight w:val="none"/>
                      <w:lang w:eastAsia="zh-CN" w:bidi="ar"/>
                    </w:rPr>
                    <w:t>，生产过程产生的粉尘经收集通过</w:t>
                  </w:r>
                  <w:r>
                    <w:rPr>
                      <w:rFonts w:hint="default" w:ascii="Times New Roman" w:hAnsi="Times New Roman" w:cs="Times New Roman"/>
                      <w:color w:val="auto"/>
                      <w:szCs w:val="21"/>
                      <w:highlight w:val="none"/>
                      <w:lang w:eastAsia="zh-CN" w:bidi="ar"/>
                    </w:rPr>
                    <w:t>布袋除尘器处理后由</w:t>
                  </w:r>
                  <w:r>
                    <w:rPr>
                      <w:rFonts w:hint="eastAsia" w:cs="Times New Roman"/>
                      <w:color w:val="auto"/>
                      <w:szCs w:val="21"/>
                      <w:highlight w:val="none"/>
                      <w:lang w:eastAsia="zh-CN" w:bidi="ar"/>
                    </w:rPr>
                    <w:t>22m</w:t>
                  </w:r>
                  <w:r>
                    <w:rPr>
                      <w:rFonts w:hint="default" w:ascii="Times New Roman" w:hAnsi="Times New Roman" w:cs="Times New Roman"/>
                      <w:color w:val="auto"/>
                      <w:szCs w:val="21"/>
                      <w:highlight w:val="none"/>
                      <w:lang w:eastAsia="zh-CN" w:bidi="ar"/>
                    </w:rPr>
                    <w:t>高排气筒排放，</w:t>
                  </w:r>
                  <w:r>
                    <w:rPr>
                      <w:rFonts w:hint="default" w:ascii="Times New Roman" w:hAnsi="Times New Roman" w:cs="Times New Roman"/>
                      <w:color w:val="auto"/>
                      <w:szCs w:val="21"/>
                      <w:highlight w:val="none"/>
                      <w:lang w:val="en-US" w:eastAsia="zh-CN" w:bidi="ar"/>
                    </w:rPr>
                    <w:t>物料通</w:t>
                  </w:r>
                  <w:r>
                    <w:rPr>
                      <w:rFonts w:hint="eastAsia" w:ascii="宋体" w:hAnsi="宋体" w:cs="宋体"/>
                      <w:color w:val="auto"/>
                      <w:szCs w:val="21"/>
                      <w:highlight w:val="none"/>
                      <w:lang w:val="en-US" w:eastAsia="zh-CN" w:bidi="ar"/>
                    </w:rPr>
                    <w:t>过密闭传送带输送</w:t>
                  </w:r>
                  <w:r>
                    <w:rPr>
                      <w:rFonts w:hint="eastAsia" w:ascii="宋体" w:hAnsi="宋体" w:cs="宋体"/>
                      <w:color w:val="auto"/>
                      <w:szCs w:val="21"/>
                      <w:highlight w:val="none"/>
                      <w:lang w:eastAsia="zh-CN" w:bidi="ar"/>
                    </w:rPr>
                    <w:t>，生产线在密闭厂房内进行，厂房内定期洒水降尘、</w:t>
                  </w:r>
                  <w:r>
                    <w:rPr>
                      <w:rFonts w:hint="eastAsia" w:ascii="宋体" w:hAnsi="宋体" w:eastAsia="宋体" w:cs="宋体"/>
                      <w:color w:val="auto"/>
                      <w:szCs w:val="21"/>
                      <w:highlight w:val="none"/>
                      <w:lang w:eastAsia="zh-CN" w:bidi="ar"/>
                    </w:rPr>
                    <w:t>清扫，</w:t>
                  </w:r>
                  <w:r>
                    <w:rPr>
                      <w:rFonts w:hint="default" w:ascii="宋体" w:hAnsi="宋体" w:eastAsia="宋体" w:cs="宋体"/>
                      <w:color w:val="auto"/>
                      <w:szCs w:val="21"/>
                      <w:highlight w:val="none"/>
                      <w:lang w:val="en-US" w:eastAsia="zh-CN" w:bidi="ar"/>
                    </w:rPr>
                    <w:t>运输</w:t>
                  </w:r>
                  <w:r>
                    <w:rPr>
                      <w:rFonts w:hint="eastAsia" w:ascii="宋体" w:hAnsi="宋体" w:eastAsia="宋体" w:cs="宋体"/>
                      <w:color w:val="auto"/>
                      <w:szCs w:val="21"/>
                      <w:highlight w:val="none"/>
                      <w:lang w:val="en-US" w:eastAsia="zh-CN" w:bidi="ar"/>
                    </w:rPr>
                    <w:t>道路</w:t>
                  </w:r>
                  <w:r>
                    <w:rPr>
                      <w:rFonts w:hint="default" w:ascii="宋体" w:hAnsi="宋体" w:eastAsia="宋体" w:cs="宋体"/>
                      <w:color w:val="auto"/>
                      <w:szCs w:val="21"/>
                      <w:highlight w:val="none"/>
                      <w:lang w:val="en-US" w:eastAsia="zh-CN" w:bidi="ar"/>
                    </w:rPr>
                    <w:t>洒水抑尘、篷布遮盖</w:t>
                  </w:r>
                  <w:r>
                    <w:rPr>
                      <w:rFonts w:hint="eastAsia" w:ascii="宋体" w:hAnsi="宋体" w:eastAsia="宋体" w:cs="宋体"/>
                      <w:color w:val="auto"/>
                      <w:szCs w:val="21"/>
                      <w:highlight w:val="none"/>
                      <w:lang w:val="en-US" w:eastAsia="zh-CN" w:bidi="ar"/>
                    </w:rPr>
                    <w:t>原料运输车辆</w:t>
                  </w:r>
                  <w:r>
                    <w:rPr>
                      <w:rFonts w:hint="default" w:ascii="宋体" w:hAnsi="宋体" w:eastAsia="宋体" w:cs="宋体"/>
                      <w:color w:val="auto"/>
                      <w:szCs w:val="21"/>
                      <w:highlight w:val="none"/>
                      <w:lang w:val="en-US" w:eastAsia="zh-CN" w:bidi="ar"/>
                    </w:rPr>
                    <w:t>、严禁超载、控制车速</w:t>
                  </w:r>
                  <w:r>
                    <w:rPr>
                      <w:rFonts w:hint="eastAsia" w:ascii="宋体" w:hAnsi="宋体" w:eastAsia="宋体" w:cs="宋体"/>
                      <w:color w:val="auto"/>
                      <w:szCs w:val="21"/>
                      <w:highlight w:val="none"/>
                      <w:lang w:eastAsia="zh-CN" w:bidi="ar"/>
                    </w:rPr>
                    <w:t>。</w:t>
                  </w:r>
                  <w:r>
                    <w:rPr>
                      <w:rFonts w:hint="eastAsia" w:ascii="宋体" w:hAnsi="宋体" w:cs="宋体"/>
                      <w:color w:val="auto"/>
                      <w:szCs w:val="21"/>
                      <w:highlight w:val="none"/>
                      <w:lang w:eastAsia="zh-CN" w:bidi="ar"/>
                    </w:rPr>
                    <w:t>严格落实环评提出的各项环保措施后可使各项污染物稳定达标排放。</w:t>
                  </w:r>
                </w:p>
              </w:tc>
              <w:tc>
                <w:tcPr>
                  <w:tcW w:w="566" w:type="dxa"/>
                  <w:vMerge w:val="restart"/>
                  <w:tcBorders>
                    <w:tl2br w:val="nil"/>
                    <w:tr2bl w:val="nil"/>
                  </w:tcBorders>
                  <w:vAlign w:val="center"/>
                </w:tcPr>
                <w:p w14:paraId="29FE34E9">
                  <w:pPr>
                    <w:pStyle w:val="68"/>
                    <w:rPr>
                      <w:rFonts w:cs="Times New Roman"/>
                      <w:color w:val="auto"/>
                      <w:highlight w:val="none"/>
                      <w:lang w:eastAsia="zh-CN"/>
                    </w:rPr>
                  </w:pPr>
                  <w:r>
                    <w:rPr>
                      <w:rFonts w:hint="eastAsia"/>
                      <w:color w:val="auto"/>
                      <w:highlight w:val="none"/>
                      <w:lang w:eastAsia="zh-CN"/>
                    </w:rPr>
                    <w:t>符合</w:t>
                  </w:r>
                </w:p>
              </w:tc>
            </w:tr>
            <w:tr w14:paraId="107B6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Merge w:val="continue"/>
                  <w:tcBorders>
                    <w:tl2br w:val="nil"/>
                    <w:tr2bl w:val="nil"/>
                  </w:tcBorders>
                  <w:vAlign w:val="center"/>
                </w:tcPr>
                <w:p w14:paraId="313538B2">
                  <w:pPr>
                    <w:pStyle w:val="69"/>
                    <w:spacing w:line="240" w:lineRule="auto"/>
                    <w:rPr>
                      <w:color w:val="auto"/>
                      <w:highlight w:val="none"/>
                    </w:rPr>
                  </w:pPr>
                </w:p>
              </w:tc>
              <w:tc>
                <w:tcPr>
                  <w:tcW w:w="3433" w:type="dxa"/>
                  <w:tcBorders>
                    <w:tl2br w:val="nil"/>
                    <w:tr2bl w:val="nil"/>
                  </w:tcBorders>
                  <w:vAlign w:val="center"/>
                </w:tcPr>
                <w:p w14:paraId="77CF62A3">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产生粉尘和有毒有害气体的作业区应采取除尘和有毒有害气体收集措施。扬尘点应设置吸尘罩和收尘设备，有毒有害气体逸散区应设置吸附（吸收）转化装置，保证作业区粉尘、有害气体浓度满足</w:t>
                  </w:r>
                  <w:r>
                    <w:rPr>
                      <w:rFonts w:ascii="Times" w:hAnsi="Times" w:eastAsia="Times" w:cs="Times"/>
                      <w:color w:val="auto"/>
                      <w:kern w:val="0"/>
                      <w:sz w:val="21"/>
                      <w:szCs w:val="21"/>
                      <w:highlight w:val="none"/>
                      <w:lang w:bidi="ar"/>
                    </w:rPr>
                    <w:t>GBZ 2.1</w:t>
                  </w:r>
                  <w:r>
                    <w:rPr>
                      <w:rFonts w:hint="eastAsia" w:ascii="宋体" w:hAnsi="宋体" w:cs="宋体"/>
                      <w:color w:val="auto"/>
                      <w:kern w:val="0"/>
                      <w:sz w:val="21"/>
                      <w:szCs w:val="21"/>
                      <w:highlight w:val="none"/>
                      <w:lang w:bidi="ar"/>
                    </w:rPr>
                    <w:t>的要求。</w:t>
                  </w:r>
                </w:p>
              </w:tc>
              <w:tc>
                <w:tcPr>
                  <w:tcW w:w="2334" w:type="dxa"/>
                  <w:vMerge w:val="continue"/>
                  <w:tcBorders>
                    <w:tl2br w:val="nil"/>
                    <w:tr2bl w:val="nil"/>
                  </w:tcBorders>
                  <w:vAlign w:val="center"/>
                </w:tcPr>
                <w:p w14:paraId="38B858DC">
                  <w:pPr>
                    <w:pStyle w:val="69"/>
                    <w:rPr>
                      <w:color w:val="auto"/>
                      <w:highlight w:val="none"/>
                    </w:rPr>
                  </w:pPr>
                </w:p>
              </w:tc>
              <w:tc>
                <w:tcPr>
                  <w:tcW w:w="566" w:type="dxa"/>
                  <w:vMerge w:val="continue"/>
                  <w:tcBorders>
                    <w:tl2br w:val="nil"/>
                    <w:tr2bl w:val="nil"/>
                  </w:tcBorders>
                  <w:vAlign w:val="center"/>
                </w:tcPr>
                <w:p w14:paraId="2CDDA3F1">
                  <w:pPr>
                    <w:pStyle w:val="69"/>
                    <w:rPr>
                      <w:color w:val="auto"/>
                      <w:highlight w:val="none"/>
                    </w:rPr>
                  </w:pPr>
                </w:p>
              </w:tc>
            </w:tr>
            <w:tr w14:paraId="62D1B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66" w:type="dxa"/>
                  <w:vMerge w:val="continue"/>
                  <w:tcBorders>
                    <w:tl2br w:val="nil"/>
                    <w:tr2bl w:val="nil"/>
                  </w:tcBorders>
                  <w:vAlign w:val="center"/>
                </w:tcPr>
                <w:p w14:paraId="39C284B4">
                  <w:pPr>
                    <w:pStyle w:val="69"/>
                    <w:spacing w:line="240" w:lineRule="auto"/>
                    <w:rPr>
                      <w:color w:val="auto"/>
                      <w:highlight w:val="none"/>
                    </w:rPr>
                  </w:pPr>
                </w:p>
              </w:tc>
              <w:tc>
                <w:tcPr>
                  <w:tcW w:w="3433" w:type="dxa"/>
                  <w:tcBorders>
                    <w:tl2br w:val="nil"/>
                    <w:tr2bl w:val="nil"/>
                  </w:tcBorders>
                  <w:vAlign w:val="center"/>
                </w:tcPr>
                <w:p w14:paraId="3DB4065E">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应采取大气污染控制措施，大气污染物排放应满足特定行业排放（控制）标准的要求。没有特定行业污染排放（控制）标准的，应满足</w:t>
                  </w:r>
                  <w:r>
                    <w:rPr>
                      <w:color w:val="auto"/>
                      <w:kern w:val="0"/>
                      <w:sz w:val="21"/>
                      <w:szCs w:val="21"/>
                      <w:highlight w:val="none"/>
                      <w:lang w:bidi="ar"/>
                    </w:rPr>
                    <w:t>GB 16297</w:t>
                  </w:r>
                  <w:r>
                    <w:rPr>
                      <w:rFonts w:hint="eastAsia" w:ascii="宋体" w:hAnsi="宋体" w:cs="宋体"/>
                      <w:color w:val="auto"/>
                      <w:kern w:val="0"/>
                      <w:sz w:val="21"/>
                      <w:szCs w:val="21"/>
                      <w:highlight w:val="none"/>
                      <w:lang w:bidi="ar"/>
                    </w:rPr>
                    <w:t>的要求，特征污染物排放（控制）应满足环境影响评价要求。</w:t>
                  </w:r>
                </w:p>
              </w:tc>
              <w:tc>
                <w:tcPr>
                  <w:tcW w:w="2334" w:type="dxa"/>
                  <w:vMerge w:val="continue"/>
                  <w:tcBorders>
                    <w:tl2br w:val="nil"/>
                    <w:tr2bl w:val="nil"/>
                  </w:tcBorders>
                  <w:vAlign w:val="center"/>
                </w:tcPr>
                <w:p w14:paraId="6C9B49FB">
                  <w:pPr>
                    <w:pStyle w:val="69"/>
                    <w:rPr>
                      <w:color w:val="auto"/>
                      <w:highlight w:val="none"/>
                    </w:rPr>
                  </w:pPr>
                </w:p>
              </w:tc>
              <w:tc>
                <w:tcPr>
                  <w:tcW w:w="566" w:type="dxa"/>
                  <w:vMerge w:val="continue"/>
                  <w:tcBorders>
                    <w:tl2br w:val="nil"/>
                    <w:tr2bl w:val="nil"/>
                  </w:tcBorders>
                  <w:vAlign w:val="center"/>
                </w:tcPr>
                <w:p w14:paraId="20FF03B5">
                  <w:pPr>
                    <w:pStyle w:val="69"/>
                    <w:rPr>
                      <w:color w:val="auto"/>
                      <w:highlight w:val="none"/>
                    </w:rPr>
                  </w:pPr>
                </w:p>
              </w:tc>
            </w:tr>
            <w:tr w14:paraId="13669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6" w:type="dxa"/>
                  <w:vMerge w:val="continue"/>
                  <w:tcBorders>
                    <w:tl2br w:val="nil"/>
                    <w:tr2bl w:val="nil"/>
                  </w:tcBorders>
                  <w:vAlign w:val="center"/>
                </w:tcPr>
                <w:p w14:paraId="5BCB994A">
                  <w:pPr>
                    <w:pStyle w:val="69"/>
                    <w:spacing w:line="240" w:lineRule="auto"/>
                    <w:rPr>
                      <w:color w:val="auto"/>
                      <w:highlight w:val="none"/>
                    </w:rPr>
                  </w:pPr>
                </w:p>
              </w:tc>
              <w:tc>
                <w:tcPr>
                  <w:tcW w:w="3433" w:type="dxa"/>
                  <w:tcBorders>
                    <w:tl2br w:val="nil"/>
                    <w:tr2bl w:val="nil"/>
                  </w:tcBorders>
                  <w:vAlign w:val="center"/>
                </w:tcPr>
                <w:p w14:paraId="6EBFA0EB">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应防止噪声污染。设备运转时厂界噪声应符合</w:t>
                  </w:r>
                  <w:r>
                    <w:rPr>
                      <w:color w:val="auto"/>
                      <w:kern w:val="0"/>
                      <w:sz w:val="21"/>
                      <w:szCs w:val="21"/>
                      <w:highlight w:val="none"/>
                      <w:lang w:bidi="ar"/>
                    </w:rPr>
                    <w:t>GB12348</w:t>
                  </w:r>
                  <w:r>
                    <w:rPr>
                      <w:rFonts w:hint="eastAsia" w:ascii="宋体" w:hAnsi="宋体" w:cs="宋体"/>
                      <w:color w:val="auto"/>
                      <w:kern w:val="0"/>
                      <w:sz w:val="21"/>
                      <w:szCs w:val="21"/>
                      <w:highlight w:val="none"/>
                      <w:lang w:bidi="ar"/>
                    </w:rPr>
                    <w:t>的要求，作业车间噪声应符合</w:t>
                  </w:r>
                  <w:r>
                    <w:rPr>
                      <w:color w:val="auto"/>
                      <w:kern w:val="0"/>
                      <w:sz w:val="21"/>
                      <w:szCs w:val="21"/>
                      <w:highlight w:val="none"/>
                      <w:lang w:bidi="ar"/>
                    </w:rPr>
                    <w:t>GBZ 2.2</w:t>
                  </w:r>
                  <w:r>
                    <w:rPr>
                      <w:rFonts w:hint="eastAsia" w:ascii="宋体" w:hAnsi="宋体" w:cs="宋体"/>
                      <w:color w:val="auto"/>
                      <w:kern w:val="0"/>
                      <w:sz w:val="21"/>
                      <w:szCs w:val="21"/>
                      <w:highlight w:val="none"/>
                      <w:lang w:bidi="ar"/>
                    </w:rPr>
                    <w:t>的要求。</w:t>
                  </w:r>
                </w:p>
              </w:tc>
              <w:tc>
                <w:tcPr>
                  <w:tcW w:w="2334" w:type="dxa"/>
                  <w:tcBorders>
                    <w:tl2br w:val="nil"/>
                    <w:tr2bl w:val="nil"/>
                  </w:tcBorders>
                  <w:vAlign w:val="center"/>
                </w:tcPr>
                <w:p w14:paraId="60DF897F">
                  <w:pPr>
                    <w:pStyle w:val="69"/>
                    <w:rPr>
                      <w:rFonts w:hint="eastAsia" w:eastAsia="宋体"/>
                      <w:color w:val="auto"/>
                      <w:highlight w:val="none"/>
                      <w:lang w:val="en-US" w:eastAsia="zh-CN"/>
                    </w:rPr>
                  </w:pPr>
                  <w:r>
                    <w:rPr>
                      <w:rFonts w:hint="eastAsia"/>
                      <w:color w:val="auto"/>
                      <w:highlight w:val="none"/>
                    </w:rPr>
                    <w:t>本项目选用低噪声设备、基础减震、厂房隔声，厂界噪声可以达到</w:t>
                  </w:r>
                  <w:r>
                    <w:rPr>
                      <w:color w:val="auto"/>
                      <w:highlight w:val="none"/>
                    </w:rPr>
                    <w:t>《工业企业厂界环境噪声排放标准》（GB12348-2008）中的</w:t>
                  </w:r>
                  <w:r>
                    <w:rPr>
                      <w:rFonts w:hint="eastAsia"/>
                      <w:color w:val="auto"/>
                      <w:highlight w:val="none"/>
                    </w:rPr>
                    <w:t>3</w:t>
                  </w:r>
                  <w:r>
                    <w:rPr>
                      <w:color w:val="auto"/>
                      <w:highlight w:val="none"/>
                    </w:rPr>
                    <w:t>类标准</w:t>
                  </w:r>
                  <w:r>
                    <w:rPr>
                      <w:rFonts w:hint="eastAsia"/>
                      <w:color w:val="auto"/>
                      <w:highlight w:val="none"/>
                      <w:lang w:eastAsia="zh-CN"/>
                    </w:rPr>
                    <w:t>。</w:t>
                  </w:r>
                </w:p>
              </w:tc>
              <w:tc>
                <w:tcPr>
                  <w:tcW w:w="566" w:type="dxa"/>
                  <w:tcBorders>
                    <w:tl2br w:val="nil"/>
                    <w:tr2bl w:val="nil"/>
                  </w:tcBorders>
                  <w:vAlign w:val="center"/>
                </w:tcPr>
                <w:p w14:paraId="6310568B">
                  <w:pPr>
                    <w:pStyle w:val="69"/>
                    <w:rPr>
                      <w:color w:val="auto"/>
                      <w:highlight w:val="none"/>
                    </w:rPr>
                  </w:pPr>
                  <w:r>
                    <w:rPr>
                      <w:rFonts w:hint="eastAsia"/>
                      <w:color w:val="auto"/>
                      <w:highlight w:val="none"/>
                    </w:rPr>
                    <w:t>符合</w:t>
                  </w:r>
                </w:p>
              </w:tc>
            </w:tr>
            <w:tr w14:paraId="22D27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66" w:type="dxa"/>
                  <w:vMerge w:val="restart"/>
                  <w:tcBorders>
                    <w:tl2br w:val="nil"/>
                    <w:tr2bl w:val="nil"/>
                  </w:tcBorders>
                  <w:vAlign w:val="center"/>
                </w:tcPr>
                <w:p w14:paraId="0571FC9D">
                  <w:pPr>
                    <w:widowControl/>
                    <w:spacing w:line="240" w:lineRule="auto"/>
                    <w:ind w:firstLine="0" w:firstLineChars="0"/>
                    <w:jc w:val="left"/>
                    <w:rPr>
                      <w:color w:val="auto"/>
                      <w:highlight w:val="none"/>
                    </w:rPr>
                  </w:pPr>
                  <w:r>
                    <w:rPr>
                      <w:rFonts w:hint="eastAsia" w:cs="宋体"/>
                      <w:color w:val="auto"/>
                      <w:sz w:val="21"/>
                      <w:szCs w:val="21"/>
                      <w:highlight w:val="none"/>
                    </w:rPr>
                    <w:t>清洗技术要求</w:t>
                  </w:r>
                </w:p>
              </w:tc>
              <w:tc>
                <w:tcPr>
                  <w:tcW w:w="3433" w:type="dxa"/>
                  <w:tcBorders>
                    <w:tl2br w:val="nil"/>
                    <w:tr2bl w:val="nil"/>
                  </w:tcBorders>
                  <w:vAlign w:val="center"/>
                </w:tcPr>
                <w:p w14:paraId="7C655BB3">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遇水或其他溶剂易燃或产生易燃气体、易释放挥发性毒性物质的固体废物，不应采用清洗处理。</w:t>
                  </w:r>
                </w:p>
              </w:tc>
              <w:tc>
                <w:tcPr>
                  <w:tcW w:w="2334" w:type="dxa"/>
                  <w:vMerge w:val="restart"/>
                  <w:tcBorders>
                    <w:tl2br w:val="nil"/>
                    <w:tr2bl w:val="nil"/>
                  </w:tcBorders>
                  <w:vAlign w:val="center"/>
                </w:tcPr>
                <w:p w14:paraId="500DE7A9">
                  <w:pPr>
                    <w:pStyle w:val="69"/>
                    <w:rPr>
                      <w:color w:val="auto"/>
                      <w:highlight w:val="none"/>
                    </w:rPr>
                  </w:pPr>
                  <w:r>
                    <w:rPr>
                      <w:rFonts w:hint="eastAsia"/>
                      <w:color w:val="auto"/>
                      <w:highlight w:val="none"/>
                    </w:rPr>
                    <w:t>本项目</w:t>
                  </w:r>
                  <w:r>
                    <w:rPr>
                      <w:rFonts w:hint="eastAsia"/>
                      <w:color w:val="auto"/>
                      <w:highlight w:val="none"/>
                      <w:lang w:val="en-US" w:eastAsia="zh-CN"/>
                    </w:rPr>
                    <w:t>设备进行清洗</w:t>
                  </w:r>
                  <w:r>
                    <w:rPr>
                      <w:rFonts w:hint="eastAsia"/>
                      <w:color w:val="auto"/>
                      <w:highlight w:val="none"/>
                    </w:rPr>
                    <w:t>，该过程不会</w:t>
                  </w:r>
                  <w:r>
                    <w:rPr>
                      <w:rFonts w:hint="eastAsia" w:ascii="宋体" w:hAnsi="宋体"/>
                      <w:color w:val="auto"/>
                      <w:kern w:val="0"/>
                      <w:highlight w:val="none"/>
                      <w:lang w:bidi="ar"/>
                    </w:rPr>
                    <w:t>产生易燃气体、挥发性毒性物质。清洗设备能够满足耐磨、防腐蚀等性能。</w:t>
                  </w:r>
                </w:p>
              </w:tc>
              <w:tc>
                <w:tcPr>
                  <w:tcW w:w="566" w:type="dxa"/>
                  <w:vMerge w:val="restart"/>
                  <w:tcBorders>
                    <w:tl2br w:val="nil"/>
                    <w:tr2bl w:val="nil"/>
                  </w:tcBorders>
                  <w:vAlign w:val="center"/>
                </w:tcPr>
                <w:p w14:paraId="0287068B">
                  <w:pPr>
                    <w:pStyle w:val="69"/>
                    <w:rPr>
                      <w:color w:val="auto"/>
                      <w:highlight w:val="none"/>
                    </w:rPr>
                  </w:pPr>
                  <w:r>
                    <w:rPr>
                      <w:rFonts w:hint="eastAsia" w:cs="Times New Roman"/>
                      <w:color w:val="auto"/>
                      <w:highlight w:val="none"/>
                    </w:rPr>
                    <w:t>符合</w:t>
                  </w:r>
                </w:p>
              </w:tc>
            </w:tr>
            <w:tr w14:paraId="409F7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66" w:type="dxa"/>
                  <w:vMerge w:val="continue"/>
                  <w:tcBorders>
                    <w:tl2br w:val="nil"/>
                    <w:tr2bl w:val="nil"/>
                  </w:tcBorders>
                  <w:vAlign w:val="center"/>
                </w:tcPr>
                <w:p w14:paraId="485A63AE">
                  <w:pPr>
                    <w:pStyle w:val="69"/>
                    <w:spacing w:line="240" w:lineRule="auto"/>
                    <w:rPr>
                      <w:color w:val="auto"/>
                      <w:highlight w:val="none"/>
                    </w:rPr>
                  </w:pPr>
                </w:p>
              </w:tc>
              <w:tc>
                <w:tcPr>
                  <w:tcW w:w="3433" w:type="dxa"/>
                  <w:tcBorders>
                    <w:tl2br w:val="nil"/>
                    <w:tr2bl w:val="nil"/>
                  </w:tcBorders>
                  <w:vAlign w:val="center"/>
                </w:tcPr>
                <w:p w14:paraId="605F2E14">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固体废物清洗设备应具备耐磨、防腐蚀等性能。</w:t>
                  </w:r>
                </w:p>
              </w:tc>
              <w:tc>
                <w:tcPr>
                  <w:tcW w:w="2334" w:type="dxa"/>
                  <w:vMerge w:val="continue"/>
                  <w:tcBorders>
                    <w:tl2br w:val="nil"/>
                    <w:tr2bl w:val="nil"/>
                  </w:tcBorders>
                  <w:vAlign w:val="center"/>
                </w:tcPr>
                <w:p w14:paraId="0B2E9AF3">
                  <w:pPr>
                    <w:pStyle w:val="69"/>
                    <w:rPr>
                      <w:color w:val="auto"/>
                      <w:highlight w:val="none"/>
                    </w:rPr>
                  </w:pPr>
                </w:p>
              </w:tc>
              <w:tc>
                <w:tcPr>
                  <w:tcW w:w="566" w:type="dxa"/>
                  <w:vMerge w:val="continue"/>
                  <w:tcBorders>
                    <w:tl2br w:val="nil"/>
                    <w:tr2bl w:val="nil"/>
                  </w:tcBorders>
                  <w:vAlign w:val="center"/>
                </w:tcPr>
                <w:p w14:paraId="1274D3CC">
                  <w:pPr>
                    <w:pStyle w:val="69"/>
                    <w:rPr>
                      <w:color w:val="auto"/>
                      <w:highlight w:val="none"/>
                    </w:rPr>
                  </w:pPr>
                </w:p>
              </w:tc>
            </w:tr>
            <w:tr w14:paraId="1C138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66" w:type="dxa"/>
                  <w:vMerge w:val="continue"/>
                  <w:tcBorders>
                    <w:tl2br w:val="nil"/>
                    <w:tr2bl w:val="nil"/>
                  </w:tcBorders>
                  <w:vAlign w:val="center"/>
                </w:tcPr>
                <w:p w14:paraId="68164B21">
                  <w:pPr>
                    <w:pStyle w:val="69"/>
                    <w:spacing w:line="240" w:lineRule="auto"/>
                    <w:rPr>
                      <w:color w:val="auto"/>
                      <w:highlight w:val="none"/>
                    </w:rPr>
                  </w:pPr>
                </w:p>
              </w:tc>
              <w:tc>
                <w:tcPr>
                  <w:tcW w:w="3433" w:type="dxa"/>
                  <w:tcBorders>
                    <w:tl2br w:val="nil"/>
                    <w:tr2bl w:val="nil"/>
                  </w:tcBorders>
                  <w:vAlign w:val="center"/>
                </w:tcPr>
                <w:p w14:paraId="5E5A3E8E">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可根据洗涤目的对固体废物进行多级清洗，清洗工艺可采用顺流清洗或逆流清洗。</w:t>
                  </w:r>
                </w:p>
              </w:tc>
              <w:tc>
                <w:tcPr>
                  <w:tcW w:w="2334" w:type="dxa"/>
                  <w:vMerge w:val="continue"/>
                  <w:tcBorders>
                    <w:tl2br w:val="nil"/>
                    <w:tr2bl w:val="nil"/>
                  </w:tcBorders>
                  <w:vAlign w:val="center"/>
                </w:tcPr>
                <w:p w14:paraId="3583B989">
                  <w:pPr>
                    <w:pStyle w:val="69"/>
                    <w:rPr>
                      <w:color w:val="auto"/>
                      <w:highlight w:val="none"/>
                    </w:rPr>
                  </w:pPr>
                </w:p>
              </w:tc>
              <w:tc>
                <w:tcPr>
                  <w:tcW w:w="566" w:type="dxa"/>
                  <w:vMerge w:val="continue"/>
                  <w:tcBorders>
                    <w:tl2br w:val="nil"/>
                    <w:tr2bl w:val="nil"/>
                  </w:tcBorders>
                  <w:vAlign w:val="center"/>
                </w:tcPr>
                <w:p w14:paraId="1F444546">
                  <w:pPr>
                    <w:pStyle w:val="69"/>
                    <w:rPr>
                      <w:color w:val="auto"/>
                      <w:highlight w:val="none"/>
                    </w:rPr>
                  </w:pPr>
                </w:p>
              </w:tc>
            </w:tr>
            <w:tr w14:paraId="22CC0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66" w:type="dxa"/>
                  <w:vMerge w:val="restart"/>
                  <w:tcBorders>
                    <w:tl2br w:val="nil"/>
                    <w:tr2bl w:val="nil"/>
                  </w:tcBorders>
                  <w:vAlign w:val="center"/>
                </w:tcPr>
                <w:p w14:paraId="773AAE8E">
                  <w:pPr>
                    <w:pStyle w:val="68"/>
                    <w:rPr>
                      <w:rFonts w:cs="Times New Roman"/>
                      <w:color w:val="auto"/>
                      <w:highlight w:val="none"/>
                      <w:lang w:eastAsia="zh-CN"/>
                    </w:rPr>
                  </w:pPr>
                  <w:r>
                    <w:rPr>
                      <w:rFonts w:hint="eastAsia" w:cs="Times New Roman"/>
                      <w:color w:val="auto"/>
                      <w:highlight w:val="none"/>
                      <w:lang w:eastAsia="zh-CN"/>
                    </w:rPr>
                    <w:t>破碎技术要求</w:t>
                  </w:r>
                </w:p>
              </w:tc>
              <w:tc>
                <w:tcPr>
                  <w:tcW w:w="3433" w:type="dxa"/>
                  <w:tcBorders>
                    <w:tl2br w:val="nil"/>
                    <w:tr2bl w:val="nil"/>
                  </w:tcBorders>
                  <w:vAlign w:val="center"/>
                </w:tcPr>
                <w:p w14:paraId="5AB01B1F">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破碎是通过机械等外力的作用，破坏固体废物内部的凝聚力和分子间作用力，使固体废物破裂变碎的过程。将小块固体废物颗粒通过研磨等方式分裂成细粉状的过程称之为磨碎。</w:t>
                  </w:r>
                </w:p>
              </w:tc>
              <w:tc>
                <w:tcPr>
                  <w:tcW w:w="2334" w:type="dxa"/>
                  <w:vMerge w:val="restart"/>
                  <w:tcBorders>
                    <w:tl2br w:val="nil"/>
                    <w:tr2bl w:val="nil"/>
                  </w:tcBorders>
                  <w:vAlign w:val="center"/>
                </w:tcPr>
                <w:p w14:paraId="096DC542">
                  <w:pPr>
                    <w:pStyle w:val="68"/>
                    <w:rPr>
                      <w:rFonts w:cs="Times New Roman"/>
                      <w:color w:val="auto"/>
                      <w:highlight w:val="none"/>
                      <w:lang w:eastAsia="zh-CN"/>
                    </w:rPr>
                  </w:pPr>
                  <w:r>
                    <w:rPr>
                      <w:rFonts w:hint="eastAsia" w:cs="Times New Roman"/>
                      <w:bCs/>
                      <w:color w:val="auto"/>
                      <w:kern w:val="2"/>
                      <w:szCs w:val="21"/>
                      <w:highlight w:val="none"/>
                      <w:lang w:eastAsia="zh-CN"/>
                    </w:rPr>
                    <w:t>本</w:t>
                  </w:r>
                  <w:r>
                    <w:rPr>
                      <w:rFonts w:hint="eastAsia" w:ascii="宋体" w:hAnsi="宋体" w:cs="宋体"/>
                      <w:color w:val="auto"/>
                      <w:szCs w:val="21"/>
                      <w:highlight w:val="none"/>
                      <w:lang w:eastAsia="zh-CN" w:bidi="ar"/>
                    </w:rPr>
                    <w:t>项目以</w:t>
                  </w:r>
                  <w:r>
                    <w:rPr>
                      <w:rFonts w:hint="eastAsia" w:ascii="宋体" w:hAnsi="宋体" w:cs="宋体"/>
                      <w:color w:val="auto"/>
                      <w:szCs w:val="21"/>
                      <w:highlight w:val="none"/>
                      <w:lang w:val="en-US" w:eastAsia="zh-CN" w:bidi="ar"/>
                    </w:rPr>
                    <w:t>炉渣</w:t>
                  </w:r>
                  <w:r>
                    <w:rPr>
                      <w:rFonts w:hint="eastAsia" w:ascii="宋体" w:hAnsi="宋体" w:cs="宋体"/>
                      <w:color w:val="auto"/>
                      <w:szCs w:val="21"/>
                      <w:highlight w:val="none"/>
                      <w:lang w:eastAsia="zh-CN" w:bidi="ar"/>
                    </w:rPr>
                    <w:t>为原料，生产</w:t>
                  </w:r>
                  <w:r>
                    <w:rPr>
                      <w:rFonts w:hint="eastAsia" w:ascii="宋体" w:hAnsi="宋体" w:cs="宋体"/>
                      <w:color w:val="auto"/>
                      <w:szCs w:val="21"/>
                      <w:highlight w:val="none"/>
                      <w:lang w:val="en-US" w:eastAsia="zh-CN" w:bidi="ar"/>
                    </w:rPr>
                    <w:t>粉煤灰</w:t>
                  </w:r>
                  <w:r>
                    <w:rPr>
                      <w:rFonts w:hint="eastAsia" w:ascii="宋体" w:hAnsi="宋体" w:cs="宋体"/>
                      <w:color w:val="auto"/>
                      <w:szCs w:val="21"/>
                      <w:highlight w:val="none"/>
                      <w:lang w:eastAsia="zh-CN" w:bidi="ar"/>
                    </w:rPr>
                    <w:t>，粉磨过程严格管理，可降低风险事故发生。</w:t>
                  </w:r>
                </w:p>
              </w:tc>
              <w:tc>
                <w:tcPr>
                  <w:tcW w:w="566" w:type="dxa"/>
                  <w:vMerge w:val="restart"/>
                  <w:tcBorders>
                    <w:tl2br w:val="nil"/>
                    <w:tr2bl w:val="nil"/>
                  </w:tcBorders>
                  <w:vAlign w:val="center"/>
                </w:tcPr>
                <w:p w14:paraId="08FD2185">
                  <w:pPr>
                    <w:pStyle w:val="68"/>
                    <w:rPr>
                      <w:rFonts w:cs="Times New Roman"/>
                      <w:color w:val="auto"/>
                      <w:highlight w:val="none"/>
                    </w:rPr>
                  </w:pPr>
                  <w:r>
                    <w:rPr>
                      <w:rFonts w:cs="Times New Roman"/>
                      <w:color w:val="auto"/>
                      <w:highlight w:val="none"/>
                    </w:rPr>
                    <w:t>符合</w:t>
                  </w:r>
                </w:p>
              </w:tc>
            </w:tr>
            <w:tr w14:paraId="03209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66" w:type="dxa"/>
                  <w:vMerge w:val="continue"/>
                  <w:tcBorders>
                    <w:tl2br w:val="nil"/>
                    <w:tr2bl w:val="nil"/>
                  </w:tcBorders>
                  <w:vAlign w:val="center"/>
                </w:tcPr>
                <w:p w14:paraId="4A7AE53D">
                  <w:pPr>
                    <w:pStyle w:val="68"/>
                    <w:rPr>
                      <w:rFonts w:cs="Times New Roman"/>
                      <w:color w:val="auto"/>
                      <w:highlight w:val="none"/>
                      <w:lang w:eastAsia="zh-CN"/>
                    </w:rPr>
                  </w:pPr>
                </w:p>
              </w:tc>
              <w:tc>
                <w:tcPr>
                  <w:tcW w:w="3433" w:type="dxa"/>
                  <w:tcBorders>
                    <w:tl2br w:val="nil"/>
                    <w:tr2bl w:val="nil"/>
                  </w:tcBorders>
                  <w:vAlign w:val="center"/>
                </w:tcPr>
                <w:p w14:paraId="3F04563D">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固体废物破碎处理前应对其进行预处理，以保证给料的均匀性，防止非破碎物混入，引起破碎机械的过载损坏。</w:t>
                  </w:r>
                </w:p>
              </w:tc>
              <w:tc>
                <w:tcPr>
                  <w:tcW w:w="2334" w:type="dxa"/>
                  <w:vMerge w:val="continue"/>
                  <w:tcBorders>
                    <w:tl2br w:val="nil"/>
                    <w:tr2bl w:val="nil"/>
                  </w:tcBorders>
                  <w:vAlign w:val="center"/>
                </w:tcPr>
                <w:p w14:paraId="483D5EC1">
                  <w:pPr>
                    <w:pStyle w:val="68"/>
                    <w:rPr>
                      <w:rFonts w:cs="Times New Roman"/>
                      <w:color w:val="auto"/>
                      <w:highlight w:val="none"/>
                      <w:lang w:eastAsia="zh-CN"/>
                    </w:rPr>
                  </w:pPr>
                </w:p>
              </w:tc>
              <w:tc>
                <w:tcPr>
                  <w:tcW w:w="566" w:type="dxa"/>
                  <w:vMerge w:val="continue"/>
                  <w:tcBorders>
                    <w:tl2br w:val="nil"/>
                    <w:tr2bl w:val="nil"/>
                  </w:tcBorders>
                  <w:vAlign w:val="center"/>
                </w:tcPr>
                <w:p w14:paraId="1200C10D">
                  <w:pPr>
                    <w:pStyle w:val="68"/>
                    <w:rPr>
                      <w:rFonts w:cs="Times New Roman"/>
                      <w:color w:val="auto"/>
                      <w:highlight w:val="none"/>
                      <w:lang w:eastAsia="zh-CN"/>
                    </w:rPr>
                  </w:pPr>
                </w:p>
              </w:tc>
            </w:tr>
            <w:tr w14:paraId="7A9A0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66" w:type="dxa"/>
                  <w:vMerge w:val="continue"/>
                  <w:tcBorders>
                    <w:tl2br w:val="nil"/>
                    <w:tr2bl w:val="nil"/>
                  </w:tcBorders>
                  <w:vAlign w:val="center"/>
                </w:tcPr>
                <w:p w14:paraId="7CC601E9">
                  <w:pPr>
                    <w:pStyle w:val="68"/>
                    <w:rPr>
                      <w:rFonts w:cs="Times New Roman"/>
                      <w:color w:val="auto"/>
                      <w:highlight w:val="none"/>
                      <w:lang w:eastAsia="zh-CN"/>
                    </w:rPr>
                  </w:pPr>
                </w:p>
              </w:tc>
              <w:tc>
                <w:tcPr>
                  <w:tcW w:w="3433" w:type="dxa"/>
                  <w:tcBorders>
                    <w:tl2br w:val="nil"/>
                    <w:tr2bl w:val="nil"/>
                  </w:tcBorders>
                  <w:vAlign w:val="center"/>
                </w:tcPr>
                <w:p w14:paraId="292A51AE">
                  <w:pPr>
                    <w:widowControl/>
                    <w:spacing w:line="240" w:lineRule="auto"/>
                    <w:ind w:firstLine="0" w:firstLineChars="0"/>
                    <w:jc w:val="left"/>
                    <w:rPr>
                      <w:color w:val="auto"/>
                      <w:highlight w:val="none"/>
                    </w:rPr>
                  </w:pPr>
                  <w:r>
                    <w:rPr>
                      <w:rFonts w:hint="eastAsia" w:ascii="宋体" w:hAnsi="宋体" w:cs="宋体"/>
                      <w:color w:val="auto"/>
                      <w:kern w:val="0"/>
                      <w:sz w:val="21"/>
                      <w:szCs w:val="21"/>
                      <w:highlight w:val="none"/>
                      <w:lang w:bidi="ar"/>
                    </w:rPr>
                    <w:t>固体废物粉磨过程应严格控制粉尘的颗粒度、挥发性和火源等，防止发生粉尘爆炸</w:t>
                  </w:r>
                </w:p>
              </w:tc>
              <w:tc>
                <w:tcPr>
                  <w:tcW w:w="2334" w:type="dxa"/>
                  <w:vMerge w:val="continue"/>
                  <w:tcBorders>
                    <w:tl2br w:val="nil"/>
                    <w:tr2bl w:val="nil"/>
                  </w:tcBorders>
                  <w:vAlign w:val="center"/>
                </w:tcPr>
                <w:p w14:paraId="3A87EC07">
                  <w:pPr>
                    <w:pStyle w:val="68"/>
                    <w:rPr>
                      <w:rFonts w:cs="Times New Roman"/>
                      <w:color w:val="auto"/>
                      <w:highlight w:val="none"/>
                      <w:lang w:eastAsia="zh-CN"/>
                    </w:rPr>
                  </w:pPr>
                </w:p>
              </w:tc>
              <w:tc>
                <w:tcPr>
                  <w:tcW w:w="566" w:type="dxa"/>
                  <w:vMerge w:val="continue"/>
                  <w:tcBorders>
                    <w:tl2br w:val="nil"/>
                    <w:tr2bl w:val="nil"/>
                  </w:tcBorders>
                  <w:vAlign w:val="center"/>
                </w:tcPr>
                <w:p w14:paraId="281E656F">
                  <w:pPr>
                    <w:pStyle w:val="68"/>
                    <w:rPr>
                      <w:rFonts w:cs="Times New Roman"/>
                      <w:color w:val="auto"/>
                      <w:highlight w:val="none"/>
                      <w:lang w:eastAsia="zh-CN"/>
                    </w:rPr>
                  </w:pPr>
                </w:p>
              </w:tc>
            </w:tr>
          </w:tbl>
          <w:p w14:paraId="599A487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3.5选址合理性分析</w:t>
            </w:r>
          </w:p>
          <w:p w14:paraId="11B6A363">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center"/>
              <w:rPr>
                <w:color w:val="auto"/>
                <w:highlight w:val="none"/>
              </w:rPr>
            </w:pPr>
            <w:r>
              <w:rPr>
                <w:rFonts w:hint="eastAsia" w:ascii="Times New Roman" w:hAnsi="Times New Roman" w:eastAsia="宋体" w:cs="Times New Roman"/>
                <w:color w:val="auto"/>
                <w:kern w:val="2"/>
                <w:sz w:val="24"/>
                <w:szCs w:val="24"/>
                <w:highlight w:val="none"/>
                <w:lang w:val="en-US" w:eastAsia="zh-CN" w:bidi="ar-SA"/>
              </w:rPr>
              <w:t>本项目位于新疆维吾尔自治区巴音郭楞蒙古自治州若羌县工业园区</w:t>
            </w:r>
            <w:r>
              <w:rPr>
                <w:rFonts w:hint="eastAsia" w:cs="Times New Roman"/>
                <w:color w:val="auto"/>
                <w:kern w:val="2"/>
                <w:sz w:val="24"/>
                <w:szCs w:val="24"/>
                <w:highlight w:val="none"/>
                <w:lang w:val="en-US" w:eastAsia="zh-CN" w:bidi="ar-SA"/>
              </w:rPr>
              <w:t>固废填埋中心的东侧</w:t>
            </w:r>
            <w:r>
              <w:rPr>
                <w:rFonts w:hint="eastAsia" w:ascii="Times New Roman" w:hAnsi="Times New Roman" w:eastAsia="宋体" w:cs="Times New Roman"/>
                <w:color w:val="auto"/>
                <w:kern w:val="2"/>
                <w:sz w:val="24"/>
                <w:szCs w:val="24"/>
                <w:highlight w:val="none"/>
                <w:lang w:val="en-US" w:eastAsia="zh-CN" w:bidi="ar-SA"/>
              </w:rPr>
              <w:t>，属于生态保护和环境治理业符合园区的产业定位，项目区北侧、东侧、南侧为空地</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西侧</w:t>
            </w:r>
            <w:r>
              <w:rPr>
                <w:rFonts w:hint="eastAsia" w:cs="Times New Roman"/>
                <w:color w:val="auto"/>
                <w:kern w:val="2"/>
                <w:sz w:val="24"/>
                <w:szCs w:val="24"/>
                <w:highlight w:val="none"/>
                <w:lang w:val="en-US" w:eastAsia="zh-CN" w:bidi="ar-SA"/>
              </w:rPr>
              <w:t>为固废填埋场</w:t>
            </w:r>
            <w:r>
              <w:rPr>
                <w:rFonts w:hint="eastAsia" w:ascii="Times New Roman" w:hAnsi="Times New Roman" w:eastAsia="宋体" w:cs="Times New Roman"/>
                <w:color w:val="auto"/>
                <w:kern w:val="2"/>
                <w:sz w:val="24"/>
                <w:szCs w:val="24"/>
                <w:highlight w:val="none"/>
                <w:lang w:val="en-US" w:eastAsia="zh-CN" w:bidi="ar-SA"/>
              </w:rPr>
              <w:t>。项目区周围500m范围内无居住区、商业区等敏感点。厂址周围无饮用水源地、自然保护区、文物景观等环境敏感目标。项目区道路交通条件完备，项目用水用电均有保障。选址符合“三线一单”中的要求。因此，本项目建设交通、能源方面均有保障，项目内部、外部条件均能满足建设要求。</w:t>
            </w:r>
          </w:p>
        </w:tc>
      </w:tr>
    </w:tbl>
    <w:p w14:paraId="05428BD2">
      <w:pPr>
        <w:pStyle w:val="2"/>
        <w:ind w:firstLine="602"/>
        <w:rPr>
          <w:color w:val="auto"/>
        </w:rPr>
      </w:pPr>
      <w:bookmarkStart w:id="3" w:name="_Toc27462"/>
      <w:r>
        <w:rPr>
          <w:rFonts w:hint="eastAsia"/>
          <w:color w:val="auto"/>
        </w:rPr>
        <w:t>二、建设项目工程分析</w:t>
      </w:r>
      <w:bookmarkEnd w:id="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2FF2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64FAA7FE">
            <w:pPr>
              <w:pStyle w:val="56"/>
              <w:rPr>
                <w:highlight w:val="none"/>
              </w:rPr>
            </w:pPr>
          </w:p>
          <w:p w14:paraId="7F0B97A8">
            <w:pPr>
              <w:pStyle w:val="56"/>
              <w:rPr>
                <w:highlight w:val="none"/>
              </w:rPr>
            </w:pPr>
          </w:p>
          <w:p w14:paraId="7AC606CF">
            <w:pPr>
              <w:pStyle w:val="56"/>
              <w:rPr>
                <w:highlight w:val="none"/>
              </w:rPr>
            </w:pPr>
          </w:p>
          <w:p w14:paraId="1A0019EE">
            <w:pPr>
              <w:pStyle w:val="56"/>
              <w:rPr>
                <w:highlight w:val="none"/>
              </w:rPr>
            </w:pPr>
          </w:p>
          <w:p w14:paraId="10EF7424">
            <w:pPr>
              <w:pStyle w:val="56"/>
              <w:rPr>
                <w:highlight w:val="none"/>
              </w:rPr>
            </w:pPr>
          </w:p>
          <w:p w14:paraId="4D4730CA">
            <w:pPr>
              <w:pStyle w:val="56"/>
              <w:rPr>
                <w:highlight w:val="none"/>
              </w:rPr>
            </w:pPr>
          </w:p>
          <w:p w14:paraId="3F279990">
            <w:pPr>
              <w:pStyle w:val="56"/>
              <w:rPr>
                <w:highlight w:val="none"/>
              </w:rPr>
            </w:pPr>
          </w:p>
          <w:p w14:paraId="6D3AFD88">
            <w:pPr>
              <w:pStyle w:val="56"/>
              <w:rPr>
                <w:highlight w:val="none"/>
              </w:rPr>
            </w:pPr>
          </w:p>
          <w:p w14:paraId="0B1D2A8B">
            <w:pPr>
              <w:pStyle w:val="56"/>
              <w:rPr>
                <w:highlight w:val="none"/>
              </w:rPr>
            </w:pPr>
          </w:p>
          <w:p w14:paraId="78F5CBC4">
            <w:pPr>
              <w:pStyle w:val="56"/>
              <w:rPr>
                <w:highlight w:val="none"/>
              </w:rPr>
            </w:pPr>
          </w:p>
          <w:p w14:paraId="08972407">
            <w:pPr>
              <w:pStyle w:val="56"/>
              <w:rPr>
                <w:highlight w:val="none"/>
              </w:rPr>
            </w:pPr>
          </w:p>
          <w:p w14:paraId="294DE3E8">
            <w:pPr>
              <w:pStyle w:val="56"/>
              <w:rPr>
                <w:highlight w:val="none"/>
              </w:rPr>
            </w:pPr>
          </w:p>
          <w:p w14:paraId="2C2CFA13">
            <w:pPr>
              <w:pStyle w:val="56"/>
              <w:rPr>
                <w:highlight w:val="none"/>
              </w:rPr>
            </w:pPr>
          </w:p>
          <w:p w14:paraId="5482669F">
            <w:pPr>
              <w:pStyle w:val="56"/>
              <w:rPr>
                <w:highlight w:val="none"/>
              </w:rPr>
            </w:pPr>
          </w:p>
          <w:p w14:paraId="29A7B2B0">
            <w:pPr>
              <w:pStyle w:val="56"/>
              <w:rPr>
                <w:highlight w:val="none"/>
              </w:rPr>
            </w:pPr>
          </w:p>
          <w:p w14:paraId="217EC402">
            <w:pPr>
              <w:pStyle w:val="56"/>
              <w:rPr>
                <w:highlight w:val="none"/>
              </w:rPr>
            </w:pPr>
          </w:p>
          <w:p w14:paraId="173251CD">
            <w:pPr>
              <w:pStyle w:val="56"/>
              <w:rPr>
                <w:highlight w:val="none"/>
              </w:rPr>
            </w:pPr>
          </w:p>
          <w:p w14:paraId="0078ED7C">
            <w:pPr>
              <w:pStyle w:val="56"/>
              <w:rPr>
                <w:highlight w:val="none"/>
              </w:rPr>
            </w:pPr>
          </w:p>
          <w:p w14:paraId="3A3B5084">
            <w:pPr>
              <w:pStyle w:val="56"/>
              <w:rPr>
                <w:highlight w:val="none"/>
              </w:rPr>
            </w:pPr>
          </w:p>
          <w:p w14:paraId="108CA0B6">
            <w:pPr>
              <w:pStyle w:val="56"/>
              <w:rPr>
                <w:highlight w:val="none"/>
              </w:rPr>
            </w:pPr>
          </w:p>
          <w:p w14:paraId="7DFE335D">
            <w:pPr>
              <w:pStyle w:val="56"/>
              <w:rPr>
                <w:highlight w:val="none"/>
              </w:rPr>
            </w:pPr>
          </w:p>
          <w:p w14:paraId="1C058168">
            <w:pPr>
              <w:pStyle w:val="56"/>
              <w:rPr>
                <w:highlight w:val="none"/>
              </w:rPr>
            </w:pPr>
          </w:p>
          <w:p w14:paraId="1A4227C2">
            <w:pPr>
              <w:pStyle w:val="56"/>
              <w:rPr>
                <w:highlight w:val="none"/>
              </w:rPr>
            </w:pPr>
          </w:p>
          <w:p w14:paraId="76FC010F">
            <w:pPr>
              <w:pStyle w:val="56"/>
              <w:rPr>
                <w:highlight w:val="none"/>
              </w:rPr>
            </w:pPr>
            <w:r>
              <w:rPr>
                <w:rFonts w:hint="eastAsia"/>
                <w:highlight w:val="none"/>
              </w:rPr>
              <w:t>建设内容</w:t>
            </w:r>
          </w:p>
          <w:p w14:paraId="3CC19682">
            <w:pPr>
              <w:pStyle w:val="56"/>
              <w:rPr>
                <w:highlight w:val="none"/>
              </w:rPr>
            </w:pPr>
          </w:p>
          <w:p w14:paraId="69B7CF04">
            <w:pPr>
              <w:pStyle w:val="56"/>
              <w:rPr>
                <w:highlight w:val="none"/>
              </w:rPr>
            </w:pPr>
          </w:p>
          <w:p w14:paraId="4B8DCBD5">
            <w:pPr>
              <w:pStyle w:val="56"/>
              <w:rPr>
                <w:highlight w:val="none"/>
              </w:rPr>
            </w:pPr>
          </w:p>
          <w:p w14:paraId="19D17C21">
            <w:pPr>
              <w:pStyle w:val="56"/>
              <w:rPr>
                <w:highlight w:val="none"/>
              </w:rPr>
            </w:pPr>
          </w:p>
          <w:p w14:paraId="1493B7FC">
            <w:pPr>
              <w:pStyle w:val="56"/>
              <w:rPr>
                <w:highlight w:val="none"/>
              </w:rPr>
            </w:pPr>
          </w:p>
          <w:p w14:paraId="020608A8">
            <w:pPr>
              <w:pStyle w:val="56"/>
              <w:rPr>
                <w:highlight w:val="none"/>
              </w:rPr>
            </w:pPr>
          </w:p>
          <w:p w14:paraId="3C86BACC">
            <w:pPr>
              <w:pStyle w:val="56"/>
              <w:rPr>
                <w:highlight w:val="none"/>
              </w:rPr>
            </w:pPr>
          </w:p>
          <w:p w14:paraId="17B8EC92">
            <w:pPr>
              <w:pStyle w:val="56"/>
              <w:rPr>
                <w:highlight w:val="none"/>
              </w:rPr>
            </w:pPr>
          </w:p>
          <w:p w14:paraId="2C5859F5">
            <w:pPr>
              <w:pStyle w:val="56"/>
              <w:rPr>
                <w:highlight w:val="none"/>
              </w:rPr>
            </w:pPr>
          </w:p>
          <w:p w14:paraId="547FD954">
            <w:pPr>
              <w:pStyle w:val="56"/>
              <w:rPr>
                <w:highlight w:val="none"/>
              </w:rPr>
            </w:pPr>
          </w:p>
          <w:p w14:paraId="47C156BD">
            <w:pPr>
              <w:pStyle w:val="56"/>
              <w:rPr>
                <w:highlight w:val="none"/>
              </w:rPr>
            </w:pPr>
          </w:p>
          <w:p w14:paraId="5F2967BA">
            <w:pPr>
              <w:pStyle w:val="56"/>
              <w:rPr>
                <w:highlight w:val="none"/>
              </w:rPr>
            </w:pPr>
          </w:p>
          <w:p w14:paraId="527D26F5">
            <w:pPr>
              <w:pStyle w:val="56"/>
              <w:rPr>
                <w:highlight w:val="none"/>
              </w:rPr>
            </w:pPr>
          </w:p>
          <w:p w14:paraId="264C5D6C">
            <w:pPr>
              <w:pStyle w:val="56"/>
              <w:rPr>
                <w:highlight w:val="none"/>
              </w:rPr>
            </w:pPr>
          </w:p>
          <w:p w14:paraId="5AA8B899">
            <w:pPr>
              <w:pStyle w:val="56"/>
              <w:rPr>
                <w:highlight w:val="none"/>
              </w:rPr>
            </w:pPr>
          </w:p>
          <w:p w14:paraId="15BEA08C">
            <w:pPr>
              <w:pStyle w:val="56"/>
              <w:rPr>
                <w:highlight w:val="none"/>
              </w:rPr>
            </w:pPr>
          </w:p>
          <w:p w14:paraId="4D21E1F7">
            <w:pPr>
              <w:pStyle w:val="56"/>
              <w:rPr>
                <w:highlight w:val="none"/>
              </w:rPr>
            </w:pPr>
          </w:p>
          <w:p w14:paraId="27E6A908">
            <w:pPr>
              <w:pStyle w:val="56"/>
              <w:rPr>
                <w:highlight w:val="none"/>
              </w:rPr>
            </w:pPr>
          </w:p>
          <w:p w14:paraId="56EF6BC0">
            <w:pPr>
              <w:pStyle w:val="56"/>
              <w:rPr>
                <w:highlight w:val="none"/>
              </w:rPr>
            </w:pPr>
          </w:p>
          <w:p w14:paraId="3A058868">
            <w:pPr>
              <w:pStyle w:val="56"/>
              <w:rPr>
                <w:highlight w:val="none"/>
              </w:rPr>
            </w:pPr>
          </w:p>
          <w:p w14:paraId="014EC797">
            <w:pPr>
              <w:pStyle w:val="56"/>
              <w:rPr>
                <w:highlight w:val="none"/>
              </w:rPr>
            </w:pPr>
          </w:p>
          <w:p w14:paraId="464B9C1C">
            <w:pPr>
              <w:pStyle w:val="56"/>
              <w:rPr>
                <w:highlight w:val="none"/>
              </w:rPr>
            </w:pPr>
          </w:p>
          <w:p w14:paraId="5DB0B71D">
            <w:pPr>
              <w:pStyle w:val="56"/>
              <w:rPr>
                <w:highlight w:val="none"/>
              </w:rPr>
            </w:pPr>
          </w:p>
          <w:p w14:paraId="5F6DA9C7">
            <w:pPr>
              <w:pStyle w:val="56"/>
              <w:rPr>
                <w:highlight w:val="none"/>
              </w:rPr>
            </w:pPr>
          </w:p>
          <w:p w14:paraId="0D1713C2">
            <w:pPr>
              <w:pStyle w:val="56"/>
              <w:rPr>
                <w:highlight w:val="none"/>
              </w:rPr>
            </w:pPr>
          </w:p>
          <w:p w14:paraId="495DB27F">
            <w:pPr>
              <w:pStyle w:val="56"/>
              <w:rPr>
                <w:highlight w:val="none"/>
              </w:rPr>
            </w:pPr>
          </w:p>
          <w:p w14:paraId="2A9594BE">
            <w:pPr>
              <w:pStyle w:val="56"/>
              <w:rPr>
                <w:highlight w:val="none"/>
              </w:rPr>
            </w:pPr>
          </w:p>
          <w:p w14:paraId="4778185C">
            <w:pPr>
              <w:pStyle w:val="56"/>
              <w:rPr>
                <w:highlight w:val="none"/>
              </w:rPr>
            </w:pPr>
          </w:p>
          <w:p w14:paraId="654B6B5E">
            <w:pPr>
              <w:pStyle w:val="56"/>
              <w:rPr>
                <w:highlight w:val="none"/>
              </w:rPr>
            </w:pPr>
          </w:p>
          <w:p w14:paraId="1962EF36">
            <w:pPr>
              <w:pStyle w:val="56"/>
              <w:rPr>
                <w:highlight w:val="none"/>
              </w:rPr>
            </w:pPr>
          </w:p>
          <w:p w14:paraId="037F99FA">
            <w:pPr>
              <w:pStyle w:val="56"/>
              <w:rPr>
                <w:highlight w:val="none"/>
              </w:rPr>
            </w:pPr>
          </w:p>
          <w:p w14:paraId="5142B781">
            <w:pPr>
              <w:pStyle w:val="56"/>
              <w:rPr>
                <w:highlight w:val="none"/>
              </w:rPr>
            </w:pPr>
          </w:p>
          <w:p w14:paraId="0786A5BC">
            <w:pPr>
              <w:pStyle w:val="56"/>
              <w:rPr>
                <w:highlight w:val="none"/>
              </w:rPr>
            </w:pPr>
          </w:p>
          <w:p w14:paraId="5390D6EA">
            <w:pPr>
              <w:pStyle w:val="56"/>
              <w:rPr>
                <w:highlight w:val="none"/>
              </w:rPr>
            </w:pPr>
          </w:p>
          <w:p w14:paraId="7691C2FE">
            <w:pPr>
              <w:pStyle w:val="56"/>
              <w:rPr>
                <w:highlight w:val="none"/>
              </w:rPr>
            </w:pPr>
          </w:p>
          <w:p w14:paraId="50F2915E">
            <w:pPr>
              <w:pStyle w:val="56"/>
              <w:rPr>
                <w:highlight w:val="none"/>
              </w:rPr>
            </w:pPr>
          </w:p>
          <w:p w14:paraId="04BFB02C">
            <w:pPr>
              <w:pStyle w:val="56"/>
              <w:rPr>
                <w:highlight w:val="none"/>
              </w:rPr>
            </w:pPr>
          </w:p>
          <w:p w14:paraId="48D64679">
            <w:pPr>
              <w:pStyle w:val="56"/>
              <w:rPr>
                <w:highlight w:val="none"/>
              </w:rPr>
            </w:pPr>
          </w:p>
          <w:p w14:paraId="5F5A7C87">
            <w:pPr>
              <w:pStyle w:val="56"/>
              <w:rPr>
                <w:highlight w:val="none"/>
              </w:rPr>
            </w:pPr>
          </w:p>
          <w:p w14:paraId="2D682874">
            <w:pPr>
              <w:pStyle w:val="56"/>
              <w:rPr>
                <w:highlight w:val="none"/>
              </w:rPr>
            </w:pPr>
          </w:p>
          <w:p w14:paraId="0FE4A2B7">
            <w:pPr>
              <w:pStyle w:val="56"/>
              <w:rPr>
                <w:highlight w:val="none"/>
              </w:rPr>
            </w:pPr>
            <w:r>
              <w:rPr>
                <w:rFonts w:hint="eastAsia"/>
                <w:highlight w:val="none"/>
              </w:rPr>
              <w:t>建设内容</w:t>
            </w:r>
          </w:p>
          <w:p w14:paraId="5142FF46">
            <w:pPr>
              <w:pStyle w:val="56"/>
              <w:rPr>
                <w:highlight w:val="none"/>
              </w:rPr>
            </w:pPr>
          </w:p>
          <w:p w14:paraId="1248147F">
            <w:pPr>
              <w:pStyle w:val="56"/>
              <w:rPr>
                <w:highlight w:val="none"/>
              </w:rPr>
            </w:pPr>
          </w:p>
          <w:p w14:paraId="72470D79">
            <w:pPr>
              <w:pStyle w:val="56"/>
              <w:rPr>
                <w:highlight w:val="none"/>
              </w:rPr>
            </w:pPr>
          </w:p>
          <w:p w14:paraId="2ADCC3C9">
            <w:pPr>
              <w:pStyle w:val="56"/>
              <w:rPr>
                <w:highlight w:val="none"/>
              </w:rPr>
            </w:pPr>
          </w:p>
          <w:p w14:paraId="724FADFD">
            <w:pPr>
              <w:pStyle w:val="56"/>
              <w:rPr>
                <w:highlight w:val="none"/>
              </w:rPr>
            </w:pPr>
          </w:p>
          <w:p w14:paraId="75D2B70C">
            <w:pPr>
              <w:pStyle w:val="56"/>
              <w:rPr>
                <w:highlight w:val="none"/>
              </w:rPr>
            </w:pPr>
          </w:p>
          <w:p w14:paraId="2FC5362E">
            <w:pPr>
              <w:pStyle w:val="56"/>
              <w:rPr>
                <w:highlight w:val="none"/>
              </w:rPr>
            </w:pPr>
          </w:p>
          <w:p w14:paraId="3BBC4F10">
            <w:pPr>
              <w:pStyle w:val="56"/>
              <w:rPr>
                <w:highlight w:val="none"/>
              </w:rPr>
            </w:pPr>
          </w:p>
          <w:p w14:paraId="4231F62C">
            <w:pPr>
              <w:pStyle w:val="56"/>
              <w:rPr>
                <w:highlight w:val="none"/>
              </w:rPr>
            </w:pPr>
          </w:p>
          <w:p w14:paraId="11BDDC44">
            <w:pPr>
              <w:pStyle w:val="56"/>
              <w:rPr>
                <w:highlight w:val="none"/>
              </w:rPr>
            </w:pPr>
          </w:p>
          <w:p w14:paraId="3BB7CDDB">
            <w:pPr>
              <w:pStyle w:val="56"/>
              <w:rPr>
                <w:highlight w:val="none"/>
              </w:rPr>
            </w:pPr>
          </w:p>
          <w:p w14:paraId="15612A65">
            <w:pPr>
              <w:pStyle w:val="56"/>
              <w:rPr>
                <w:highlight w:val="none"/>
              </w:rPr>
            </w:pPr>
          </w:p>
          <w:p w14:paraId="4BA42461">
            <w:pPr>
              <w:pStyle w:val="56"/>
              <w:rPr>
                <w:highlight w:val="none"/>
              </w:rPr>
            </w:pPr>
          </w:p>
          <w:p w14:paraId="73148636">
            <w:pPr>
              <w:pStyle w:val="56"/>
              <w:rPr>
                <w:highlight w:val="none"/>
              </w:rPr>
            </w:pPr>
          </w:p>
          <w:p w14:paraId="756DB1D0">
            <w:pPr>
              <w:pStyle w:val="56"/>
              <w:rPr>
                <w:highlight w:val="none"/>
              </w:rPr>
            </w:pPr>
          </w:p>
          <w:p w14:paraId="0C4B5D7F">
            <w:pPr>
              <w:pStyle w:val="56"/>
              <w:rPr>
                <w:highlight w:val="none"/>
              </w:rPr>
            </w:pPr>
          </w:p>
          <w:p w14:paraId="424E7806">
            <w:pPr>
              <w:pStyle w:val="56"/>
              <w:rPr>
                <w:highlight w:val="none"/>
              </w:rPr>
            </w:pPr>
          </w:p>
          <w:p w14:paraId="575F626F">
            <w:pPr>
              <w:pStyle w:val="56"/>
              <w:rPr>
                <w:highlight w:val="none"/>
              </w:rPr>
            </w:pPr>
          </w:p>
          <w:p w14:paraId="01501784">
            <w:pPr>
              <w:pStyle w:val="56"/>
              <w:rPr>
                <w:highlight w:val="none"/>
              </w:rPr>
            </w:pPr>
          </w:p>
          <w:p w14:paraId="78A2D899">
            <w:pPr>
              <w:pStyle w:val="56"/>
              <w:rPr>
                <w:highlight w:val="none"/>
              </w:rPr>
            </w:pPr>
          </w:p>
          <w:p w14:paraId="1A5C67E3">
            <w:pPr>
              <w:pStyle w:val="56"/>
              <w:rPr>
                <w:highlight w:val="none"/>
              </w:rPr>
            </w:pPr>
          </w:p>
          <w:p w14:paraId="660A29AF">
            <w:pPr>
              <w:pStyle w:val="56"/>
              <w:rPr>
                <w:highlight w:val="none"/>
              </w:rPr>
            </w:pPr>
          </w:p>
          <w:p w14:paraId="2EEDFD96">
            <w:pPr>
              <w:pStyle w:val="56"/>
              <w:rPr>
                <w:highlight w:val="none"/>
              </w:rPr>
            </w:pPr>
          </w:p>
          <w:p w14:paraId="7B262341">
            <w:pPr>
              <w:pStyle w:val="56"/>
              <w:rPr>
                <w:highlight w:val="none"/>
              </w:rPr>
            </w:pPr>
          </w:p>
          <w:p w14:paraId="0123648F">
            <w:pPr>
              <w:pStyle w:val="56"/>
              <w:rPr>
                <w:highlight w:val="none"/>
              </w:rPr>
            </w:pPr>
          </w:p>
          <w:p w14:paraId="45D583D0">
            <w:pPr>
              <w:pStyle w:val="56"/>
              <w:rPr>
                <w:highlight w:val="none"/>
              </w:rPr>
            </w:pPr>
          </w:p>
          <w:p w14:paraId="2B2E8F71">
            <w:pPr>
              <w:pStyle w:val="56"/>
              <w:rPr>
                <w:highlight w:val="none"/>
              </w:rPr>
            </w:pPr>
          </w:p>
          <w:p w14:paraId="3441AEEE">
            <w:pPr>
              <w:pStyle w:val="56"/>
              <w:rPr>
                <w:highlight w:val="none"/>
              </w:rPr>
            </w:pPr>
          </w:p>
          <w:p w14:paraId="56E0A1DF">
            <w:pPr>
              <w:pStyle w:val="56"/>
              <w:rPr>
                <w:highlight w:val="none"/>
              </w:rPr>
            </w:pPr>
          </w:p>
          <w:p w14:paraId="02AED7CF">
            <w:pPr>
              <w:pStyle w:val="56"/>
              <w:rPr>
                <w:highlight w:val="none"/>
              </w:rPr>
            </w:pPr>
          </w:p>
          <w:p w14:paraId="0899D3FA">
            <w:pPr>
              <w:pStyle w:val="56"/>
              <w:rPr>
                <w:highlight w:val="none"/>
              </w:rPr>
            </w:pPr>
          </w:p>
          <w:p w14:paraId="1065E502">
            <w:pPr>
              <w:pStyle w:val="56"/>
              <w:rPr>
                <w:highlight w:val="none"/>
              </w:rPr>
            </w:pPr>
          </w:p>
          <w:p w14:paraId="300F3743">
            <w:pPr>
              <w:pStyle w:val="56"/>
              <w:rPr>
                <w:highlight w:val="none"/>
              </w:rPr>
            </w:pPr>
          </w:p>
          <w:p w14:paraId="52C7E31D">
            <w:pPr>
              <w:pStyle w:val="56"/>
              <w:rPr>
                <w:highlight w:val="none"/>
              </w:rPr>
            </w:pPr>
          </w:p>
          <w:p w14:paraId="5960A298">
            <w:pPr>
              <w:pStyle w:val="56"/>
              <w:rPr>
                <w:highlight w:val="none"/>
              </w:rPr>
            </w:pPr>
          </w:p>
          <w:p w14:paraId="6B4A7549">
            <w:pPr>
              <w:pStyle w:val="56"/>
              <w:rPr>
                <w:highlight w:val="none"/>
              </w:rPr>
            </w:pPr>
          </w:p>
          <w:p w14:paraId="22826A15">
            <w:pPr>
              <w:pStyle w:val="56"/>
              <w:rPr>
                <w:highlight w:val="none"/>
              </w:rPr>
            </w:pPr>
          </w:p>
          <w:p w14:paraId="002C6526">
            <w:pPr>
              <w:pStyle w:val="56"/>
              <w:rPr>
                <w:highlight w:val="none"/>
              </w:rPr>
            </w:pPr>
          </w:p>
          <w:p w14:paraId="42311B27">
            <w:pPr>
              <w:pStyle w:val="56"/>
              <w:rPr>
                <w:highlight w:val="none"/>
              </w:rPr>
            </w:pPr>
          </w:p>
          <w:p w14:paraId="70EB716C">
            <w:pPr>
              <w:pStyle w:val="56"/>
              <w:rPr>
                <w:highlight w:val="none"/>
              </w:rPr>
            </w:pPr>
          </w:p>
          <w:p w14:paraId="136B24B0">
            <w:pPr>
              <w:pStyle w:val="56"/>
              <w:rPr>
                <w:highlight w:val="none"/>
              </w:rPr>
            </w:pPr>
          </w:p>
          <w:p w14:paraId="106B2F82">
            <w:pPr>
              <w:pStyle w:val="56"/>
              <w:rPr>
                <w:highlight w:val="none"/>
              </w:rPr>
            </w:pPr>
          </w:p>
          <w:p w14:paraId="7B0A5136">
            <w:pPr>
              <w:pStyle w:val="56"/>
              <w:rPr>
                <w:highlight w:val="none"/>
              </w:rPr>
            </w:pPr>
          </w:p>
          <w:p w14:paraId="55DA6D4A">
            <w:pPr>
              <w:pStyle w:val="56"/>
              <w:rPr>
                <w:highlight w:val="none"/>
              </w:rPr>
            </w:pPr>
          </w:p>
          <w:p w14:paraId="379FA6A5">
            <w:pPr>
              <w:pStyle w:val="56"/>
              <w:rPr>
                <w:highlight w:val="none"/>
              </w:rPr>
            </w:pPr>
          </w:p>
          <w:p w14:paraId="02C8DDF7">
            <w:pPr>
              <w:pStyle w:val="56"/>
              <w:rPr>
                <w:highlight w:val="none"/>
              </w:rPr>
            </w:pPr>
          </w:p>
          <w:p w14:paraId="6EF7EDEC">
            <w:pPr>
              <w:pStyle w:val="56"/>
              <w:rPr>
                <w:highlight w:val="none"/>
              </w:rPr>
            </w:pPr>
          </w:p>
          <w:p w14:paraId="386F627C">
            <w:pPr>
              <w:pStyle w:val="56"/>
              <w:rPr>
                <w:highlight w:val="none"/>
              </w:rPr>
            </w:pPr>
          </w:p>
          <w:p w14:paraId="2422013F">
            <w:pPr>
              <w:pStyle w:val="56"/>
              <w:rPr>
                <w:highlight w:val="none"/>
              </w:rPr>
            </w:pPr>
          </w:p>
          <w:p w14:paraId="47968B54">
            <w:pPr>
              <w:pStyle w:val="56"/>
              <w:rPr>
                <w:highlight w:val="none"/>
              </w:rPr>
            </w:pPr>
          </w:p>
          <w:p w14:paraId="756BED41">
            <w:pPr>
              <w:pStyle w:val="56"/>
              <w:rPr>
                <w:highlight w:val="none"/>
              </w:rPr>
            </w:pPr>
            <w:r>
              <w:rPr>
                <w:rFonts w:hint="eastAsia"/>
                <w:highlight w:val="none"/>
              </w:rPr>
              <w:t>建设内容</w:t>
            </w:r>
          </w:p>
          <w:p w14:paraId="4879CB5A">
            <w:pPr>
              <w:pStyle w:val="56"/>
              <w:rPr>
                <w:highlight w:val="none"/>
              </w:rPr>
            </w:pPr>
          </w:p>
          <w:p w14:paraId="037B158A">
            <w:pPr>
              <w:pStyle w:val="56"/>
              <w:rPr>
                <w:highlight w:val="none"/>
              </w:rPr>
            </w:pPr>
          </w:p>
          <w:p w14:paraId="23F5FA72">
            <w:pPr>
              <w:pStyle w:val="56"/>
              <w:rPr>
                <w:highlight w:val="none"/>
              </w:rPr>
            </w:pPr>
          </w:p>
          <w:p w14:paraId="2E959A71">
            <w:pPr>
              <w:pStyle w:val="56"/>
              <w:rPr>
                <w:highlight w:val="none"/>
              </w:rPr>
            </w:pPr>
          </w:p>
          <w:p w14:paraId="3C52AF47">
            <w:pPr>
              <w:pStyle w:val="56"/>
              <w:rPr>
                <w:highlight w:val="none"/>
              </w:rPr>
            </w:pPr>
          </w:p>
          <w:p w14:paraId="4B1B028C">
            <w:pPr>
              <w:pStyle w:val="56"/>
              <w:rPr>
                <w:highlight w:val="none"/>
              </w:rPr>
            </w:pPr>
          </w:p>
          <w:p w14:paraId="663D80D6">
            <w:pPr>
              <w:pStyle w:val="56"/>
              <w:rPr>
                <w:highlight w:val="none"/>
              </w:rPr>
            </w:pPr>
          </w:p>
          <w:p w14:paraId="6084729F">
            <w:pPr>
              <w:pStyle w:val="56"/>
              <w:rPr>
                <w:highlight w:val="none"/>
              </w:rPr>
            </w:pPr>
          </w:p>
          <w:p w14:paraId="542E38A5">
            <w:pPr>
              <w:pStyle w:val="56"/>
              <w:rPr>
                <w:highlight w:val="none"/>
              </w:rPr>
            </w:pPr>
          </w:p>
          <w:p w14:paraId="0C3FE797">
            <w:pPr>
              <w:pStyle w:val="56"/>
              <w:rPr>
                <w:highlight w:val="none"/>
              </w:rPr>
            </w:pPr>
          </w:p>
          <w:p w14:paraId="0AA43093">
            <w:pPr>
              <w:pStyle w:val="56"/>
              <w:rPr>
                <w:highlight w:val="none"/>
              </w:rPr>
            </w:pPr>
          </w:p>
          <w:p w14:paraId="57E82B07">
            <w:pPr>
              <w:pStyle w:val="56"/>
              <w:rPr>
                <w:highlight w:val="none"/>
              </w:rPr>
            </w:pPr>
          </w:p>
          <w:p w14:paraId="00C78B28">
            <w:pPr>
              <w:pStyle w:val="56"/>
              <w:rPr>
                <w:highlight w:val="none"/>
              </w:rPr>
            </w:pPr>
          </w:p>
          <w:p w14:paraId="02322852">
            <w:pPr>
              <w:pStyle w:val="56"/>
              <w:rPr>
                <w:highlight w:val="none"/>
              </w:rPr>
            </w:pPr>
          </w:p>
          <w:p w14:paraId="59417A66">
            <w:pPr>
              <w:pStyle w:val="56"/>
              <w:rPr>
                <w:highlight w:val="none"/>
              </w:rPr>
            </w:pPr>
          </w:p>
          <w:p w14:paraId="400191A0">
            <w:pPr>
              <w:pStyle w:val="56"/>
              <w:rPr>
                <w:highlight w:val="none"/>
              </w:rPr>
            </w:pPr>
          </w:p>
          <w:p w14:paraId="173C8E4E">
            <w:pPr>
              <w:pStyle w:val="56"/>
              <w:rPr>
                <w:highlight w:val="none"/>
              </w:rPr>
            </w:pPr>
          </w:p>
          <w:p w14:paraId="092BFE63">
            <w:pPr>
              <w:pStyle w:val="56"/>
              <w:rPr>
                <w:highlight w:val="none"/>
              </w:rPr>
            </w:pPr>
          </w:p>
          <w:p w14:paraId="77CACA58">
            <w:pPr>
              <w:pStyle w:val="56"/>
              <w:rPr>
                <w:highlight w:val="none"/>
              </w:rPr>
            </w:pPr>
          </w:p>
          <w:p w14:paraId="39C17C84">
            <w:pPr>
              <w:pStyle w:val="56"/>
              <w:jc w:val="both"/>
              <w:rPr>
                <w:highlight w:val="none"/>
              </w:rPr>
            </w:pPr>
          </w:p>
          <w:p w14:paraId="4ED2B92E">
            <w:pPr>
              <w:pStyle w:val="56"/>
              <w:jc w:val="both"/>
              <w:rPr>
                <w:highlight w:val="none"/>
              </w:rPr>
            </w:pPr>
          </w:p>
          <w:p w14:paraId="051702C4">
            <w:pPr>
              <w:pStyle w:val="56"/>
              <w:jc w:val="both"/>
              <w:rPr>
                <w:highlight w:val="none"/>
              </w:rPr>
            </w:pPr>
          </w:p>
          <w:p w14:paraId="5ED1BFA4">
            <w:pPr>
              <w:pStyle w:val="56"/>
              <w:jc w:val="both"/>
              <w:rPr>
                <w:highlight w:val="none"/>
              </w:rPr>
            </w:pPr>
          </w:p>
          <w:p w14:paraId="2FB1D763">
            <w:pPr>
              <w:pStyle w:val="56"/>
              <w:jc w:val="both"/>
              <w:rPr>
                <w:highlight w:val="none"/>
              </w:rPr>
            </w:pPr>
          </w:p>
          <w:p w14:paraId="54A0BE84">
            <w:pPr>
              <w:pStyle w:val="56"/>
              <w:jc w:val="both"/>
              <w:rPr>
                <w:highlight w:val="none"/>
              </w:rPr>
            </w:pPr>
          </w:p>
          <w:p w14:paraId="35B9A7B8">
            <w:pPr>
              <w:pStyle w:val="56"/>
              <w:jc w:val="both"/>
              <w:rPr>
                <w:highlight w:val="none"/>
              </w:rPr>
            </w:pPr>
          </w:p>
          <w:p w14:paraId="2E64088C">
            <w:pPr>
              <w:pStyle w:val="56"/>
              <w:jc w:val="both"/>
              <w:rPr>
                <w:highlight w:val="none"/>
              </w:rPr>
            </w:pPr>
          </w:p>
          <w:p w14:paraId="4EA8C05F">
            <w:pPr>
              <w:pStyle w:val="56"/>
              <w:jc w:val="both"/>
              <w:rPr>
                <w:highlight w:val="none"/>
              </w:rPr>
            </w:pPr>
          </w:p>
          <w:p w14:paraId="3AE8CA5D">
            <w:pPr>
              <w:pStyle w:val="56"/>
              <w:jc w:val="both"/>
              <w:rPr>
                <w:highlight w:val="none"/>
              </w:rPr>
            </w:pPr>
          </w:p>
          <w:p w14:paraId="0FA82110">
            <w:pPr>
              <w:pStyle w:val="56"/>
              <w:jc w:val="both"/>
              <w:rPr>
                <w:highlight w:val="none"/>
              </w:rPr>
            </w:pPr>
          </w:p>
          <w:p w14:paraId="40091D08">
            <w:pPr>
              <w:pStyle w:val="56"/>
              <w:jc w:val="both"/>
              <w:rPr>
                <w:highlight w:val="none"/>
              </w:rPr>
            </w:pPr>
          </w:p>
          <w:p w14:paraId="38AB9AEB">
            <w:pPr>
              <w:pStyle w:val="56"/>
              <w:jc w:val="both"/>
              <w:rPr>
                <w:highlight w:val="none"/>
              </w:rPr>
            </w:pPr>
          </w:p>
          <w:p w14:paraId="2A62E923">
            <w:pPr>
              <w:pStyle w:val="56"/>
              <w:jc w:val="both"/>
              <w:rPr>
                <w:highlight w:val="none"/>
              </w:rPr>
            </w:pPr>
          </w:p>
          <w:p w14:paraId="2F96AD4C">
            <w:pPr>
              <w:pStyle w:val="56"/>
              <w:jc w:val="both"/>
              <w:rPr>
                <w:highlight w:val="none"/>
              </w:rPr>
            </w:pPr>
          </w:p>
          <w:p w14:paraId="4282FE52">
            <w:pPr>
              <w:pStyle w:val="56"/>
              <w:jc w:val="both"/>
              <w:rPr>
                <w:highlight w:val="none"/>
              </w:rPr>
            </w:pPr>
          </w:p>
          <w:p w14:paraId="36637518">
            <w:pPr>
              <w:pStyle w:val="56"/>
              <w:jc w:val="both"/>
              <w:rPr>
                <w:highlight w:val="none"/>
              </w:rPr>
            </w:pPr>
          </w:p>
          <w:p w14:paraId="208FE360">
            <w:pPr>
              <w:pStyle w:val="56"/>
              <w:jc w:val="both"/>
              <w:rPr>
                <w:highlight w:val="none"/>
              </w:rPr>
            </w:pPr>
          </w:p>
          <w:p w14:paraId="4B12A28E">
            <w:pPr>
              <w:pStyle w:val="56"/>
              <w:rPr>
                <w:highlight w:val="none"/>
              </w:rPr>
            </w:pPr>
            <w:r>
              <w:rPr>
                <w:rFonts w:hint="eastAsia"/>
                <w:highlight w:val="none"/>
              </w:rPr>
              <w:t>建设内容</w:t>
            </w:r>
          </w:p>
        </w:tc>
        <w:tc>
          <w:tcPr>
            <w:tcW w:w="8161" w:type="dxa"/>
          </w:tcPr>
          <w:p w14:paraId="36B433DC">
            <w:pPr>
              <w:pStyle w:val="3"/>
              <w:rPr>
                <w:rFonts w:hint="eastAsia"/>
                <w:highlight w:val="none"/>
              </w:rPr>
            </w:pPr>
            <w:r>
              <w:rPr>
                <w:rFonts w:hint="default" w:ascii="Times New Roman" w:hAnsi="Times New Roman" w:cs="Times New Roman"/>
                <w:highlight w:val="none"/>
              </w:rPr>
              <w:t>2.1</w:t>
            </w:r>
            <w:r>
              <w:rPr>
                <w:rFonts w:hint="eastAsia"/>
                <w:highlight w:val="none"/>
              </w:rPr>
              <w:t>项目概况</w:t>
            </w:r>
          </w:p>
          <w:p w14:paraId="014E4D9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eastAsia="zh-CN" w:bidi="ar-SA"/>
              </w:rPr>
              <w:t>（1）</w:t>
            </w:r>
            <w:r>
              <w:rPr>
                <w:rFonts w:hint="default" w:ascii="Times New Roman" w:hAnsi="Times New Roman" w:cs="Times New Roman"/>
                <w:b/>
                <w:kern w:val="2"/>
                <w:sz w:val="24"/>
                <w:szCs w:val="24"/>
                <w:highlight w:val="none"/>
                <w:lang w:val="en-US" w:eastAsia="zh-CN" w:bidi="ar-SA"/>
              </w:rPr>
              <w:t>背景</w:t>
            </w:r>
          </w:p>
          <w:p w14:paraId="5ADAD64B">
            <w:pPr>
              <w:ind w:firstLine="480"/>
              <w:rPr>
                <w:rFonts w:hint="eastAsia" w:cs="宋体"/>
                <w:szCs w:val="28"/>
                <w:highlight w:val="none"/>
                <w:lang w:val="zh-CN"/>
              </w:rPr>
            </w:pPr>
            <w:r>
              <w:rPr>
                <w:rFonts w:hint="default"/>
                <w:highlight w:val="none"/>
                <w:lang w:val="en-US" w:eastAsia="zh-CN"/>
              </w:rPr>
              <w:t>高价值资源化利用电厂固体废弃物、变废为宝，提供就业机会，增加企业的经济效益</w:t>
            </w:r>
            <w:r>
              <w:rPr>
                <w:rFonts w:hint="eastAsia"/>
                <w:highlight w:val="none"/>
                <w:lang w:val="en-US" w:eastAsia="zh-CN"/>
              </w:rPr>
              <w:t>，</w:t>
            </w:r>
            <w:r>
              <w:rPr>
                <w:rFonts w:hint="default"/>
                <w:highlight w:val="none"/>
                <w:lang w:val="en-US" w:eastAsia="zh-CN"/>
              </w:rPr>
              <w:t>促进企业可持续发展。</w:t>
            </w:r>
            <w:r>
              <w:rPr>
                <w:rFonts w:hint="eastAsia" w:cs="宋体"/>
                <w:szCs w:val="28"/>
                <w:highlight w:val="none"/>
                <w:lang w:val="zh-CN"/>
              </w:rPr>
              <w:t>消除固体废</w:t>
            </w:r>
            <w:r>
              <w:rPr>
                <w:rFonts w:hint="eastAsia" w:cs="宋体"/>
                <w:szCs w:val="28"/>
                <w:highlight w:val="none"/>
              </w:rPr>
              <w:t>物</w:t>
            </w:r>
            <w:r>
              <w:rPr>
                <w:rFonts w:hint="eastAsia" w:cs="宋体"/>
                <w:szCs w:val="28"/>
                <w:highlight w:val="none"/>
                <w:lang w:val="zh-CN"/>
              </w:rPr>
              <w:t>占地，可以部分取代水泥用于混凝土，节省该部分水泥生产的能耗，减少CO</w:t>
            </w:r>
            <w:r>
              <w:rPr>
                <w:rFonts w:hint="eastAsia" w:cs="宋体"/>
                <w:szCs w:val="28"/>
                <w:highlight w:val="none"/>
                <w:vertAlign w:val="subscript"/>
                <w:lang w:val="zh-CN"/>
              </w:rPr>
              <w:t>2</w:t>
            </w:r>
            <w:r>
              <w:rPr>
                <w:rFonts w:hint="eastAsia" w:cs="宋体"/>
                <w:szCs w:val="28"/>
                <w:highlight w:val="none"/>
                <w:lang w:val="zh-CN"/>
              </w:rPr>
              <w:t>排放，保护环境。投资建设混凝土使用中超细粉煤灰项目，技术含量高，产品利废量大，成功利用电厂炉灰、炉渣开发，有效地解决了、电厂炉灰、炉渣处置问题，特别适合若羌地区的建设需要。以炉灰、炉渣综合利用为重点，推进工业废弃物综合利用。炉灰、炉渣的综合开发利用项目不仅可给企业带来较好的经济效益，还具有节能、环保效益。</w:t>
            </w:r>
          </w:p>
          <w:p w14:paraId="0234D80D">
            <w:pPr>
              <w:ind w:firstLine="480"/>
              <w:rPr>
                <w:rFonts w:hint="default"/>
                <w:highlight w:val="none"/>
                <w:lang w:val="en-US" w:eastAsia="zh-CN"/>
              </w:rPr>
            </w:pPr>
            <w:r>
              <w:rPr>
                <w:rFonts w:hint="eastAsia" w:cs="宋体"/>
                <w:szCs w:val="28"/>
                <w:highlight w:val="none"/>
                <w:lang w:val="zh-CN"/>
              </w:rPr>
              <w:t>目前，国家制定的商品混凝土必须使用粉煤灰。而若羌地区混凝土中使用的需求量为20万吨/年，炉灰、炉渣综合项目的建成，每年可</w:t>
            </w:r>
            <w:r>
              <w:rPr>
                <w:rFonts w:hint="eastAsia" w:cs="宋体"/>
                <w:szCs w:val="28"/>
                <w:highlight w:val="none"/>
                <w:lang w:val="en-US" w:eastAsia="zh-CN"/>
              </w:rPr>
              <w:t>生产</w:t>
            </w:r>
            <w:r>
              <w:rPr>
                <w:rFonts w:hint="eastAsia" w:cs="宋体"/>
                <w:szCs w:val="28"/>
                <w:highlight w:val="none"/>
                <w:lang w:val="zh-CN"/>
              </w:rPr>
              <w:t>20万吨超细粉煤灰极大地满足市场需求，而且还能解决环保问题、固废处置问题。该投资项目主要利用热电厂废弃的炉灰、炉渣进行精加工、深加工，变废为宝，在创造经济效益的同时可以提供20多人的就业岗位，安置本市的一些闲散劳动力，可以创造更大的经济效益、社会效益、环境效益。</w:t>
            </w:r>
          </w:p>
          <w:p w14:paraId="4E8A4EA1">
            <w:pPr>
              <w:pStyle w:val="3"/>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）项目地理位置</w:t>
            </w:r>
          </w:p>
          <w:p w14:paraId="2A82F7BE">
            <w:pPr>
              <w:ind w:firstLine="480"/>
              <w:rPr>
                <w:highlight w:val="none"/>
              </w:rPr>
            </w:pPr>
            <w:r>
              <w:rPr>
                <w:rFonts w:hint="eastAsia"/>
                <w:highlight w:val="none"/>
              </w:rPr>
              <w:t>本项目位于</w:t>
            </w:r>
            <w:r>
              <w:rPr>
                <w:rFonts w:hint="eastAsia"/>
                <w:highlight w:val="none"/>
                <w:lang w:val="en-US" w:eastAsia="zh-CN"/>
              </w:rPr>
              <w:t>新疆维吾尔自治区巴音郭楞蒙古自治州</w:t>
            </w:r>
            <w:r>
              <w:rPr>
                <w:rFonts w:hint="eastAsia"/>
                <w:highlight w:val="none"/>
              </w:rPr>
              <w:t>若羌县工业园区</w:t>
            </w:r>
            <w:r>
              <w:rPr>
                <w:rFonts w:hint="eastAsia"/>
                <w:highlight w:val="none"/>
                <w:lang w:val="en-US" w:eastAsia="zh-CN"/>
              </w:rPr>
              <w:t>固废填埋中心的东侧</w:t>
            </w:r>
            <w:r>
              <w:rPr>
                <w:rFonts w:hint="eastAsia"/>
                <w:color w:val="auto"/>
                <w:highlight w:val="none"/>
              </w:rPr>
              <w:t>，</w:t>
            </w:r>
            <w:r>
              <w:rPr>
                <w:rFonts w:hint="eastAsia"/>
                <w:highlight w:val="none"/>
              </w:rPr>
              <w:t>项目中心地理坐标为：东经88°15'37.115"，北纬38°49'53.186"。项目所在地理位置详见《附图</w:t>
            </w:r>
            <w:r>
              <w:rPr>
                <w:rFonts w:hint="eastAsia"/>
                <w:highlight w:val="none"/>
                <w:lang w:val="en-US" w:eastAsia="zh-CN"/>
              </w:rPr>
              <w:t>1</w:t>
            </w:r>
            <w:r>
              <w:rPr>
                <w:rFonts w:hint="eastAsia"/>
                <w:highlight w:val="none"/>
              </w:rPr>
              <w:t xml:space="preserve"> 建设项目地理位置图》。</w:t>
            </w:r>
          </w:p>
          <w:p w14:paraId="7D670099">
            <w:pPr>
              <w:pStyle w:val="3"/>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）项目建设内容及规模</w:t>
            </w:r>
          </w:p>
          <w:p w14:paraId="738EDFD8">
            <w:pPr>
              <w:ind w:firstLine="480"/>
              <w:rPr>
                <w:highlight w:val="none"/>
              </w:rPr>
            </w:pPr>
            <w:r>
              <w:rPr>
                <w:rFonts w:hint="eastAsia"/>
                <w:highlight w:val="none"/>
              </w:rPr>
              <w:t>本项目主要建设内容为新建</w:t>
            </w:r>
            <w:r>
              <w:rPr>
                <w:rFonts w:hint="eastAsia"/>
                <w:highlight w:val="none"/>
                <w:lang w:val="en-US" w:eastAsia="zh-CN"/>
              </w:rPr>
              <w:t>炉渣、炉灰一般工业固体废物</w:t>
            </w:r>
            <w:r>
              <w:rPr>
                <w:rFonts w:hint="eastAsia"/>
                <w:highlight w:val="none"/>
              </w:rPr>
              <w:t>处理生产线，新建规划</w:t>
            </w:r>
            <w:r>
              <w:rPr>
                <w:rFonts w:hint="eastAsia"/>
                <w:highlight w:val="none"/>
                <w:lang w:val="en-US" w:eastAsia="zh-CN"/>
              </w:rPr>
              <w:t>8万立方</w:t>
            </w:r>
            <w:r>
              <w:rPr>
                <w:rFonts w:hint="eastAsia"/>
                <w:highlight w:val="none"/>
              </w:rPr>
              <w:t>粉煤灰环保库，建筑面积4348.8平方米</w:t>
            </w:r>
            <w:r>
              <w:rPr>
                <w:rFonts w:hint="eastAsia"/>
                <w:highlight w:val="none"/>
                <w:lang w:eastAsia="zh-CN"/>
              </w:rPr>
              <w:t>；</w:t>
            </w:r>
            <w:r>
              <w:rPr>
                <w:rFonts w:hint="eastAsia"/>
                <w:highlight w:val="none"/>
              </w:rPr>
              <w:t>成品库，建筑面积</w:t>
            </w:r>
            <w:r>
              <w:rPr>
                <w:rFonts w:hint="eastAsia"/>
                <w:highlight w:val="none"/>
                <w:lang w:val="en-US" w:eastAsia="zh-CN"/>
              </w:rPr>
              <w:t>864</w:t>
            </w:r>
            <w:r>
              <w:rPr>
                <w:rFonts w:hint="eastAsia"/>
                <w:highlight w:val="none"/>
              </w:rPr>
              <w:t>平方米</w:t>
            </w:r>
            <w:r>
              <w:rPr>
                <w:rFonts w:hint="eastAsia"/>
                <w:highlight w:val="none"/>
                <w:lang w:eastAsia="zh-CN"/>
              </w:rPr>
              <w:t>；</w:t>
            </w:r>
            <w:r>
              <w:rPr>
                <w:rFonts w:hint="eastAsia"/>
                <w:highlight w:val="none"/>
                <w:lang w:val="en-US" w:eastAsia="zh-CN"/>
              </w:rPr>
              <w:t>综合楼1810.04</w:t>
            </w:r>
            <w:r>
              <w:rPr>
                <w:rFonts w:hint="eastAsia"/>
                <w:highlight w:val="none"/>
              </w:rPr>
              <w:t>平方米</w:t>
            </w:r>
            <w:r>
              <w:rPr>
                <w:rFonts w:hint="eastAsia"/>
                <w:highlight w:val="none"/>
                <w:lang w:eastAsia="zh-CN"/>
              </w:rPr>
              <w:t>；</w:t>
            </w:r>
            <w:r>
              <w:rPr>
                <w:rFonts w:hint="eastAsia"/>
                <w:highlight w:val="none"/>
                <w:lang w:val="en-US" w:eastAsia="zh-CN"/>
              </w:rPr>
              <w:t>辅助用房522.76</w:t>
            </w:r>
            <w:r>
              <w:rPr>
                <w:rFonts w:hint="eastAsia"/>
                <w:highlight w:val="none"/>
              </w:rPr>
              <w:t>平方米</w:t>
            </w:r>
            <w:r>
              <w:rPr>
                <w:rFonts w:hint="eastAsia"/>
                <w:highlight w:val="none"/>
                <w:lang w:eastAsia="zh-CN"/>
              </w:rPr>
              <w:t>；</w:t>
            </w:r>
            <w:r>
              <w:rPr>
                <w:rFonts w:hint="eastAsia"/>
                <w:highlight w:val="none"/>
                <w:lang w:val="en-US" w:eastAsia="zh-CN"/>
              </w:rPr>
              <w:t>配电室108.2</w:t>
            </w:r>
            <w:r>
              <w:rPr>
                <w:rFonts w:hint="eastAsia"/>
                <w:highlight w:val="none"/>
              </w:rPr>
              <w:t>平方米</w:t>
            </w:r>
            <w:r>
              <w:rPr>
                <w:rFonts w:hint="eastAsia"/>
                <w:highlight w:val="none"/>
                <w:lang w:eastAsia="zh-CN"/>
              </w:rPr>
              <w:t>；</w:t>
            </w:r>
            <w:r>
              <w:rPr>
                <w:rFonts w:hint="eastAsia"/>
                <w:highlight w:val="none"/>
              </w:rPr>
              <w:t>绿化面积</w:t>
            </w:r>
            <w:r>
              <w:rPr>
                <w:rFonts w:hint="eastAsia"/>
                <w:highlight w:val="none"/>
                <w:lang w:val="en-US" w:eastAsia="zh-CN"/>
              </w:rPr>
              <w:t>1474.2</w:t>
            </w:r>
            <w:r>
              <w:rPr>
                <w:rFonts w:hint="eastAsia"/>
                <w:highlight w:val="none"/>
              </w:rPr>
              <w:t>平方米。本项目为年综合利用20万吨炉渣、炉灰。</w:t>
            </w:r>
          </w:p>
          <w:p w14:paraId="4B2E61D2">
            <w:pPr>
              <w:widowControl/>
              <w:ind w:firstLine="480"/>
              <w:jc w:val="left"/>
              <w:rPr>
                <w:highlight w:val="none"/>
              </w:rPr>
            </w:pPr>
            <w:r>
              <w:rPr>
                <w:rFonts w:hint="eastAsia"/>
                <w:highlight w:val="none"/>
              </w:rPr>
              <w:t>项目主要建设内容见表2-</w:t>
            </w:r>
            <w:r>
              <w:rPr>
                <w:highlight w:val="none"/>
              </w:rPr>
              <w:t>1</w:t>
            </w:r>
            <w:r>
              <w:rPr>
                <w:rFonts w:hint="eastAsia"/>
                <w:highlight w:val="none"/>
              </w:rPr>
              <w:t>。</w:t>
            </w:r>
          </w:p>
          <w:p w14:paraId="4D6B9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 xml:space="preserve">2-1 </w:t>
            </w:r>
            <w:r>
              <w:rPr>
                <w:rFonts w:hint="eastAsia"/>
                <w:b/>
                <w:bCs/>
                <w:color w:val="auto"/>
                <w:kern w:val="0"/>
                <w:sz w:val="21"/>
                <w:szCs w:val="21"/>
                <w:highlight w:val="none"/>
              </w:rPr>
              <w:t xml:space="preserve">   项目组成一览表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508"/>
              <w:gridCol w:w="5083"/>
              <w:gridCol w:w="688"/>
            </w:tblGrid>
            <w:tr w14:paraId="3FA2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vAlign w:val="center"/>
                </w:tcPr>
                <w:p w14:paraId="333EEC93">
                  <w:pPr>
                    <w:pStyle w:val="55"/>
                    <w:rPr>
                      <w:highlight w:val="none"/>
                      <w:lang w:val="zh-CN"/>
                    </w:rPr>
                  </w:pPr>
                  <w:r>
                    <w:rPr>
                      <w:highlight w:val="none"/>
                      <w:lang w:val="zh-CN"/>
                    </w:rPr>
                    <w:t>类别</w:t>
                  </w:r>
                </w:p>
              </w:tc>
              <w:tc>
                <w:tcPr>
                  <w:tcW w:w="949" w:type="pct"/>
                  <w:tcBorders>
                    <w:tl2br w:val="nil"/>
                    <w:tr2bl w:val="nil"/>
                  </w:tcBorders>
                  <w:vAlign w:val="center"/>
                </w:tcPr>
                <w:p w14:paraId="10068E42">
                  <w:pPr>
                    <w:pStyle w:val="55"/>
                    <w:rPr>
                      <w:highlight w:val="none"/>
                    </w:rPr>
                  </w:pPr>
                  <w:r>
                    <w:rPr>
                      <w:rFonts w:hint="eastAsia"/>
                      <w:highlight w:val="none"/>
                    </w:rPr>
                    <w:t>工程内容</w:t>
                  </w:r>
                </w:p>
              </w:tc>
              <w:tc>
                <w:tcPr>
                  <w:tcW w:w="3202" w:type="pct"/>
                  <w:tcBorders>
                    <w:tl2br w:val="nil"/>
                    <w:tr2bl w:val="nil"/>
                  </w:tcBorders>
                  <w:vAlign w:val="center"/>
                </w:tcPr>
                <w:p w14:paraId="668C3F0F">
                  <w:pPr>
                    <w:pStyle w:val="55"/>
                    <w:rPr>
                      <w:highlight w:val="none"/>
                    </w:rPr>
                  </w:pPr>
                  <w:r>
                    <w:rPr>
                      <w:rFonts w:hint="eastAsia"/>
                      <w:highlight w:val="none"/>
                    </w:rPr>
                    <w:t>建设规模</w:t>
                  </w:r>
                </w:p>
              </w:tc>
              <w:tc>
                <w:tcPr>
                  <w:tcW w:w="433" w:type="pct"/>
                  <w:tcBorders>
                    <w:tl2br w:val="nil"/>
                    <w:tr2bl w:val="nil"/>
                  </w:tcBorders>
                  <w:vAlign w:val="center"/>
                </w:tcPr>
                <w:p w14:paraId="2D5C0E6C">
                  <w:pPr>
                    <w:pStyle w:val="55"/>
                    <w:rPr>
                      <w:highlight w:val="none"/>
                    </w:rPr>
                  </w:pPr>
                  <w:r>
                    <w:rPr>
                      <w:rFonts w:hint="eastAsia"/>
                      <w:highlight w:val="none"/>
                    </w:rPr>
                    <w:t>备注</w:t>
                  </w:r>
                </w:p>
              </w:tc>
            </w:tr>
            <w:tr w14:paraId="3ADA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vAlign w:val="center"/>
                </w:tcPr>
                <w:p w14:paraId="48165E84">
                  <w:pPr>
                    <w:pStyle w:val="55"/>
                    <w:rPr>
                      <w:color w:val="auto"/>
                      <w:highlight w:val="none"/>
                      <w:lang w:val="zh-CN"/>
                    </w:rPr>
                  </w:pPr>
                  <w:r>
                    <w:rPr>
                      <w:color w:val="auto"/>
                      <w:highlight w:val="none"/>
                      <w:lang w:val="zh-CN"/>
                    </w:rPr>
                    <w:t>主体工程</w:t>
                  </w:r>
                </w:p>
              </w:tc>
              <w:tc>
                <w:tcPr>
                  <w:tcW w:w="949" w:type="pct"/>
                  <w:vMerge w:val="restart"/>
                  <w:tcBorders>
                    <w:tl2br w:val="nil"/>
                    <w:tr2bl w:val="nil"/>
                  </w:tcBorders>
                  <w:vAlign w:val="center"/>
                </w:tcPr>
                <w:p w14:paraId="1D34CA1E">
                  <w:pPr>
                    <w:pStyle w:val="55"/>
                    <w:rPr>
                      <w:rFonts w:hint="default"/>
                      <w:color w:val="auto"/>
                      <w:highlight w:val="none"/>
                      <w:lang w:val="en-US"/>
                    </w:rPr>
                  </w:pPr>
                  <w:r>
                    <w:rPr>
                      <w:rFonts w:hint="eastAsia" w:cs="Times New Roman"/>
                      <w:b w:val="0"/>
                      <w:bCs/>
                      <w:color w:val="auto"/>
                      <w:kern w:val="2"/>
                      <w:sz w:val="21"/>
                      <w:szCs w:val="21"/>
                      <w:highlight w:val="none"/>
                      <w:lang w:val="en-US" w:eastAsia="zh-CN" w:bidi="ar-SA"/>
                    </w:rPr>
                    <w:t>生产车间（7170.8平方米）</w:t>
                  </w:r>
                </w:p>
              </w:tc>
              <w:tc>
                <w:tcPr>
                  <w:tcW w:w="3202" w:type="pct"/>
                  <w:tcBorders>
                    <w:tl2br w:val="nil"/>
                    <w:tr2bl w:val="nil"/>
                  </w:tcBorders>
                  <w:vAlign w:val="center"/>
                </w:tcPr>
                <w:p w14:paraId="0D3AA46A">
                  <w:pPr>
                    <w:pStyle w:val="55"/>
                    <w:jc w:val="center"/>
                    <w:rPr>
                      <w:rFonts w:hint="default" w:eastAsia="宋体"/>
                      <w:color w:val="auto"/>
                      <w:highlight w:val="none"/>
                      <w:lang w:val="en-US" w:eastAsia="zh-CN"/>
                    </w:rPr>
                  </w:pPr>
                  <w:r>
                    <w:rPr>
                      <w:rFonts w:hint="eastAsia"/>
                      <w:color w:val="auto"/>
                      <w:highlight w:val="none"/>
                      <w:lang w:val="en-US" w:eastAsia="zh-CN"/>
                    </w:rPr>
                    <w:t>分选系统一套，</w:t>
                  </w:r>
                  <w:r>
                    <w:rPr>
                      <w:rFonts w:hint="eastAsia" w:cs="宋体"/>
                      <w:color w:val="auto"/>
                      <w:szCs w:val="28"/>
                      <w:highlight w:val="none"/>
                      <w:lang w:val="zh-CN"/>
                    </w:rPr>
                    <w:t>采用钢结构框架</w:t>
                  </w:r>
                  <w:r>
                    <w:rPr>
                      <w:rFonts w:hint="eastAsia"/>
                      <w:color w:val="auto"/>
                      <w:highlight w:val="none"/>
                      <w:lang w:val="en-US" w:eastAsia="zh-CN"/>
                    </w:rPr>
                    <w:t>（密闭）</w:t>
                  </w:r>
                </w:p>
              </w:tc>
              <w:tc>
                <w:tcPr>
                  <w:tcW w:w="433" w:type="pct"/>
                  <w:vMerge w:val="restart"/>
                  <w:tcBorders>
                    <w:tl2br w:val="nil"/>
                    <w:tr2bl w:val="nil"/>
                  </w:tcBorders>
                  <w:vAlign w:val="center"/>
                </w:tcPr>
                <w:p w14:paraId="7AFC89DB">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厂房高度16.15米</w:t>
                  </w:r>
                </w:p>
              </w:tc>
            </w:tr>
            <w:tr w14:paraId="45CF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36B65DE6">
                  <w:pPr>
                    <w:pStyle w:val="55"/>
                    <w:rPr>
                      <w:color w:val="auto"/>
                      <w:highlight w:val="none"/>
                      <w:lang w:val="zh-CN"/>
                    </w:rPr>
                  </w:pPr>
                </w:p>
              </w:tc>
              <w:tc>
                <w:tcPr>
                  <w:tcW w:w="949" w:type="pct"/>
                  <w:vMerge w:val="continue"/>
                  <w:tcBorders>
                    <w:tl2br w:val="nil"/>
                    <w:tr2bl w:val="nil"/>
                  </w:tcBorders>
                  <w:vAlign w:val="center"/>
                </w:tcPr>
                <w:p w14:paraId="5CE419C4">
                  <w:pPr>
                    <w:pStyle w:val="55"/>
                    <w:rPr>
                      <w:rFonts w:hint="eastAsia"/>
                      <w:color w:val="auto"/>
                      <w:highlight w:val="none"/>
                      <w:lang w:val="en-US" w:eastAsia="zh-CN"/>
                    </w:rPr>
                  </w:pPr>
                </w:p>
              </w:tc>
              <w:tc>
                <w:tcPr>
                  <w:tcW w:w="3202" w:type="pct"/>
                  <w:tcBorders>
                    <w:tl2br w:val="nil"/>
                    <w:tr2bl w:val="nil"/>
                  </w:tcBorders>
                  <w:vAlign w:val="center"/>
                </w:tcPr>
                <w:p w14:paraId="49885268">
                  <w:pPr>
                    <w:pStyle w:val="55"/>
                    <w:jc w:val="center"/>
                    <w:rPr>
                      <w:rFonts w:hint="eastAsia"/>
                      <w:color w:val="auto"/>
                      <w:highlight w:val="none"/>
                      <w:lang w:val="en-US" w:eastAsia="zh-CN"/>
                    </w:rPr>
                  </w:pPr>
                  <w:r>
                    <w:rPr>
                      <w:rFonts w:hint="eastAsia"/>
                      <w:color w:val="auto"/>
                      <w:highlight w:val="none"/>
                      <w:lang w:val="en-US" w:eastAsia="zh-CN"/>
                    </w:rPr>
                    <w:t>粉磨系统一套，</w:t>
                  </w:r>
                  <w:r>
                    <w:rPr>
                      <w:rFonts w:hint="eastAsia" w:cs="宋体"/>
                      <w:color w:val="auto"/>
                      <w:szCs w:val="28"/>
                      <w:highlight w:val="none"/>
                      <w:lang w:val="zh-CN"/>
                    </w:rPr>
                    <w:t>采用钢结构框架</w:t>
                  </w:r>
                  <w:r>
                    <w:rPr>
                      <w:rFonts w:hint="eastAsia"/>
                      <w:color w:val="auto"/>
                      <w:highlight w:val="none"/>
                      <w:lang w:val="en-US" w:eastAsia="zh-CN"/>
                    </w:rPr>
                    <w:t>（密闭）</w:t>
                  </w:r>
                </w:p>
              </w:tc>
              <w:tc>
                <w:tcPr>
                  <w:tcW w:w="433" w:type="pct"/>
                  <w:vMerge w:val="continue"/>
                  <w:tcBorders>
                    <w:tl2br w:val="nil"/>
                    <w:tr2bl w:val="nil"/>
                  </w:tcBorders>
                  <w:vAlign w:val="center"/>
                </w:tcPr>
                <w:p w14:paraId="1822D289">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color w:val="auto"/>
                      <w:highlight w:val="none"/>
                      <w:lang w:val="en-US" w:eastAsia="zh-CN"/>
                    </w:rPr>
                  </w:pPr>
                </w:p>
              </w:tc>
            </w:tr>
            <w:tr w14:paraId="53EE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vAlign w:val="center"/>
                </w:tcPr>
                <w:p w14:paraId="523A1AC0">
                  <w:pPr>
                    <w:pStyle w:val="55"/>
                    <w:rPr>
                      <w:highlight w:val="none"/>
                    </w:rPr>
                  </w:pPr>
                  <w:r>
                    <w:rPr>
                      <w:rFonts w:hint="eastAsia"/>
                      <w:highlight w:val="none"/>
                    </w:rPr>
                    <w:t>辅助工程</w:t>
                  </w:r>
                </w:p>
              </w:tc>
              <w:tc>
                <w:tcPr>
                  <w:tcW w:w="949" w:type="pct"/>
                  <w:tcBorders>
                    <w:tl2br w:val="nil"/>
                    <w:tr2bl w:val="nil"/>
                  </w:tcBorders>
                  <w:vAlign w:val="center"/>
                </w:tcPr>
                <w:p w14:paraId="1A210946">
                  <w:pPr>
                    <w:pStyle w:val="55"/>
                    <w:rPr>
                      <w:highlight w:val="none"/>
                    </w:rPr>
                  </w:pPr>
                  <w:r>
                    <w:rPr>
                      <w:rFonts w:hint="eastAsia"/>
                      <w:highlight w:val="none"/>
                      <w:lang w:val="en-US" w:eastAsia="zh-CN"/>
                    </w:rPr>
                    <w:t>综合楼</w:t>
                  </w:r>
                </w:p>
              </w:tc>
              <w:tc>
                <w:tcPr>
                  <w:tcW w:w="3202" w:type="pct"/>
                  <w:tcBorders>
                    <w:tl2br w:val="nil"/>
                    <w:tr2bl w:val="nil"/>
                  </w:tcBorders>
                  <w:vAlign w:val="center"/>
                </w:tcPr>
                <w:p w14:paraId="006D8DE3">
                  <w:pPr>
                    <w:pStyle w:val="55"/>
                    <w:jc w:val="center"/>
                    <w:rPr>
                      <w:rFonts w:hint="eastAsia" w:eastAsia="宋体"/>
                      <w:color w:val="auto"/>
                      <w:highlight w:val="none"/>
                      <w:lang w:eastAsia="zh-CN"/>
                    </w:rPr>
                  </w:pPr>
                  <w:r>
                    <w:rPr>
                      <w:rFonts w:hint="eastAsia"/>
                      <w:color w:val="auto"/>
                      <w:highlight w:val="none"/>
                      <w:lang w:val="en-US" w:eastAsia="zh-CN"/>
                    </w:rPr>
                    <w:t>建筑面积1810.04平方米，</w:t>
                  </w:r>
                  <w:r>
                    <w:rPr>
                      <w:rFonts w:hint="eastAsia" w:cs="宋体"/>
                      <w:color w:val="auto"/>
                      <w:szCs w:val="28"/>
                      <w:highlight w:val="none"/>
                      <w:lang w:val="zh-CN"/>
                    </w:rPr>
                    <w:t>采用钢筋混凝土结构</w:t>
                  </w:r>
                  <w:r>
                    <w:rPr>
                      <w:rFonts w:hint="eastAsia"/>
                      <w:highlight w:val="none"/>
                      <w:lang w:eastAsia="zh-CN"/>
                    </w:rPr>
                    <w:t>（</w:t>
                  </w:r>
                  <w:r>
                    <w:rPr>
                      <w:rFonts w:hint="eastAsia"/>
                      <w:highlight w:val="none"/>
                      <w:lang w:val="en-US" w:eastAsia="zh-CN"/>
                    </w:rPr>
                    <w:t>用于办公和员工宿舍</w:t>
                  </w:r>
                  <w:r>
                    <w:rPr>
                      <w:rFonts w:hint="eastAsia"/>
                      <w:highlight w:val="none"/>
                      <w:lang w:eastAsia="zh-CN"/>
                    </w:rPr>
                    <w:t>）</w:t>
                  </w:r>
                </w:p>
              </w:tc>
              <w:tc>
                <w:tcPr>
                  <w:tcW w:w="433" w:type="pct"/>
                  <w:tcBorders>
                    <w:tl2br w:val="nil"/>
                    <w:tr2bl w:val="nil"/>
                  </w:tcBorders>
                  <w:vAlign w:val="center"/>
                </w:tcPr>
                <w:p w14:paraId="05E8ED9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宋体"/>
                      <w:bCs/>
                      <w:color w:val="000000"/>
                      <w:kern w:val="2"/>
                      <w:sz w:val="21"/>
                      <w:szCs w:val="28"/>
                      <w:highlight w:val="none"/>
                      <w:lang w:val="zh-CN" w:eastAsia="zh-CN" w:bidi="ar-SA"/>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r>
            <w:tr w14:paraId="3191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7531A03F">
                  <w:pPr>
                    <w:pStyle w:val="55"/>
                    <w:rPr>
                      <w:rFonts w:hint="eastAsia"/>
                      <w:highlight w:val="none"/>
                    </w:rPr>
                  </w:pPr>
                </w:p>
              </w:tc>
              <w:tc>
                <w:tcPr>
                  <w:tcW w:w="949" w:type="pct"/>
                  <w:tcBorders>
                    <w:tl2br w:val="nil"/>
                    <w:tr2bl w:val="nil"/>
                  </w:tcBorders>
                  <w:vAlign w:val="center"/>
                </w:tcPr>
                <w:p w14:paraId="13DC5065">
                  <w:pPr>
                    <w:pStyle w:val="55"/>
                    <w:rPr>
                      <w:rFonts w:hint="eastAsia"/>
                      <w:highlight w:val="none"/>
                    </w:rPr>
                  </w:pPr>
                  <w:r>
                    <w:rPr>
                      <w:rFonts w:hint="eastAsia"/>
                      <w:highlight w:val="none"/>
                    </w:rPr>
                    <w:t>辅助用房</w:t>
                  </w:r>
                </w:p>
              </w:tc>
              <w:tc>
                <w:tcPr>
                  <w:tcW w:w="3202" w:type="pct"/>
                  <w:tcBorders>
                    <w:tl2br w:val="nil"/>
                    <w:tr2bl w:val="nil"/>
                  </w:tcBorders>
                  <w:vAlign w:val="center"/>
                </w:tcPr>
                <w:p w14:paraId="71014C46">
                  <w:pPr>
                    <w:pStyle w:val="55"/>
                    <w:jc w:val="center"/>
                    <w:rPr>
                      <w:rFonts w:hint="eastAsia"/>
                      <w:color w:val="auto"/>
                      <w:highlight w:val="none"/>
                    </w:rPr>
                  </w:pPr>
                  <w:r>
                    <w:rPr>
                      <w:rFonts w:hint="eastAsia"/>
                      <w:color w:val="auto"/>
                      <w:highlight w:val="none"/>
                      <w:lang w:val="en-US" w:eastAsia="zh-CN"/>
                    </w:rPr>
                    <w:t>建筑面积299.15平方米，</w:t>
                  </w:r>
                  <w:r>
                    <w:rPr>
                      <w:rFonts w:hint="eastAsia" w:cs="宋体"/>
                      <w:color w:val="auto"/>
                      <w:szCs w:val="28"/>
                      <w:highlight w:val="none"/>
                      <w:lang w:val="zh-CN"/>
                    </w:rPr>
                    <w:t>采用砖混结构（</w:t>
                  </w:r>
                  <w:r>
                    <w:rPr>
                      <w:rFonts w:hint="eastAsia" w:cs="宋体"/>
                      <w:color w:val="auto"/>
                      <w:szCs w:val="28"/>
                      <w:highlight w:val="none"/>
                      <w:lang w:val="en-US" w:eastAsia="zh-CN"/>
                    </w:rPr>
                    <w:t>配电室、工具间、库房等</w:t>
                  </w:r>
                  <w:r>
                    <w:rPr>
                      <w:rFonts w:hint="eastAsia" w:cs="宋体"/>
                      <w:color w:val="auto"/>
                      <w:szCs w:val="28"/>
                      <w:highlight w:val="none"/>
                      <w:lang w:val="zh-CN"/>
                    </w:rPr>
                    <w:t>）</w:t>
                  </w:r>
                </w:p>
              </w:tc>
              <w:tc>
                <w:tcPr>
                  <w:tcW w:w="433" w:type="pct"/>
                  <w:tcBorders>
                    <w:tl2br w:val="nil"/>
                    <w:tr2bl w:val="nil"/>
                  </w:tcBorders>
                  <w:vAlign w:val="center"/>
                </w:tcPr>
                <w:p w14:paraId="04675B2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宋体"/>
                      <w:bCs/>
                      <w:color w:val="000000"/>
                      <w:kern w:val="2"/>
                      <w:sz w:val="21"/>
                      <w:szCs w:val="28"/>
                      <w:highlight w:val="none"/>
                      <w:lang w:val="en-US" w:eastAsia="zh-CN" w:bidi="ar-SA"/>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r>
            <w:tr w14:paraId="49BA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tcBorders>
                    <w:tl2br w:val="nil"/>
                    <w:tr2bl w:val="nil"/>
                  </w:tcBorders>
                  <w:vAlign w:val="center"/>
                </w:tcPr>
                <w:p w14:paraId="40B5AC76">
                  <w:pPr>
                    <w:pStyle w:val="55"/>
                    <w:rPr>
                      <w:highlight w:val="none"/>
                    </w:rPr>
                  </w:pPr>
                  <w:r>
                    <w:rPr>
                      <w:rFonts w:hint="eastAsia"/>
                      <w:highlight w:val="none"/>
                    </w:rPr>
                    <w:t>储运工程</w:t>
                  </w:r>
                </w:p>
              </w:tc>
              <w:tc>
                <w:tcPr>
                  <w:tcW w:w="949" w:type="pct"/>
                  <w:tcBorders>
                    <w:tl2br w:val="nil"/>
                    <w:tr2bl w:val="nil"/>
                  </w:tcBorders>
                  <w:shd w:val="clear" w:color="auto" w:fill="auto"/>
                  <w:vAlign w:val="center"/>
                </w:tcPr>
                <w:p w14:paraId="14A5FECA">
                  <w:pPr>
                    <w:pStyle w:val="55"/>
                    <w:ind w:firstLine="0" w:firstLineChars="0"/>
                    <w:rPr>
                      <w:rFonts w:hint="default" w:ascii="Times New Roman" w:hAnsi="Times New Roman" w:eastAsia="宋体" w:cs="Times New Roman"/>
                      <w:bCs/>
                      <w:color w:val="000000"/>
                      <w:kern w:val="2"/>
                      <w:sz w:val="21"/>
                      <w:szCs w:val="21"/>
                      <w:highlight w:val="none"/>
                      <w:lang w:val="en-US" w:eastAsia="zh-CN" w:bidi="ar-SA"/>
                    </w:rPr>
                  </w:pPr>
                  <w:r>
                    <w:rPr>
                      <w:rFonts w:hint="eastAsia"/>
                      <w:highlight w:val="none"/>
                      <w:lang w:val="en-US" w:eastAsia="zh-CN"/>
                    </w:rPr>
                    <w:t>规划粉煤灰环保库</w:t>
                  </w:r>
                </w:p>
              </w:tc>
              <w:tc>
                <w:tcPr>
                  <w:tcW w:w="3202" w:type="pct"/>
                  <w:tcBorders>
                    <w:tl2br w:val="nil"/>
                    <w:tr2bl w:val="nil"/>
                  </w:tcBorders>
                  <w:shd w:val="clear" w:color="auto" w:fill="auto"/>
                  <w:vAlign w:val="center"/>
                </w:tcPr>
                <w:p w14:paraId="3F2C4FA5">
                  <w:pPr>
                    <w:pStyle w:val="55"/>
                    <w:ind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highlight w:val="none"/>
                      <w:lang w:val="en-US" w:eastAsia="zh-CN"/>
                    </w:rPr>
                    <w:t>建设一座8万立方</w:t>
                  </w:r>
                  <w:r>
                    <w:rPr>
                      <w:rFonts w:hint="eastAsia"/>
                      <w:highlight w:val="none"/>
                    </w:rPr>
                    <w:t>粉煤灰环保库</w:t>
                  </w:r>
                  <w:r>
                    <w:rPr>
                      <w:rFonts w:hint="eastAsia"/>
                      <w:highlight w:val="none"/>
                      <w:lang w:val="en-US" w:eastAsia="zh-CN"/>
                    </w:rPr>
                    <w:t>，建筑面积5788.8平方米，</w:t>
                  </w:r>
                  <w:r>
                    <w:rPr>
                      <w:rFonts w:hint="eastAsia" w:cs="宋体"/>
                      <w:szCs w:val="28"/>
                      <w:highlight w:val="none"/>
                      <w:lang w:val="zh-CN"/>
                    </w:rPr>
                    <w:t>采用钢结构框架（</w:t>
                  </w:r>
                  <w:r>
                    <w:rPr>
                      <w:rFonts w:hint="eastAsia" w:cs="Times New Roman"/>
                      <w:color w:val="000000" w:themeColor="text1"/>
                      <w:kern w:val="2"/>
                      <w:sz w:val="21"/>
                      <w:szCs w:val="21"/>
                      <w:highlight w:val="none"/>
                      <w:lang w:val="en-US" w:eastAsia="zh-CN" w:bidi="ar-SA"/>
                      <w14:textFill>
                        <w14:solidFill>
                          <w14:schemeClr w14:val="tx1"/>
                        </w14:solidFill>
                      </w14:textFill>
                    </w:rPr>
                    <w:t>全密闭，呼吸通过仓顶除尘器，外售运输采用粉料罐车</w:t>
                  </w:r>
                  <w:r>
                    <w:rPr>
                      <w:rFonts w:hint="eastAsia" w:cs="宋体"/>
                      <w:szCs w:val="28"/>
                      <w:highlight w:val="none"/>
                      <w:lang w:val="zh-CN"/>
                    </w:rPr>
                    <w:t>）</w:t>
                  </w:r>
                </w:p>
              </w:tc>
              <w:tc>
                <w:tcPr>
                  <w:tcW w:w="433" w:type="pct"/>
                  <w:tcBorders>
                    <w:tl2br w:val="nil"/>
                    <w:tr2bl w:val="nil"/>
                  </w:tcBorders>
                  <w:vAlign w:val="center"/>
                </w:tcPr>
                <w:p w14:paraId="21F832A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宋体"/>
                      <w:bCs/>
                      <w:color w:val="000000"/>
                      <w:kern w:val="2"/>
                      <w:sz w:val="21"/>
                      <w:szCs w:val="28"/>
                      <w:highlight w:val="none"/>
                      <w:lang w:val="zh-CN" w:eastAsia="zh-CN" w:bidi="ar-SA"/>
                    </w:rPr>
                  </w:pPr>
                  <w:r>
                    <w:rPr>
                      <w:rFonts w:hint="eastAsia" w:cs="宋体"/>
                      <w:bCs/>
                      <w:color w:val="000000"/>
                      <w:kern w:val="2"/>
                      <w:sz w:val="21"/>
                      <w:szCs w:val="28"/>
                      <w:highlight w:val="none"/>
                      <w:lang w:val="en-US" w:eastAsia="zh-CN" w:bidi="ar-SA"/>
                    </w:rPr>
                    <w:t>/</w:t>
                  </w:r>
                </w:p>
              </w:tc>
            </w:tr>
            <w:tr w14:paraId="236F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vAlign w:val="center"/>
                </w:tcPr>
                <w:p w14:paraId="4DACFF7F">
                  <w:pPr>
                    <w:pStyle w:val="55"/>
                    <w:rPr>
                      <w:highlight w:val="none"/>
                      <w:lang w:val="zh-CN"/>
                    </w:rPr>
                  </w:pPr>
                  <w:r>
                    <w:rPr>
                      <w:highlight w:val="none"/>
                      <w:lang w:val="zh-CN"/>
                    </w:rPr>
                    <w:t>公用工程</w:t>
                  </w:r>
                </w:p>
              </w:tc>
              <w:tc>
                <w:tcPr>
                  <w:tcW w:w="949" w:type="pct"/>
                  <w:tcBorders>
                    <w:tl2br w:val="nil"/>
                    <w:tr2bl w:val="nil"/>
                  </w:tcBorders>
                  <w:vAlign w:val="center"/>
                </w:tcPr>
                <w:p w14:paraId="00D29098">
                  <w:pPr>
                    <w:pStyle w:val="55"/>
                    <w:rPr>
                      <w:highlight w:val="none"/>
                    </w:rPr>
                  </w:pPr>
                  <w:r>
                    <w:rPr>
                      <w:highlight w:val="none"/>
                    </w:rPr>
                    <w:t>供水</w:t>
                  </w:r>
                </w:p>
              </w:tc>
              <w:tc>
                <w:tcPr>
                  <w:tcW w:w="3202" w:type="pct"/>
                  <w:tcBorders>
                    <w:tl2br w:val="nil"/>
                    <w:tr2bl w:val="nil"/>
                  </w:tcBorders>
                  <w:vAlign w:val="center"/>
                </w:tcPr>
                <w:p w14:paraId="2901C873">
                  <w:pPr>
                    <w:pStyle w:val="55"/>
                    <w:jc w:val="center"/>
                    <w:rPr>
                      <w:highlight w:val="none"/>
                    </w:rPr>
                  </w:pPr>
                  <w:r>
                    <w:rPr>
                      <w:rFonts w:hint="eastAsia" w:cs="宋体"/>
                      <w:szCs w:val="28"/>
                      <w:highlight w:val="none"/>
                      <w:lang w:val="en-US" w:eastAsia="zh-CN"/>
                    </w:rPr>
                    <w:t>园区管网供给</w:t>
                  </w:r>
                </w:p>
              </w:tc>
              <w:tc>
                <w:tcPr>
                  <w:tcW w:w="433" w:type="pct"/>
                  <w:tcBorders>
                    <w:tl2br w:val="nil"/>
                    <w:tr2bl w:val="nil"/>
                  </w:tcBorders>
                  <w:vAlign w:val="center"/>
                </w:tcPr>
                <w:p w14:paraId="4473A438">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eastAsia" w:eastAsia="宋体"/>
                      <w:highlight w:val="none"/>
                      <w:lang w:val="en-US" w:eastAsia="zh-CN"/>
                    </w:rPr>
                  </w:pPr>
                  <w:r>
                    <w:rPr>
                      <w:rFonts w:hint="eastAsia"/>
                      <w:highlight w:val="none"/>
                      <w:lang w:val="en-US" w:eastAsia="zh-CN"/>
                    </w:rPr>
                    <w:t>/</w:t>
                  </w:r>
                </w:p>
              </w:tc>
            </w:tr>
            <w:tr w14:paraId="406E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110F172F">
                  <w:pPr>
                    <w:pStyle w:val="55"/>
                    <w:rPr>
                      <w:highlight w:val="none"/>
                      <w:lang w:val="zh-CN"/>
                    </w:rPr>
                  </w:pPr>
                </w:p>
              </w:tc>
              <w:tc>
                <w:tcPr>
                  <w:tcW w:w="949" w:type="pct"/>
                  <w:tcBorders>
                    <w:tl2br w:val="nil"/>
                    <w:tr2bl w:val="nil"/>
                  </w:tcBorders>
                  <w:vAlign w:val="center"/>
                </w:tcPr>
                <w:p w14:paraId="0AF9191B">
                  <w:pPr>
                    <w:pStyle w:val="55"/>
                    <w:rPr>
                      <w:highlight w:val="none"/>
                    </w:rPr>
                  </w:pPr>
                  <w:r>
                    <w:rPr>
                      <w:highlight w:val="none"/>
                    </w:rPr>
                    <w:t>供电</w:t>
                  </w:r>
                </w:p>
              </w:tc>
              <w:tc>
                <w:tcPr>
                  <w:tcW w:w="3202" w:type="pct"/>
                  <w:tcBorders>
                    <w:tl2br w:val="nil"/>
                    <w:tr2bl w:val="nil"/>
                  </w:tcBorders>
                  <w:vAlign w:val="center"/>
                </w:tcPr>
                <w:p w14:paraId="1144C8AC">
                  <w:pPr>
                    <w:pStyle w:val="55"/>
                    <w:jc w:val="center"/>
                    <w:rPr>
                      <w:highlight w:val="none"/>
                    </w:rPr>
                  </w:pPr>
                  <w:r>
                    <w:rPr>
                      <w:rFonts w:hint="eastAsia" w:cs="宋体"/>
                      <w:szCs w:val="28"/>
                      <w:highlight w:val="none"/>
                      <w:lang w:val="en-US" w:eastAsia="zh-CN"/>
                    </w:rPr>
                    <w:t>园区管网供给</w:t>
                  </w:r>
                </w:p>
              </w:tc>
              <w:tc>
                <w:tcPr>
                  <w:tcW w:w="433" w:type="pct"/>
                  <w:tcBorders>
                    <w:tl2br w:val="nil"/>
                    <w:tr2bl w:val="nil"/>
                  </w:tcBorders>
                  <w:vAlign w:val="center"/>
                </w:tcPr>
                <w:p w14:paraId="16D33A3D">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eastAsia" w:eastAsia="宋体"/>
                      <w:highlight w:val="none"/>
                      <w:lang w:val="en-US" w:eastAsia="zh-CN"/>
                    </w:rPr>
                  </w:pPr>
                  <w:r>
                    <w:rPr>
                      <w:rFonts w:hint="eastAsia"/>
                      <w:highlight w:val="none"/>
                      <w:lang w:val="en-US" w:eastAsia="zh-CN"/>
                    </w:rPr>
                    <w:t>/</w:t>
                  </w:r>
                </w:p>
              </w:tc>
            </w:tr>
            <w:tr w14:paraId="651D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5754D999">
                  <w:pPr>
                    <w:pStyle w:val="55"/>
                    <w:rPr>
                      <w:highlight w:val="none"/>
                      <w:lang w:val="zh-CN"/>
                    </w:rPr>
                  </w:pPr>
                </w:p>
              </w:tc>
              <w:tc>
                <w:tcPr>
                  <w:tcW w:w="949" w:type="pct"/>
                  <w:tcBorders>
                    <w:tl2br w:val="nil"/>
                    <w:tr2bl w:val="nil"/>
                  </w:tcBorders>
                  <w:vAlign w:val="center"/>
                </w:tcPr>
                <w:p w14:paraId="6D2C9719">
                  <w:pPr>
                    <w:pStyle w:val="55"/>
                    <w:rPr>
                      <w:highlight w:val="none"/>
                    </w:rPr>
                  </w:pPr>
                  <w:r>
                    <w:rPr>
                      <w:rFonts w:hint="eastAsia"/>
                      <w:highlight w:val="none"/>
                    </w:rPr>
                    <w:t>供热</w:t>
                  </w:r>
                </w:p>
              </w:tc>
              <w:tc>
                <w:tcPr>
                  <w:tcW w:w="3202" w:type="pct"/>
                  <w:tcBorders>
                    <w:tl2br w:val="nil"/>
                    <w:tr2bl w:val="nil"/>
                  </w:tcBorders>
                  <w:vAlign w:val="center"/>
                </w:tcPr>
                <w:p w14:paraId="62AD9616">
                  <w:pPr>
                    <w:pStyle w:val="55"/>
                    <w:jc w:val="center"/>
                    <w:rPr>
                      <w:highlight w:val="none"/>
                    </w:rPr>
                  </w:pPr>
                  <w:r>
                    <w:rPr>
                      <w:rFonts w:hint="eastAsia"/>
                      <w:highlight w:val="none"/>
                    </w:rPr>
                    <w:t>生产工艺无需用热，生活区采用电采暖</w:t>
                  </w:r>
                </w:p>
              </w:tc>
              <w:tc>
                <w:tcPr>
                  <w:tcW w:w="433" w:type="pct"/>
                  <w:tcBorders>
                    <w:tl2br w:val="nil"/>
                    <w:tr2bl w:val="nil"/>
                  </w:tcBorders>
                  <w:vAlign w:val="center"/>
                </w:tcPr>
                <w:p w14:paraId="3863BB82">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highlight w:val="none"/>
                    </w:rPr>
                  </w:pPr>
                  <w:r>
                    <w:rPr>
                      <w:rFonts w:hint="eastAsia"/>
                      <w:highlight w:val="none"/>
                    </w:rPr>
                    <w:t>/</w:t>
                  </w:r>
                </w:p>
              </w:tc>
            </w:tr>
            <w:tr w14:paraId="69F1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2FDA2590">
                  <w:pPr>
                    <w:pStyle w:val="55"/>
                    <w:rPr>
                      <w:highlight w:val="none"/>
                      <w:lang w:val="zh-CN"/>
                    </w:rPr>
                  </w:pPr>
                </w:p>
              </w:tc>
              <w:tc>
                <w:tcPr>
                  <w:tcW w:w="949" w:type="pct"/>
                  <w:tcBorders>
                    <w:tl2br w:val="nil"/>
                    <w:tr2bl w:val="nil"/>
                  </w:tcBorders>
                  <w:vAlign w:val="center"/>
                </w:tcPr>
                <w:p w14:paraId="5EDFD6D5">
                  <w:pPr>
                    <w:pStyle w:val="55"/>
                    <w:rPr>
                      <w:highlight w:val="none"/>
                    </w:rPr>
                  </w:pPr>
                  <w:r>
                    <w:rPr>
                      <w:highlight w:val="none"/>
                    </w:rPr>
                    <w:t>排水</w:t>
                  </w:r>
                </w:p>
              </w:tc>
              <w:tc>
                <w:tcPr>
                  <w:tcW w:w="3202" w:type="pct"/>
                  <w:tcBorders>
                    <w:tl2br w:val="nil"/>
                    <w:tr2bl w:val="nil"/>
                  </w:tcBorders>
                  <w:vAlign w:val="center"/>
                </w:tcPr>
                <w:p w14:paraId="4C419B32">
                  <w:pPr>
                    <w:pStyle w:val="55"/>
                    <w:jc w:val="center"/>
                    <w:rPr>
                      <w:rFonts w:hint="eastAsia" w:eastAsia="宋体"/>
                      <w:highlight w:val="none"/>
                      <w:lang w:eastAsia="zh-CN"/>
                    </w:rPr>
                  </w:pPr>
                  <w:r>
                    <w:rPr>
                      <w:rFonts w:hint="eastAsia" w:eastAsia="宋体"/>
                      <w:highlight w:val="none"/>
                      <w:lang w:eastAsia="zh-CN"/>
                    </w:rPr>
                    <w:t>项目产生的废水主要是设备冷却用水和少量的生活污水。设备冷却水循环利用</w:t>
                  </w:r>
                  <w:r>
                    <w:rPr>
                      <w:rFonts w:hint="eastAsia" w:eastAsia="宋体"/>
                      <w:color w:val="auto"/>
                      <w:highlight w:val="none"/>
                      <w:lang w:eastAsia="zh-CN"/>
                    </w:rPr>
                    <w:t>。</w:t>
                  </w:r>
                  <w:r>
                    <w:rPr>
                      <w:rFonts w:hint="eastAsia" w:eastAsia="宋体"/>
                      <w:highlight w:val="none"/>
                      <w:lang w:eastAsia="zh-CN"/>
                    </w:rPr>
                    <w:t>生活污水量也比较少，</w:t>
                  </w: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highlight w:val="none"/>
                      <w:lang w:eastAsia="zh-CN"/>
                    </w:rPr>
                    <w:t>待园区污水管网接通后排入管网</w:t>
                  </w:r>
                </w:p>
              </w:tc>
              <w:tc>
                <w:tcPr>
                  <w:tcW w:w="433" w:type="pct"/>
                  <w:tcBorders>
                    <w:tl2br w:val="nil"/>
                    <w:tr2bl w:val="nil"/>
                  </w:tcBorders>
                  <w:vAlign w:val="center"/>
                </w:tcPr>
                <w:p w14:paraId="0BEBA3A3">
                  <w:pPr>
                    <w:pStyle w:val="55"/>
                    <w:keepNext w:val="0"/>
                    <w:keepLines w:val="0"/>
                    <w:pageBreakBefore w:val="0"/>
                    <w:widowControl w:val="0"/>
                    <w:kinsoku/>
                    <w:wordWrap/>
                    <w:overflowPunct/>
                    <w:topLinePunct w:val="0"/>
                    <w:bidi w:val="0"/>
                    <w:adjustRightInd w:val="0"/>
                    <w:snapToGrid w:val="0"/>
                    <w:spacing w:line="240" w:lineRule="auto"/>
                    <w:ind w:firstLine="0" w:firstLineChars="0"/>
                    <w:jc w:val="center"/>
                    <w:rPr>
                      <w:highlight w:val="none"/>
                    </w:rPr>
                  </w:pPr>
                  <w:r>
                    <w:rPr>
                      <w:rFonts w:hint="eastAsia"/>
                      <w:highlight w:val="none"/>
                    </w:rPr>
                    <w:t>/</w:t>
                  </w:r>
                </w:p>
              </w:tc>
            </w:tr>
            <w:tr w14:paraId="754F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tcBorders>
                    <w:tl2br w:val="nil"/>
                    <w:tr2bl w:val="nil"/>
                  </w:tcBorders>
                  <w:vAlign w:val="center"/>
                </w:tcPr>
                <w:p w14:paraId="6884CC94">
                  <w:pPr>
                    <w:pStyle w:val="55"/>
                    <w:rPr>
                      <w:highlight w:val="none"/>
                    </w:rPr>
                  </w:pPr>
                  <w:r>
                    <w:rPr>
                      <w:highlight w:val="none"/>
                      <w:lang w:val="zh-CN"/>
                    </w:rPr>
                    <w:t>环保工程</w:t>
                  </w:r>
                </w:p>
              </w:tc>
              <w:tc>
                <w:tcPr>
                  <w:tcW w:w="949" w:type="pct"/>
                  <w:tcBorders>
                    <w:tl2br w:val="nil"/>
                    <w:tr2bl w:val="nil"/>
                  </w:tcBorders>
                  <w:vAlign w:val="center"/>
                </w:tcPr>
                <w:p w14:paraId="49A92D7F">
                  <w:pPr>
                    <w:pStyle w:val="55"/>
                    <w:rPr>
                      <w:highlight w:val="none"/>
                    </w:rPr>
                  </w:pPr>
                  <w:r>
                    <w:rPr>
                      <w:rFonts w:hint="eastAsia"/>
                      <w:highlight w:val="none"/>
                    </w:rPr>
                    <w:t>废气</w:t>
                  </w:r>
                </w:p>
              </w:tc>
              <w:tc>
                <w:tcPr>
                  <w:tcW w:w="3202" w:type="pct"/>
                  <w:tcBorders>
                    <w:tl2br w:val="nil"/>
                    <w:tr2bl w:val="nil"/>
                  </w:tcBorders>
                  <w:vAlign w:val="center"/>
                </w:tcPr>
                <w:p w14:paraId="167588EA">
                  <w:pPr>
                    <w:pStyle w:val="55"/>
                    <w:jc w:val="center"/>
                    <w:rPr>
                      <w:highlight w:val="none"/>
                    </w:rPr>
                  </w:pPr>
                  <w:r>
                    <w:rPr>
                      <w:rFonts w:hint="eastAsia"/>
                      <w:highlight w:val="none"/>
                    </w:rPr>
                    <w:t>生产线分选球磨过程产生的颗粒物经密闭收集后通过布袋除尘器处理后由1根</w:t>
                  </w:r>
                  <w:r>
                    <w:rPr>
                      <w:rFonts w:hint="eastAsia"/>
                      <w:highlight w:val="none"/>
                      <w:lang w:val="en-US" w:eastAsia="zh-CN"/>
                    </w:rPr>
                    <w:t>22</w:t>
                  </w:r>
                  <w:r>
                    <w:rPr>
                      <w:rFonts w:hint="eastAsia"/>
                      <w:highlight w:val="none"/>
                    </w:rPr>
                    <w:t>m高排气筒排放；厂房内定期洒水降尘、清扫</w:t>
                  </w:r>
                  <w:r>
                    <w:rPr>
                      <w:rFonts w:hint="eastAsia"/>
                      <w:highlight w:val="none"/>
                      <w:lang w:eastAsia="zh-CN"/>
                    </w:rPr>
                    <w:t>，</w:t>
                  </w:r>
                  <w:r>
                    <w:rPr>
                      <w:rFonts w:hint="default" w:ascii="Times New Roman" w:hAnsi="Times New Roman" w:eastAsia="宋体" w:cs="Times New Roman"/>
                      <w:highlight w:val="none"/>
                      <w:lang w:val="en-US" w:eastAsia="zh-CN"/>
                    </w:rPr>
                    <w:t>运输</w:t>
                  </w:r>
                  <w:r>
                    <w:rPr>
                      <w:rFonts w:hint="eastAsia" w:ascii="Times New Roman" w:hAnsi="Times New Roman" w:eastAsia="宋体" w:cs="Times New Roman"/>
                      <w:highlight w:val="none"/>
                      <w:lang w:val="en-US" w:eastAsia="zh-CN"/>
                    </w:rPr>
                    <w:t>道路</w:t>
                  </w:r>
                  <w:r>
                    <w:rPr>
                      <w:rFonts w:hint="default" w:ascii="Times New Roman" w:hAnsi="Times New Roman" w:eastAsia="宋体" w:cs="Times New Roman"/>
                      <w:highlight w:val="none"/>
                      <w:lang w:val="en-US" w:eastAsia="zh-CN"/>
                    </w:rPr>
                    <w:t>洒水抑尘、篷布遮盖</w:t>
                  </w:r>
                  <w:r>
                    <w:rPr>
                      <w:rFonts w:hint="eastAsia" w:ascii="Times New Roman" w:hAnsi="Times New Roman" w:eastAsia="宋体" w:cs="Times New Roman"/>
                      <w:highlight w:val="none"/>
                      <w:lang w:val="en-US" w:eastAsia="zh-CN"/>
                    </w:rPr>
                    <w:t>原料运输车辆</w:t>
                  </w:r>
                  <w:r>
                    <w:rPr>
                      <w:rFonts w:hint="default" w:ascii="Times New Roman" w:hAnsi="Times New Roman" w:eastAsia="宋体" w:cs="Times New Roman"/>
                      <w:highlight w:val="none"/>
                      <w:lang w:val="en-US" w:eastAsia="zh-CN"/>
                    </w:rPr>
                    <w:t>、严禁超载、控制车速</w:t>
                  </w:r>
                  <w:r>
                    <w:rPr>
                      <w:rFonts w:hint="eastAsia" w:cs="Times New Roman"/>
                      <w:highlight w:val="none"/>
                      <w:lang w:val="en-US" w:eastAsia="zh-CN"/>
                    </w:rPr>
                    <w:t>，成品库</w:t>
                  </w:r>
                  <w:r>
                    <w:rPr>
                      <w:rFonts w:hint="eastAsia"/>
                      <w:highlight w:val="none"/>
                    </w:rPr>
                    <w:t>定期洒水降尘、清扫</w:t>
                  </w:r>
                  <w:r>
                    <w:rPr>
                      <w:rFonts w:hint="eastAsia" w:cs="Times New Roman"/>
                      <w:highlight w:val="none"/>
                      <w:lang w:val="en-US" w:eastAsia="zh-CN"/>
                    </w:rPr>
                    <w:t>，规划粉煤灰环保库</w:t>
                  </w:r>
                  <w:r>
                    <w:rPr>
                      <w:rFonts w:hint="eastAsia" w:cs="Times New Roman"/>
                      <w:color w:val="000000" w:themeColor="text1"/>
                      <w:kern w:val="2"/>
                      <w:sz w:val="21"/>
                      <w:szCs w:val="21"/>
                      <w:highlight w:val="none"/>
                      <w:lang w:val="en-US" w:eastAsia="zh-CN" w:bidi="ar-SA"/>
                      <w14:textFill>
                        <w14:solidFill>
                          <w14:schemeClr w14:val="tx1"/>
                        </w14:solidFill>
                      </w14:textFill>
                    </w:rPr>
                    <w:t>呼吸通过仓顶除尘器</w:t>
                  </w:r>
                  <w:r>
                    <w:rPr>
                      <w:rFonts w:hint="eastAsia" w:ascii="Times New Roman" w:hAnsi="Times New Roman" w:eastAsia="宋体" w:cs="Times New Roman"/>
                      <w:highlight w:val="none"/>
                      <w:lang w:val="en-US" w:eastAsia="zh-CN"/>
                    </w:rPr>
                    <w:t>；</w:t>
                  </w:r>
                  <w:r>
                    <w:rPr>
                      <w:highlight w:val="none"/>
                    </w:rPr>
                    <w:t>餐饮油烟废气经油烟净化器处理后通过专用烟道引至屋顶排放</w:t>
                  </w:r>
                </w:p>
              </w:tc>
              <w:tc>
                <w:tcPr>
                  <w:tcW w:w="433" w:type="pct"/>
                  <w:tcBorders>
                    <w:tl2br w:val="nil"/>
                    <w:tr2bl w:val="nil"/>
                  </w:tcBorders>
                  <w:vAlign w:val="center"/>
                </w:tcPr>
                <w:p w14:paraId="361240DD">
                  <w:pPr>
                    <w:pStyle w:val="55"/>
                    <w:rPr>
                      <w:highlight w:val="none"/>
                    </w:rPr>
                  </w:pPr>
                  <w:r>
                    <w:rPr>
                      <w:rFonts w:hint="eastAsia"/>
                      <w:highlight w:val="none"/>
                    </w:rPr>
                    <w:t>/</w:t>
                  </w:r>
                </w:p>
              </w:tc>
            </w:tr>
            <w:tr w14:paraId="5BC9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7C45887D">
                  <w:pPr>
                    <w:pStyle w:val="55"/>
                    <w:rPr>
                      <w:highlight w:val="none"/>
                    </w:rPr>
                  </w:pPr>
                </w:p>
              </w:tc>
              <w:tc>
                <w:tcPr>
                  <w:tcW w:w="949" w:type="pct"/>
                  <w:tcBorders>
                    <w:tl2br w:val="nil"/>
                    <w:tr2bl w:val="nil"/>
                  </w:tcBorders>
                  <w:vAlign w:val="center"/>
                </w:tcPr>
                <w:p w14:paraId="12923141">
                  <w:pPr>
                    <w:pStyle w:val="55"/>
                    <w:rPr>
                      <w:highlight w:val="none"/>
                    </w:rPr>
                  </w:pPr>
                  <w:r>
                    <w:rPr>
                      <w:rFonts w:hint="eastAsia"/>
                      <w:highlight w:val="none"/>
                    </w:rPr>
                    <w:t>废水</w:t>
                  </w:r>
                </w:p>
              </w:tc>
              <w:tc>
                <w:tcPr>
                  <w:tcW w:w="3202" w:type="pct"/>
                  <w:tcBorders>
                    <w:tl2br w:val="nil"/>
                    <w:tr2bl w:val="nil"/>
                  </w:tcBorders>
                  <w:vAlign w:val="center"/>
                </w:tcPr>
                <w:p w14:paraId="0D78383F">
                  <w:pPr>
                    <w:pStyle w:val="55"/>
                    <w:jc w:val="center"/>
                    <w:rPr>
                      <w:rFonts w:hint="eastAsia" w:eastAsia="宋体"/>
                      <w:highlight w:val="none"/>
                      <w:lang w:eastAsia="zh-CN"/>
                    </w:rPr>
                  </w:pPr>
                  <w:r>
                    <w:rPr>
                      <w:rFonts w:hint="eastAsia" w:eastAsia="宋体"/>
                      <w:highlight w:val="none"/>
                      <w:lang w:eastAsia="zh-CN"/>
                    </w:rPr>
                    <w:t>项目产生的废水主要是设备冷却用水和少量的生活污水。设备冷却水循环利用</w:t>
                  </w:r>
                  <w:r>
                    <w:rPr>
                      <w:rFonts w:hint="eastAsia" w:eastAsia="宋体"/>
                      <w:color w:val="auto"/>
                      <w:highlight w:val="none"/>
                      <w:lang w:eastAsia="zh-CN"/>
                    </w:rPr>
                    <w:t>。</w:t>
                  </w:r>
                  <w:r>
                    <w:rPr>
                      <w:rFonts w:hint="eastAsia" w:eastAsia="宋体"/>
                      <w:highlight w:val="none"/>
                      <w:lang w:eastAsia="zh-CN"/>
                    </w:rPr>
                    <w:t>生活污水量也比较少，</w:t>
                  </w: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highlight w:val="none"/>
                      <w:lang w:eastAsia="zh-CN"/>
                    </w:rPr>
                    <w:t>待园区污水管网接通后排入管网</w:t>
                  </w:r>
                </w:p>
              </w:tc>
              <w:tc>
                <w:tcPr>
                  <w:tcW w:w="433" w:type="pct"/>
                  <w:tcBorders>
                    <w:tl2br w:val="nil"/>
                    <w:tr2bl w:val="nil"/>
                  </w:tcBorders>
                  <w:vAlign w:val="center"/>
                </w:tcPr>
                <w:p w14:paraId="5812941D">
                  <w:pPr>
                    <w:pStyle w:val="55"/>
                    <w:rPr>
                      <w:highlight w:val="none"/>
                    </w:rPr>
                  </w:pPr>
                  <w:r>
                    <w:rPr>
                      <w:rFonts w:hint="eastAsia"/>
                      <w:highlight w:val="none"/>
                    </w:rPr>
                    <w:t>/</w:t>
                  </w:r>
                </w:p>
              </w:tc>
            </w:tr>
            <w:tr w14:paraId="6BAF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tcBorders>
                    <w:tl2br w:val="nil"/>
                    <w:tr2bl w:val="nil"/>
                  </w:tcBorders>
                  <w:vAlign w:val="center"/>
                </w:tcPr>
                <w:p w14:paraId="49BCFA3C">
                  <w:pPr>
                    <w:pStyle w:val="55"/>
                    <w:rPr>
                      <w:highlight w:val="none"/>
                    </w:rPr>
                  </w:pPr>
                </w:p>
              </w:tc>
              <w:tc>
                <w:tcPr>
                  <w:tcW w:w="949" w:type="pct"/>
                  <w:tcBorders>
                    <w:tl2br w:val="nil"/>
                    <w:tr2bl w:val="nil"/>
                  </w:tcBorders>
                  <w:vAlign w:val="center"/>
                </w:tcPr>
                <w:p w14:paraId="71D8A1B1">
                  <w:pPr>
                    <w:pStyle w:val="55"/>
                    <w:rPr>
                      <w:highlight w:val="none"/>
                    </w:rPr>
                  </w:pPr>
                  <w:r>
                    <w:rPr>
                      <w:rFonts w:hint="eastAsia"/>
                      <w:highlight w:val="none"/>
                    </w:rPr>
                    <w:t>噪声</w:t>
                  </w:r>
                </w:p>
              </w:tc>
              <w:tc>
                <w:tcPr>
                  <w:tcW w:w="3202" w:type="pct"/>
                  <w:tcBorders>
                    <w:tl2br w:val="nil"/>
                    <w:tr2bl w:val="nil"/>
                  </w:tcBorders>
                  <w:vAlign w:val="center"/>
                </w:tcPr>
                <w:p w14:paraId="1EBFF199">
                  <w:pPr>
                    <w:pStyle w:val="55"/>
                    <w:jc w:val="center"/>
                    <w:rPr>
                      <w:highlight w:val="none"/>
                    </w:rPr>
                  </w:pPr>
                  <w:r>
                    <w:rPr>
                      <w:rFonts w:hint="eastAsia"/>
                      <w:highlight w:val="none"/>
                    </w:rPr>
                    <w:t>选用低噪声设备、基础减震、厂房隔声</w:t>
                  </w:r>
                </w:p>
              </w:tc>
              <w:tc>
                <w:tcPr>
                  <w:tcW w:w="433" w:type="pct"/>
                  <w:tcBorders>
                    <w:tl2br w:val="nil"/>
                    <w:tr2bl w:val="nil"/>
                  </w:tcBorders>
                  <w:vAlign w:val="center"/>
                </w:tcPr>
                <w:p w14:paraId="44A43C72">
                  <w:pPr>
                    <w:pStyle w:val="55"/>
                    <w:rPr>
                      <w:highlight w:val="none"/>
                    </w:rPr>
                  </w:pPr>
                  <w:r>
                    <w:rPr>
                      <w:rFonts w:hint="eastAsia"/>
                      <w:highlight w:val="none"/>
                    </w:rPr>
                    <w:t>/</w:t>
                  </w:r>
                </w:p>
              </w:tc>
            </w:tr>
            <w:tr w14:paraId="79EF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vMerge w:val="continue"/>
                  <w:tcBorders>
                    <w:tl2br w:val="nil"/>
                    <w:tr2bl w:val="nil"/>
                  </w:tcBorders>
                  <w:vAlign w:val="center"/>
                </w:tcPr>
                <w:p w14:paraId="4DBE34A8">
                  <w:pPr>
                    <w:pStyle w:val="55"/>
                    <w:rPr>
                      <w:highlight w:val="none"/>
                    </w:rPr>
                  </w:pPr>
                </w:p>
              </w:tc>
              <w:tc>
                <w:tcPr>
                  <w:tcW w:w="949" w:type="pct"/>
                  <w:tcBorders>
                    <w:tl2br w:val="nil"/>
                    <w:tr2bl w:val="nil"/>
                  </w:tcBorders>
                  <w:vAlign w:val="center"/>
                </w:tcPr>
                <w:p w14:paraId="14F700E7">
                  <w:pPr>
                    <w:pStyle w:val="55"/>
                    <w:rPr>
                      <w:highlight w:val="none"/>
                    </w:rPr>
                  </w:pPr>
                  <w:r>
                    <w:rPr>
                      <w:rFonts w:hint="eastAsia"/>
                      <w:highlight w:val="none"/>
                    </w:rPr>
                    <w:t>固废</w:t>
                  </w:r>
                </w:p>
              </w:tc>
              <w:tc>
                <w:tcPr>
                  <w:tcW w:w="3202" w:type="pct"/>
                  <w:tcBorders>
                    <w:tl2br w:val="nil"/>
                    <w:tr2bl w:val="nil"/>
                  </w:tcBorders>
                  <w:vAlign w:val="center"/>
                </w:tcPr>
                <w:p w14:paraId="62EA58A9">
                  <w:pPr>
                    <w:pStyle w:val="55"/>
                    <w:jc w:val="center"/>
                    <w:rPr>
                      <w:highlight w:val="none"/>
                    </w:rPr>
                  </w:pPr>
                  <w:r>
                    <w:rPr>
                      <w:rFonts w:hint="eastAsia"/>
                      <w:highlight w:val="none"/>
                    </w:rPr>
                    <w:t>生活垃圾</w:t>
                  </w:r>
                  <w:r>
                    <w:rPr>
                      <w:rFonts w:hint="eastAsia"/>
                      <w:highlight w:val="none"/>
                      <w:lang w:eastAsia="zh-CN"/>
                    </w:rPr>
                    <w:t>、</w:t>
                  </w:r>
                  <w:r>
                    <w:rPr>
                      <w:rFonts w:hint="eastAsia"/>
                      <w:highlight w:val="none"/>
                      <w:lang w:val="en-US" w:eastAsia="zh-CN"/>
                    </w:rPr>
                    <w:t>化粪池污泥</w:t>
                  </w:r>
                  <w:r>
                    <w:rPr>
                      <w:highlight w:val="none"/>
                    </w:rPr>
                    <w:t>集中收集后交环卫部门</w:t>
                  </w:r>
                  <w:r>
                    <w:rPr>
                      <w:rFonts w:hint="eastAsia"/>
                      <w:highlight w:val="none"/>
                    </w:rPr>
                    <w:t>统一清运；废旧布袋集中收集后</w:t>
                  </w:r>
                  <w:r>
                    <w:rPr>
                      <w:rFonts w:hint="eastAsia"/>
                      <w:highlight w:val="none"/>
                      <w:lang w:val="en-US" w:eastAsia="zh-CN"/>
                    </w:rPr>
                    <w:t>由生产厂家回收处理</w:t>
                  </w:r>
                  <w:r>
                    <w:rPr>
                      <w:rFonts w:hint="eastAsia"/>
                      <w:highlight w:val="none"/>
                    </w:rPr>
                    <w:t>；除尘器收集粉尘</w:t>
                  </w:r>
                  <w:r>
                    <w:rPr>
                      <w:rFonts w:hint="eastAsia"/>
                      <w:highlight w:val="none"/>
                      <w:lang w:eastAsia="zh-CN"/>
                    </w:rPr>
                    <w:t>、</w:t>
                  </w:r>
                  <w:r>
                    <w:rPr>
                      <w:rFonts w:hint="eastAsia"/>
                      <w:highlight w:val="none"/>
                      <w:lang w:val="en-US" w:eastAsia="zh-CN"/>
                    </w:rPr>
                    <w:t>粗渣作为原料</w:t>
                  </w:r>
                  <w:r>
                    <w:rPr>
                      <w:rFonts w:hint="eastAsia"/>
                      <w:highlight w:val="none"/>
                    </w:rPr>
                    <w:t>回用于生产线，进入产品；</w:t>
                  </w:r>
                  <w:r>
                    <w:rPr>
                      <w:rFonts w:hint="eastAsia"/>
                      <w:highlight w:val="none"/>
                      <w:lang w:eastAsia="zh-CN"/>
                    </w:rPr>
                    <w:t>废润滑油、</w:t>
                  </w:r>
                  <w:r>
                    <w:rPr>
                      <w:rFonts w:hint="eastAsia"/>
                      <w:highlight w:val="none"/>
                      <w:lang w:val="en-US" w:eastAsia="zh-CN"/>
                    </w:rPr>
                    <w:t>废油桶</w:t>
                  </w:r>
                  <w:r>
                    <w:rPr>
                      <w:rFonts w:hint="eastAsia"/>
                      <w:highlight w:val="none"/>
                    </w:rPr>
                    <w:t>作为危险废物暂存至危险废物</w:t>
                  </w:r>
                  <w:r>
                    <w:rPr>
                      <w:rFonts w:hint="eastAsia"/>
                      <w:highlight w:val="none"/>
                      <w:lang w:val="en-US" w:eastAsia="zh-CN"/>
                    </w:rPr>
                    <w:t>贮存库</w:t>
                  </w:r>
                  <w:r>
                    <w:rPr>
                      <w:rFonts w:hint="eastAsia"/>
                      <w:highlight w:val="none"/>
                    </w:rPr>
                    <w:t>，交由有资质的单位处置</w:t>
                  </w:r>
                </w:p>
              </w:tc>
              <w:tc>
                <w:tcPr>
                  <w:tcW w:w="433" w:type="pct"/>
                  <w:tcBorders>
                    <w:tl2br w:val="nil"/>
                    <w:tr2bl w:val="nil"/>
                  </w:tcBorders>
                  <w:vAlign w:val="center"/>
                </w:tcPr>
                <w:p w14:paraId="535834D1">
                  <w:pPr>
                    <w:pStyle w:val="55"/>
                    <w:rPr>
                      <w:highlight w:val="none"/>
                    </w:rPr>
                  </w:pPr>
                  <w:r>
                    <w:rPr>
                      <w:rFonts w:hint="eastAsia"/>
                      <w:highlight w:val="none"/>
                    </w:rPr>
                    <w:t>/</w:t>
                  </w:r>
                </w:p>
              </w:tc>
            </w:tr>
            <w:tr w14:paraId="53D3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vMerge w:val="continue"/>
                  <w:tcBorders>
                    <w:tl2br w:val="nil"/>
                    <w:tr2bl w:val="nil"/>
                  </w:tcBorders>
                  <w:vAlign w:val="center"/>
                </w:tcPr>
                <w:p w14:paraId="206936AF">
                  <w:pPr>
                    <w:pStyle w:val="55"/>
                    <w:rPr>
                      <w:highlight w:val="none"/>
                    </w:rPr>
                  </w:pPr>
                </w:p>
              </w:tc>
              <w:tc>
                <w:tcPr>
                  <w:tcW w:w="949" w:type="pct"/>
                  <w:tcBorders>
                    <w:tl2br w:val="nil"/>
                    <w:tr2bl w:val="nil"/>
                  </w:tcBorders>
                  <w:vAlign w:val="center"/>
                </w:tcPr>
                <w:p w14:paraId="56B2A2CA">
                  <w:pPr>
                    <w:pStyle w:val="55"/>
                    <w:ind w:firstLine="0" w:firstLineChars="0"/>
                    <w:rPr>
                      <w:rFonts w:hint="eastAsia" w:eastAsia="宋体"/>
                      <w:highlight w:val="none"/>
                      <w:lang w:val="en-US" w:eastAsia="zh-CN"/>
                    </w:rPr>
                  </w:pPr>
                  <w:r>
                    <w:rPr>
                      <w:rFonts w:hint="eastAsia"/>
                      <w:highlight w:val="none"/>
                    </w:rPr>
                    <w:t>危险废物</w:t>
                  </w:r>
                  <w:r>
                    <w:rPr>
                      <w:rFonts w:hint="eastAsia"/>
                      <w:highlight w:val="none"/>
                      <w:lang w:val="en-US" w:eastAsia="zh-CN"/>
                    </w:rPr>
                    <w:t>贮存库</w:t>
                  </w:r>
                </w:p>
              </w:tc>
              <w:tc>
                <w:tcPr>
                  <w:tcW w:w="3202" w:type="pct"/>
                  <w:tcBorders>
                    <w:tl2br w:val="nil"/>
                    <w:tr2bl w:val="nil"/>
                  </w:tcBorders>
                  <w:vAlign w:val="center"/>
                </w:tcPr>
                <w:p w14:paraId="79A9436E">
                  <w:pPr>
                    <w:pStyle w:val="55"/>
                    <w:ind w:firstLine="0" w:firstLineChars="0"/>
                    <w:jc w:val="center"/>
                    <w:rPr>
                      <w:rFonts w:hint="eastAsia"/>
                      <w:highlight w:val="none"/>
                    </w:rPr>
                  </w:pPr>
                  <w:r>
                    <w:rPr>
                      <w:rFonts w:hint="eastAsia"/>
                      <w:highlight w:val="none"/>
                      <w:lang w:val="en-US" w:eastAsia="zh-CN"/>
                    </w:rPr>
                    <w:t>建筑面积5m</w:t>
                  </w:r>
                  <w:r>
                    <w:rPr>
                      <w:rFonts w:hint="eastAsia"/>
                      <w:highlight w:val="none"/>
                      <w:vertAlign w:val="superscript"/>
                      <w:lang w:val="en-US" w:eastAsia="zh-CN"/>
                    </w:rPr>
                    <w:t>2</w:t>
                  </w:r>
                  <w:r>
                    <w:rPr>
                      <w:rFonts w:hint="eastAsia"/>
                      <w:highlight w:val="none"/>
                      <w:lang w:val="en-US" w:eastAsia="zh-CN"/>
                    </w:rPr>
                    <w:t>，</w:t>
                  </w:r>
                  <w:r>
                    <w:rPr>
                      <w:rFonts w:hint="eastAsia"/>
                      <w:color w:val="auto"/>
                      <w:highlight w:val="none"/>
                    </w:rPr>
                    <w:t>严格按照《危险废物贮存污染控制标准》（GB18597-2023）要求建设，基础防渗，防渗层为至少</w:t>
                  </w:r>
                  <w:r>
                    <w:rPr>
                      <w:color w:val="auto"/>
                      <w:highlight w:val="none"/>
                    </w:rPr>
                    <w:t>1m</w:t>
                  </w:r>
                  <w:r>
                    <w:rPr>
                      <w:rFonts w:hint="eastAsia"/>
                      <w:color w:val="auto"/>
                      <w:highlight w:val="none"/>
                    </w:rPr>
                    <w:t>厚黏土层（渗透系数不大于</w:t>
                  </w:r>
                  <w:r>
                    <w:rPr>
                      <w:color w:val="auto"/>
                      <w:highlight w:val="none"/>
                    </w:rPr>
                    <w:t>10</w:t>
                  </w:r>
                  <w:r>
                    <w:rPr>
                      <w:color w:val="auto"/>
                      <w:highlight w:val="none"/>
                      <w:vertAlign w:val="superscript"/>
                    </w:rPr>
                    <w:t>-7</w:t>
                  </w:r>
                  <w:r>
                    <w:rPr>
                      <w:color w:val="auto"/>
                      <w:highlight w:val="none"/>
                    </w:rPr>
                    <w:t>cm/s</w:t>
                  </w:r>
                  <w:r>
                    <w:rPr>
                      <w:rFonts w:hint="eastAsia"/>
                      <w:color w:val="auto"/>
                      <w:highlight w:val="none"/>
                    </w:rPr>
                    <w:t>），或至少</w:t>
                  </w:r>
                  <w:r>
                    <w:rPr>
                      <w:color w:val="auto"/>
                      <w:highlight w:val="none"/>
                    </w:rPr>
                    <w:t>2mm</w:t>
                  </w:r>
                  <w:r>
                    <w:rPr>
                      <w:rFonts w:hint="eastAsia"/>
                      <w:color w:val="auto"/>
                      <w:highlight w:val="none"/>
                    </w:rPr>
                    <w:t>厚高密度聚乙烯膜等人工防渗材料（渗透系数不大于</w:t>
                  </w:r>
                  <w:r>
                    <w:rPr>
                      <w:color w:val="auto"/>
                      <w:highlight w:val="none"/>
                    </w:rPr>
                    <w:t>10</w:t>
                  </w:r>
                  <w:r>
                    <w:rPr>
                      <w:color w:val="auto"/>
                      <w:highlight w:val="none"/>
                      <w:vertAlign w:val="superscript"/>
                    </w:rPr>
                    <w:t>-10</w:t>
                  </w:r>
                  <w:r>
                    <w:rPr>
                      <w:color w:val="auto"/>
                      <w:highlight w:val="none"/>
                    </w:rPr>
                    <w:t>cm/s</w:t>
                  </w:r>
                  <w:r>
                    <w:rPr>
                      <w:rFonts w:hint="eastAsia"/>
                      <w:color w:val="auto"/>
                      <w:highlight w:val="none"/>
                    </w:rPr>
                    <w:t>）</w:t>
                  </w:r>
                </w:p>
              </w:tc>
              <w:tc>
                <w:tcPr>
                  <w:tcW w:w="433" w:type="pct"/>
                  <w:tcBorders>
                    <w:tl2br w:val="nil"/>
                    <w:tr2bl w:val="nil"/>
                  </w:tcBorders>
                  <w:vAlign w:val="center"/>
                </w:tcPr>
                <w:p w14:paraId="25DF3919">
                  <w:pPr>
                    <w:pStyle w:val="55"/>
                    <w:rPr>
                      <w:rFonts w:hint="default" w:eastAsia="宋体"/>
                      <w:highlight w:val="none"/>
                      <w:lang w:val="en-US" w:eastAsia="zh-CN"/>
                    </w:rPr>
                  </w:pPr>
                  <w:r>
                    <w:rPr>
                      <w:rFonts w:hint="eastAsia"/>
                      <w:highlight w:val="none"/>
                      <w:lang w:val="en-US" w:eastAsia="zh-CN"/>
                    </w:rPr>
                    <w:t>/</w:t>
                  </w:r>
                </w:p>
              </w:tc>
            </w:tr>
            <w:tr w14:paraId="517A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pct"/>
                  <w:vMerge w:val="continue"/>
                  <w:tcBorders>
                    <w:tl2br w:val="nil"/>
                    <w:tr2bl w:val="nil"/>
                  </w:tcBorders>
                  <w:vAlign w:val="center"/>
                </w:tcPr>
                <w:p w14:paraId="65DFF7C7">
                  <w:pPr>
                    <w:pStyle w:val="55"/>
                    <w:rPr>
                      <w:rFonts w:hint="default" w:eastAsia="宋体"/>
                      <w:highlight w:val="none"/>
                      <w:lang w:val="en-US" w:eastAsia="zh-CN"/>
                    </w:rPr>
                  </w:pPr>
                </w:p>
              </w:tc>
              <w:tc>
                <w:tcPr>
                  <w:tcW w:w="949" w:type="pct"/>
                  <w:tcBorders>
                    <w:tl2br w:val="nil"/>
                    <w:tr2bl w:val="nil"/>
                  </w:tcBorders>
                  <w:vAlign w:val="center"/>
                </w:tcPr>
                <w:p w14:paraId="1B03D610">
                  <w:pPr>
                    <w:pStyle w:val="55"/>
                    <w:rPr>
                      <w:rFonts w:hint="default"/>
                      <w:highlight w:val="none"/>
                      <w:lang w:val="en-US" w:eastAsia="zh-CN"/>
                    </w:rPr>
                  </w:pPr>
                  <w:r>
                    <w:rPr>
                      <w:rFonts w:hint="eastAsia"/>
                      <w:highlight w:val="none"/>
                      <w:lang w:val="en-US" w:eastAsia="zh-CN"/>
                    </w:rPr>
                    <w:t>绿化</w:t>
                  </w:r>
                </w:p>
              </w:tc>
              <w:tc>
                <w:tcPr>
                  <w:tcW w:w="3202" w:type="pct"/>
                  <w:tcBorders>
                    <w:tl2br w:val="nil"/>
                    <w:tr2bl w:val="nil"/>
                  </w:tcBorders>
                  <w:vAlign w:val="center"/>
                </w:tcPr>
                <w:p w14:paraId="12CE3443">
                  <w:pPr>
                    <w:pStyle w:val="55"/>
                    <w:jc w:val="center"/>
                    <w:rPr>
                      <w:highlight w:val="none"/>
                    </w:rPr>
                  </w:pPr>
                  <w:r>
                    <w:rPr>
                      <w:rFonts w:hint="eastAsia"/>
                      <w:color w:val="auto"/>
                      <w:kern w:val="0"/>
                      <w:highlight w:val="none"/>
                      <w:lang w:val="en-US" w:eastAsia="zh-CN"/>
                    </w:rPr>
                    <w:t>厂区进行绿化，</w:t>
                  </w:r>
                  <w:r>
                    <w:rPr>
                      <w:rFonts w:hint="eastAsia"/>
                      <w:highlight w:val="none"/>
                    </w:rPr>
                    <w:t>绿化面积</w:t>
                  </w:r>
                  <w:r>
                    <w:rPr>
                      <w:rFonts w:hint="eastAsia"/>
                      <w:highlight w:val="none"/>
                      <w:lang w:val="en-US" w:eastAsia="zh-CN"/>
                    </w:rPr>
                    <w:t>1467</w:t>
                  </w:r>
                  <w:r>
                    <w:rPr>
                      <w:rFonts w:hint="eastAsia"/>
                      <w:highlight w:val="none"/>
                    </w:rPr>
                    <w:t>平方米</w:t>
                  </w:r>
                </w:p>
              </w:tc>
              <w:tc>
                <w:tcPr>
                  <w:tcW w:w="433" w:type="pct"/>
                  <w:tcBorders>
                    <w:tl2br w:val="nil"/>
                    <w:tr2bl w:val="nil"/>
                  </w:tcBorders>
                  <w:vAlign w:val="center"/>
                </w:tcPr>
                <w:p w14:paraId="6B3E1344">
                  <w:pPr>
                    <w:pStyle w:val="55"/>
                    <w:rPr>
                      <w:rFonts w:hint="default"/>
                      <w:highlight w:val="none"/>
                      <w:lang w:val="en-US" w:eastAsia="zh-CN"/>
                    </w:rPr>
                  </w:pPr>
                  <w:r>
                    <w:rPr>
                      <w:rFonts w:hint="eastAsia"/>
                      <w:highlight w:val="none"/>
                      <w:lang w:val="en-US" w:eastAsia="zh-CN"/>
                    </w:rPr>
                    <w:t>/</w:t>
                  </w:r>
                </w:p>
              </w:tc>
            </w:tr>
          </w:tbl>
          <w:p w14:paraId="66811E3D">
            <w:pPr>
              <w:pStyle w:val="3"/>
              <w:rPr>
                <w:highlight w:val="none"/>
              </w:rPr>
            </w:pPr>
            <w:r>
              <w:rPr>
                <w:rFonts w:hint="default" w:ascii="Times New Roman" w:hAnsi="Times New Roman" w:cs="Times New Roman"/>
                <w:highlight w:val="none"/>
              </w:rPr>
              <w:t>2.2</w:t>
            </w:r>
            <w:r>
              <w:rPr>
                <w:rFonts w:hint="eastAsia"/>
                <w:highlight w:val="none"/>
              </w:rPr>
              <w:t>项目主要设备</w:t>
            </w:r>
          </w:p>
          <w:p w14:paraId="02720007">
            <w:pPr>
              <w:ind w:firstLine="480"/>
              <w:rPr>
                <w:highlight w:val="none"/>
              </w:rPr>
            </w:pPr>
            <w:r>
              <w:rPr>
                <w:rFonts w:hint="eastAsia"/>
                <w:highlight w:val="none"/>
              </w:rPr>
              <w:t>主要生产设备见表2-2。</w:t>
            </w:r>
          </w:p>
          <w:p w14:paraId="6A77B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2-2</w:t>
            </w:r>
            <w:r>
              <w:rPr>
                <w:rFonts w:hint="eastAsia"/>
                <w:b/>
                <w:bCs/>
                <w:color w:val="auto"/>
                <w:kern w:val="0"/>
                <w:sz w:val="21"/>
                <w:szCs w:val="21"/>
                <w:highlight w:val="none"/>
              </w:rPr>
              <w:t xml:space="preserve">  项目主要设备</w:t>
            </w:r>
          </w:p>
          <w:tbl>
            <w:tblPr>
              <w:tblStyle w:val="31"/>
              <w:tblW w:w="7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18"/>
              <w:gridCol w:w="4146"/>
              <w:gridCol w:w="467"/>
              <w:gridCol w:w="602"/>
            </w:tblGrid>
            <w:tr w14:paraId="3E65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vAlign w:val="center"/>
                </w:tcPr>
                <w:p w14:paraId="0D7343FD">
                  <w:pPr>
                    <w:pStyle w:val="55"/>
                    <w:rPr>
                      <w:highlight w:val="none"/>
                    </w:rPr>
                  </w:pPr>
                  <w:r>
                    <w:rPr>
                      <w:rFonts w:hint="eastAsia"/>
                      <w:highlight w:val="none"/>
                    </w:rPr>
                    <w:t>序号</w:t>
                  </w:r>
                </w:p>
              </w:tc>
              <w:tc>
                <w:tcPr>
                  <w:tcW w:w="1818" w:type="dxa"/>
                  <w:vAlign w:val="center"/>
                </w:tcPr>
                <w:p w14:paraId="1A03F271">
                  <w:pPr>
                    <w:pStyle w:val="55"/>
                    <w:rPr>
                      <w:highlight w:val="none"/>
                    </w:rPr>
                  </w:pPr>
                  <w:r>
                    <w:rPr>
                      <w:rFonts w:hint="eastAsia"/>
                      <w:highlight w:val="none"/>
                    </w:rPr>
                    <w:t>设备名称</w:t>
                  </w:r>
                </w:p>
              </w:tc>
              <w:tc>
                <w:tcPr>
                  <w:tcW w:w="4146" w:type="dxa"/>
                  <w:vAlign w:val="center"/>
                </w:tcPr>
                <w:p w14:paraId="24788F00">
                  <w:pPr>
                    <w:pStyle w:val="55"/>
                    <w:rPr>
                      <w:highlight w:val="none"/>
                    </w:rPr>
                  </w:pPr>
                  <w:r>
                    <w:rPr>
                      <w:rFonts w:hint="eastAsia"/>
                      <w:highlight w:val="none"/>
                    </w:rPr>
                    <w:t>规格或型号</w:t>
                  </w:r>
                </w:p>
              </w:tc>
              <w:tc>
                <w:tcPr>
                  <w:tcW w:w="467" w:type="dxa"/>
                  <w:vAlign w:val="center"/>
                </w:tcPr>
                <w:p w14:paraId="4012C473">
                  <w:pPr>
                    <w:pStyle w:val="55"/>
                    <w:rPr>
                      <w:highlight w:val="none"/>
                    </w:rPr>
                  </w:pPr>
                  <w:r>
                    <w:rPr>
                      <w:rFonts w:hint="eastAsia"/>
                      <w:highlight w:val="none"/>
                    </w:rPr>
                    <w:t>单位</w:t>
                  </w:r>
                </w:p>
              </w:tc>
              <w:tc>
                <w:tcPr>
                  <w:tcW w:w="602" w:type="dxa"/>
                  <w:vAlign w:val="center"/>
                </w:tcPr>
                <w:p w14:paraId="2B073443">
                  <w:pPr>
                    <w:pStyle w:val="55"/>
                    <w:rPr>
                      <w:highlight w:val="none"/>
                    </w:rPr>
                  </w:pPr>
                  <w:r>
                    <w:rPr>
                      <w:rFonts w:hint="eastAsia"/>
                      <w:highlight w:val="none"/>
                    </w:rPr>
                    <w:t>数量</w:t>
                  </w:r>
                </w:p>
              </w:tc>
            </w:tr>
            <w:tr w14:paraId="26FD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4819D1E6">
                  <w:pPr>
                    <w:pStyle w:val="55"/>
                    <w:rPr>
                      <w:highlight w:val="none"/>
                    </w:rPr>
                  </w:pPr>
                  <w:r>
                    <w:rPr>
                      <w:rFonts w:hint="eastAsia"/>
                      <w:highlight w:val="none"/>
                    </w:rPr>
                    <w:t>1</w:t>
                  </w:r>
                </w:p>
              </w:tc>
              <w:tc>
                <w:tcPr>
                  <w:tcW w:w="1818" w:type="dxa"/>
                  <w:vAlign w:val="center"/>
                </w:tcPr>
                <w:p w14:paraId="21963687">
                  <w:pPr>
                    <w:pStyle w:val="55"/>
                    <w:rPr>
                      <w:highlight w:val="none"/>
                    </w:rPr>
                  </w:pPr>
                  <w:r>
                    <w:rPr>
                      <w:rFonts w:hint="eastAsia" w:ascii="Times New Roman"/>
                      <w:highlight w:val="none"/>
                    </w:rPr>
                    <w:t>球磨机</w:t>
                  </w:r>
                </w:p>
              </w:tc>
              <w:tc>
                <w:tcPr>
                  <w:tcW w:w="4146" w:type="dxa"/>
                  <w:vAlign w:val="center"/>
                </w:tcPr>
                <w:p w14:paraId="1AB6A7F2">
                  <w:pPr>
                    <w:pStyle w:val="55"/>
                    <w:rPr>
                      <w:highlight w:val="none"/>
                    </w:rPr>
                  </w:pPr>
                  <w:r>
                    <w:rPr>
                      <w:rFonts w:hint="eastAsia"/>
                      <w:highlight w:val="none"/>
                    </w:rPr>
                    <w:t>Φ2.2*7.5</w:t>
                  </w:r>
                </w:p>
              </w:tc>
              <w:tc>
                <w:tcPr>
                  <w:tcW w:w="467" w:type="dxa"/>
                  <w:vAlign w:val="center"/>
                </w:tcPr>
                <w:p w14:paraId="6C55ACA7">
                  <w:pPr>
                    <w:pStyle w:val="55"/>
                    <w:rPr>
                      <w:highlight w:val="none"/>
                    </w:rPr>
                  </w:pPr>
                  <w:r>
                    <w:rPr>
                      <w:rFonts w:hint="eastAsia"/>
                      <w:highlight w:val="none"/>
                    </w:rPr>
                    <w:t>台</w:t>
                  </w:r>
                </w:p>
              </w:tc>
              <w:tc>
                <w:tcPr>
                  <w:tcW w:w="602" w:type="dxa"/>
                  <w:vAlign w:val="center"/>
                </w:tcPr>
                <w:p w14:paraId="2DCD7649">
                  <w:pPr>
                    <w:pStyle w:val="55"/>
                    <w:rPr>
                      <w:rFonts w:hint="eastAsia" w:eastAsia="宋体"/>
                      <w:highlight w:val="none"/>
                      <w:lang w:val="en-US" w:eastAsia="zh-CN"/>
                    </w:rPr>
                  </w:pPr>
                  <w:r>
                    <w:rPr>
                      <w:rFonts w:hint="eastAsia"/>
                      <w:highlight w:val="none"/>
                      <w:lang w:val="en-US" w:eastAsia="zh-CN"/>
                    </w:rPr>
                    <w:t>1</w:t>
                  </w:r>
                </w:p>
              </w:tc>
            </w:tr>
            <w:tr w14:paraId="4BA9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03EC7DE5">
                  <w:pPr>
                    <w:pStyle w:val="55"/>
                    <w:ind w:firstLine="0" w:firstLineChars="0"/>
                    <w:rPr>
                      <w:rFonts w:hint="eastAsia" w:ascii="Times New Roman" w:hAnsi="Times New Roman" w:eastAsia="宋体" w:cs="Times New Roman"/>
                      <w:bCs/>
                      <w:color w:val="000000"/>
                      <w:kern w:val="2"/>
                      <w:sz w:val="21"/>
                      <w:szCs w:val="21"/>
                      <w:highlight w:val="none"/>
                      <w:lang w:val="en-US" w:eastAsia="zh-CN" w:bidi="ar-SA"/>
                    </w:rPr>
                  </w:pPr>
                  <w:r>
                    <w:rPr>
                      <w:rFonts w:hint="eastAsia"/>
                      <w:highlight w:val="none"/>
                    </w:rPr>
                    <w:t>2</w:t>
                  </w:r>
                </w:p>
              </w:tc>
              <w:tc>
                <w:tcPr>
                  <w:tcW w:w="1818" w:type="dxa"/>
                  <w:vAlign w:val="center"/>
                </w:tcPr>
                <w:p w14:paraId="5F38A4E0">
                  <w:pPr>
                    <w:pStyle w:val="55"/>
                    <w:rPr>
                      <w:rFonts w:hint="default" w:ascii="Times New Roman" w:eastAsia="宋体"/>
                      <w:highlight w:val="none"/>
                      <w:lang w:val="en-US" w:eastAsia="zh-CN"/>
                    </w:rPr>
                  </w:pPr>
                  <w:r>
                    <w:rPr>
                      <w:rFonts w:hint="eastAsia"/>
                      <w:highlight w:val="none"/>
                      <w:lang w:val="en-US" w:eastAsia="zh-CN"/>
                    </w:rPr>
                    <w:t>选粉机</w:t>
                  </w:r>
                </w:p>
              </w:tc>
              <w:tc>
                <w:tcPr>
                  <w:tcW w:w="4146" w:type="dxa"/>
                  <w:vAlign w:val="center"/>
                </w:tcPr>
                <w:p w14:paraId="60715014">
                  <w:pPr>
                    <w:pStyle w:val="55"/>
                    <w:rPr>
                      <w:rFonts w:hint="eastAsia" w:eastAsia="宋体"/>
                      <w:highlight w:val="none"/>
                      <w:lang w:val="en-US" w:eastAsia="zh-CN"/>
                    </w:rPr>
                  </w:pPr>
                  <w:r>
                    <w:rPr>
                      <w:rFonts w:hint="eastAsia"/>
                      <w:highlight w:val="none"/>
                      <w:lang w:val="en-US" w:eastAsia="zh-CN"/>
                    </w:rPr>
                    <w:t>/</w:t>
                  </w:r>
                </w:p>
              </w:tc>
              <w:tc>
                <w:tcPr>
                  <w:tcW w:w="467" w:type="dxa"/>
                  <w:vAlign w:val="center"/>
                </w:tcPr>
                <w:p w14:paraId="39178A11">
                  <w:pPr>
                    <w:pStyle w:val="55"/>
                    <w:ind w:firstLine="0" w:firstLineChars="0"/>
                    <w:rPr>
                      <w:rFonts w:hint="eastAsia"/>
                      <w:b/>
                      <w:bCs w:val="0"/>
                      <w:highlight w:val="none"/>
                    </w:rPr>
                  </w:pPr>
                  <w:r>
                    <w:rPr>
                      <w:rFonts w:hint="eastAsia"/>
                      <w:highlight w:val="none"/>
                    </w:rPr>
                    <w:t>台</w:t>
                  </w:r>
                </w:p>
              </w:tc>
              <w:tc>
                <w:tcPr>
                  <w:tcW w:w="602" w:type="dxa"/>
                  <w:vAlign w:val="center"/>
                </w:tcPr>
                <w:p w14:paraId="191616E4">
                  <w:pPr>
                    <w:pStyle w:val="55"/>
                    <w:ind w:firstLine="0" w:firstLineChars="0"/>
                    <w:rPr>
                      <w:rFonts w:hint="eastAsia"/>
                      <w:b/>
                      <w:bCs w:val="0"/>
                      <w:highlight w:val="none"/>
                      <w:lang w:val="en-US" w:eastAsia="zh-CN"/>
                    </w:rPr>
                  </w:pPr>
                  <w:r>
                    <w:rPr>
                      <w:rFonts w:hint="eastAsia"/>
                      <w:highlight w:val="none"/>
                      <w:lang w:val="en-US" w:eastAsia="zh-CN"/>
                    </w:rPr>
                    <w:t>1</w:t>
                  </w:r>
                </w:p>
              </w:tc>
            </w:tr>
            <w:tr w14:paraId="0F1F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5F6DC9C8">
                  <w:pPr>
                    <w:pStyle w:val="55"/>
                    <w:ind w:firstLine="0" w:firstLineChars="0"/>
                    <w:rPr>
                      <w:rFonts w:ascii="Times New Roman" w:hAnsi="Times New Roman" w:eastAsia="宋体" w:cs="Times New Roman"/>
                      <w:bCs/>
                      <w:color w:val="000000"/>
                      <w:kern w:val="2"/>
                      <w:sz w:val="21"/>
                      <w:szCs w:val="21"/>
                      <w:highlight w:val="none"/>
                      <w:lang w:val="en-US" w:eastAsia="zh-CN" w:bidi="ar-SA"/>
                    </w:rPr>
                  </w:pPr>
                  <w:r>
                    <w:rPr>
                      <w:rFonts w:hint="eastAsia"/>
                      <w:highlight w:val="none"/>
                    </w:rPr>
                    <w:t>3</w:t>
                  </w:r>
                </w:p>
              </w:tc>
              <w:tc>
                <w:tcPr>
                  <w:tcW w:w="1818" w:type="dxa"/>
                  <w:vAlign w:val="center"/>
                </w:tcPr>
                <w:p w14:paraId="11E2D9F9">
                  <w:pPr>
                    <w:pStyle w:val="55"/>
                    <w:rPr>
                      <w:highlight w:val="none"/>
                    </w:rPr>
                  </w:pPr>
                  <w:r>
                    <w:rPr>
                      <w:rFonts w:hint="eastAsia" w:ascii="Times New Roman"/>
                      <w:highlight w:val="none"/>
                    </w:rPr>
                    <w:t>提升机</w:t>
                  </w:r>
                </w:p>
              </w:tc>
              <w:tc>
                <w:tcPr>
                  <w:tcW w:w="4146" w:type="dxa"/>
                  <w:vAlign w:val="center"/>
                </w:tcPr>
                <w:p w14:paraId="46D0D08A">
                  <w:pPr>
                    <w:pStyle w:val="55"/>
                    <w:rPr>
                      <w:highlight w:val="none"/>
                    </w:rPr>
                  </w:pPr>
                  <w:r>
                    <w:rPr>
                      <w:rFonts w:hint="eastAsia"/>
                      <w:highlight w:val="none"/>
                    </w:rPr>
                    <w:t>NE100×30m</w:t>
                  </w:r>
                </w:p>
              </w:tc>
              <w:tc>
                <w:tcPr>
                  <w:tcW w:w="467" w:type="dxa"/>
                  <w:vAlign w:val="center"/>
                </w:tcPr>
                <w:p w14:paraId="53DD28FB">
                  <w:pPr>
                    <w:pStyle w:val="55"/>
                    <w:rPr>
                      <w:highlight w:val="none"/>
                    </w:rPr>
                  </w:pPr>
                  <w:r>
                    <w:rPr>
                      <w:rFonts w:hint="eastAsia"/>
                      <w:highlight w:val="none"/>
                    </w:rPr>
                    <w:t>台</w:t>
                  </w:r>
                </w:p>
              </w:tc>
              <w:tc>
                <w:tcPr>
                  <w:tcW w:w="602" w:type="dxa"/>
                  <w:vAlign w:val="center"/>
                </w:tcPr>
                <w:p w14:paraId="6679FFC5">
                  <w:pPr>
                    <w:pStyle w:val="55"/>
                    <w:rPr>
                      <w:rFonts w:hint="eastAsia" w:eastAsia="宋体"/>
                      <w:highlight w:val="none"/>
                      <w:lang w:val="en-US" w:eastAsia="zh-CN"/>
                    </w:rPr>
                  </w:pPr>
                  <w:r>
                    <w:rPr>
                      <w:rFonts w:hint="eastAsia"/>
                      <w:highlight w:val="none"/>
                      <w:lang w:val="en-US" w:eastAsia="zh-CN"/>
                    </w:rPr>
                    <w:t>2</w:t>
                  </w:r>
                </w:p>
              </w:tc>
            </w:tr>
            <w:tr w14:paraId="188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40B908D2">
                  <w:pPr>
                    <w:pStyle w:val="55"/>
                    <w:ind w:firstLine="0" w:firstLineChars="0"/>
                    <w:rPr>
                      <w:rFonts w:hint="eastAsia" w:ascii="Times New Roman" w:hAnsi="Times New Roman" w:eastAsia="宋体" w:cs="Times New Roman"/>
                      <w:bCs/>
                      <w:color w:val="000000"/>
                      <w:kern w:val="2"/>
                      <w:sz w:val="21"/>
                      <w:szCs w:val="21"/>
                      <w:highlight w:val="none"/>
                      <w:lang w:val="en-US" w:eastAsia="zh-CN" w:bidi="ar-SA"/>
                    </w:rPr>
                  </w:pPr>
                  <w:r>
                    <w:rPr>
                      <w:rFonts w:hint="eastAsia"/>
                      <w:highlight w:val="none"/>
                      <w:lang w:val="en-US" w:eastAsia="zh-CN"/>
                    </w:rPr>
                    <w:t>4</w:t>
                  </w:r>
                </w:p>
              </w:tc>
              <w:tc>
                <w:tcPr>
                  <w:tcW w:w="1818" w:type="dxa"/>
                  <w:vAlign w:val="center"/>
                </w:tcPr>
                <w:p w14:paraId="15943629">
                  <w:pPr>
                    <w:pStyle w:val="55"/>
                    <w:rPr>
                      <w:highlight w:val="none"/>
                    </w:rPr>
                  </w:pPr>
                  <w:r>
                    <w:rPr>
                      <w:rFonts w:hint="eastAsia" w:ascii="Times New Roman"/>
                      <w:highlight w:val="none"/>
                    </w:rPr>
                    <w:t>空压机</w:t>
                  </w:r>
                </w:p>
              </w:tc>
              <w:tc>
                <w:tcPr>
                  <w:tcW w:w="4146" w:type="dxa"/>
                  <w:vAlign w:val="center"/>
                </w:tcPr>
                <w:p w14:paraId="71EE7C83">
                  <w:pPr>
                    <w:pStyle w:val="55"/>
                    <w:rPr>
                      <w:rFonts w:hint="default" w:eastAsia="宋体"/>
                      <w:highlight w:val="none"/>
                      <w:lang w:val="en-US" w:eastAsia="zh-CN"/>
                    </w:rPr>
                  </w:pPr>
                  <w:r>
                    <w:rPr>
                      <w:rFonts w:hint="eastAsia"/>
                      <w:highlight w:val="none"/>
                      <w:lang w:val="en-US" w:eastAsia="zh-CN"/>
                    </w:rPr>
                    <w:t>/</w:t>
                  </w:r>
                </w:p>
              </w:tc>
              <w:tc>
                <w:tcPr>
                  <w:tcW w:w="467" w:type="dxa"/>
                  <w:vAlign w:val="center"/>
                </w:tcPr>
                <w:p w14:paraId="652BA194">
                  <w:pPr>
                    <w:pStyle w:val="55"/>
                    <w:rPr>
                      <w:highlight w:val="none"/>
                    </w:rPr>
                  </w:pPr>
                  <w:r>
                    <w:rPr>
                      <w:rFonts w:hint="eastAsia"/>
                      <w:highlight w:val="none"/>
                    </w:rPr>
                    <w:t>台</w:t>
                  </w:r>
                </w:p>
              </w:tc>
              <w:tc>
                <w:tcPr>
                  <w:tcW w:w="602" w:type="dxa"/>
                  <w:vAlign w:val="center"/>
                </w:tcPr>
                <w:p w14:paraId="55E28B7F">
                  <w:pPr>
                    <w:pStyle w:val="55"/>
                    <w:rPr>
                      <w:rFonts w:hint="eastAsia" w:eastAsia="宋体"/>
                      <w:highlight w:val="none"/>
                      <w:lang w:val="en-US" w:eastAsia="zh-CN"/>
                    </w:rPr>
                  </w:pPr>
                  <w:r>
                    <w:rPr>
                      <w:rFonts w:hint="eastAsia"/>
                      <w:highlight w:val="none"/>
                      <w:lang w:val="en-US" w:eastAsia="zh-CN"/>
                    </w:rPr>
                    <w:t>2</w:t>
                  </w:r>
                </w:p>
              </w:tc>
            </w:tr>
            <w:tr w14:paraId="2470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14:paraId="3A60BD5C">
                  <w:pPr>
                    <w:pStyle w:val="55"/>
                    <w:rPr>
                      <w:rFonts w:hint="default" w:eastAsia="宋体"/>
                      <w:highlight w:val="none"/>
                      <w:lang w:val="en-US" w:eastAsia="zh-CN"/>
                    </w:rPr>
                  </w:pPr>
                  <w:r>
                    <w:rPr>
                      <w:rFonts w:hint="eastAsia"/>
                      <w:highlight w:val="none"/>
                      <w:lang w:val="en-US" w:eastAsia="zh-CN"/>
                    </w:rPr>
                    <w:t>5</w:t>
                  </w:r>
                </w:p>
              </w:tc>
              <w:tc>
                <w:tcPr>
                  <w:tcW w:w="1818" w:type="dxa"/>
                  <w:vAlign w:val="center"/>
                </w:tcPr>
                <w:p w14:paraId="2C4D3410">
                  <w:pPr>
                    <w:pStyle w:val="55"/>
                    <w:rPr>
                      <w:highlight w:val="none"/>
                    </w:rPr>
                  </w:pPr>
                  <w:r>
                    <w:rPr>
                      <w:rFonts w:hint="eastAsia" w:ascii="Times New Roman"/>
                      <w:highlight w:val="none"/>
                    </w:rPr>
                    <w:t>高压风机</w:t>
                  </w:r>
                </w:p>
              </w:tc>
              <w:tc>
                <w:tcPr>
                  <w:tcW w:w="4146" w:type="dxa"/>
                  <w:vAlign w:val="center"/>
                </w:tcPr>
                <w:p w14:paraId="28D301C9">
                  <w:pPr>
                    <w:pStyle w:val="55"/>
                    <w:rPr>
                      <w:rFonts w:hint="eastAsia" w:eastAsia="宋体"/>
                      <w:highlight w:val="none"/>
                      <w:lang w:val="en-US" w:eastAsia="zh-CN"/>
                    </w:rPr>
                  </w:pPr>
                  <w:r>
                    <w:rPr>
                      <w:rFonts w:hint="eastAsia"/>
                      <w:highlight w:val="none"/>
                      <w:lang w:val="en-US" w:eastAsia="zh-CN"/>
                    </w:rPr>
                    <w:t>/</w:t>
                  </w:r>
                </w:p>
              </w:tc>
              <w:tc>
                <w:tcPr>
                  <w:tcW w:w="467" w:type="dxa"/>
                  <w:vAlign w:val="center"/>
                </w:tcPr>
                <w:p w14:paraId="41F849CC">
                  <w:pPr>
                    <w:pStyle w:val="55"/>
                    <w:rPr>
                      <w:highlight w:val="none"/>
                    </w:rPr>
                  </w:pPr>
                  <w:r>
                    <w:rPr>
                      <w:rFonts w:hint="eastAsia"/>
                      <w:highlight w:val="none"/>
                    </w:rPr>
                    <w:t>台</w:t>
                  </w:r>
                </w:p>
              </w:tc>
              <w:tc>
                <w:tcPr>
                  <w:tcW w:w="602" w:type="dxa"/>
                  <w:vAlign w:val="center"/>
                </w:tcPr>
                <w:p w14:paraId="6D33DF6A">
                  <w:pPr>
                    <w:pStyle w:val="55"/>
                    <w:rPr>
                      <w:rFonts w:hint="eastAsia" w:eastAsia="宋体"/>
                      <w:highlight w:val="none"/>
                      <w:lang w:val="en-US" w:eastAsia="zh-CN"/>
                    </w:rPr>
                  </w:pPr>
                  <w:r>
                    <w:rPr>
                      <w:rFonts w:hint="eastAsia"/>
                      <w:highlight w:val="none"/>
                      <w:lang w:val="en-US" w:eastAsia="zh-CN"/>
                    </w:rPr>
                    <w:t>1</w:t>
                  </w:r>
                </w:p>
              </w:tc>
            </w:tr>
          </w:tbl>
          <w:p w14:paraId="093982B2">
            <w:pPr>
              <w:pStyle w:val="3"/>
              <w:rPr>
                <w:highlight w:val="none"/>
              </w:rPr>
            </w:pPr>
            <w:r>
              <w:rPr>
                <w:rFonts w:hint="eastAsia" w:ascii="Times New Roman" w:hAnsi="Times New Roman" w:cs="Times New Roman"/>
                <w:highlight w:val="none"/>
              </w:rPr>
              <w:t>2.3</w:t>
            </w:r>
            <w:r>
              <w:rPr>
                <w:rFonts w:hint="eastAsia"/>
                <w:highlight w:val="none"/>
              </w:rPr>
              <w:t>项目原辅材料及能源消耗</w:t>
            </w:r>
          </w:p>
          <w:p w14:paraId="7E578B73">
            <w:pPr>
              <w:autoSpaceDE w:val="0"/>
              <w:autoSpaceDN w:val="0"/>
              <w:adjustRightInd/>
              <w:snapToGrid/>
              <w:ind w:firstLine="480"/>
              <w:rPr>
                <w:highlight w:val="none"/>
              </w:rPr>
            </w:pPr>
            <w:r>
              <w:rPr>
                <w:highlight w:val="none"/>
              </w:rPr>
              <w:t>项目原辅材料消耗如下表</w:t>
            </w:r>
            <w:r>
              <w:rPr>
                <w:rFonts w:hint="eastAsia"/>
                <w:highlight w:val="none"/>
              </w:rPr>
              <w:t>。</w:t>
            </w:r>
          </w:p>
          <w:p w14:paraId="7F8DC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2-3</w:t>
            </w:r>
            <w:r>
              <w:rPr>
                <w:rFonts w:hint="eastAsia"/>
                <w:b/>
                <w:bCs/>
                <w:color w:val="auto"/>
                <w:kern w:val="0"/>
                <w:sz w:val="21"/>
                <w:szCs w:val="21"/>
                <w:highlight w:val="none"/>
              </w:rPr>
              <w:t xml:space="preserve">  主要原辅材料及动力消耗量表</w:t>
            </w:r>
          </w:p>
          <w:tbl>
            <w:tblPr>
              <w:tblStyle w:val="30"/>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805"/>
              <w:gridCol w:w="1550"/>
              <w:gridCol w:w="3910"/>
            </w:tblGrid>
            <w:tr w14:paraId="3746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99" w:type="dxa"/>
                  <w:vAlign w:val="center"/>
                </w:tcPr>
                <w:p w14:paraId="7C5C14B7">
                  <w:pPr>
                    <w:pStyle w:val="55"/>
                    <w:rPr>
                      <w:highlight w:val="none"/>
                    </w:rPr>
                  </w:pPr>
                  <w:r>
                    <w:rPr>
                      <w:rFonts w:hint="eastAsia"/>
                      <w:highlight w:val="none"/>
                    </w:rPr>
                    <w:t>序号</w:t>
                  </w:r>
                </w:p>
              </w:tc>
              <w:tc>
                <w:tcPr>
                  <w:tcW w:w="1805" w:type="dxa"/>
                  <w:vAlign w:val="center"/>
                </w:tcPr>
                <w:p w14:paraId="7393B660">
                  <w:pPr>
                    <w:pStyle w:val="55"/>
                    <w:rPr>
                      <w:highlight w:val="none"/>
                    </w:rPr>
                  </w:pPr>
                  <w:r>
                    <w:rPr>
                      <w:rFonts w:hint="eastAsia"/>
                      <w:highlight w:val="none"/>
                    </w:rPr>
                    <w:t>名称</w:t>
                  </w:r>
                </w:p>
              </w:tc>
              <w:tc>
                <w:tcPr>
                  <w:tcW w:w="1550" w:type="dxa"/>
                  <w:vAlign w:val="center"/>
                </w:tcPr>
                <w:p w14:paraId="04C8717F">
                  <w:pPr>
                    <w:pStyle w:val="55"/>
                    <w:rPr>
                      <w:highlight w:val="none"/>
                    </w:rPr>
                  </w:pPr>
                  <w:r>
                    <w:rPr>
                      <w:rFonts w:hint="eastAsia"/>
                      <w:highlight w:val="none"/>
                    </w:rPr>
                    <w:t>年用量</w:t>
                  </w:r>
                </w:p>
              </w:tc>
              <w:tc>
                <w:tcPr>
                  <w:tcW w:w="3910" w:type="dxa"/>
                  <w:vAlign w:val="center"/>
                </w:tcPr>
                <w:p w14:paraId="18B6C8EA">
                  <w:pPr>
                    <w:pStyle w:val="55"/>
                    <w:rPr>
                      <w:highlight w:val="none"/>
                    </w:rPr>
                  </w:pPr>
                  <w:r>
                    <w:rPr>
                      <w:rFonts w:hint="eastAsia"/>
                      <w:highlight w:val="none"/>
                    </w:rPr>
                    <w:t>备注</w:t>
                  </w:r>
                </w:p>
              </w:tc>
            </w:tr>
            <w:tr w14:paraId="5A90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14:paraId="26B0A0B5">
                  <w:pPr>
                    <w:pStyle w:val="55"/>
                    <w:rPr>
                      <w:rFonts w:hint="default" w:ascii="Times New Roman" w:hAnsi="Times New Roman" w:cs="Times New Roman"/>
                      <w:highlight w:val="none"/>
                    </w:rPr>
                  </w:pPr>
                  <w:r>
                    <w:rPr>
                      <w:rFonts w:hint="default" w:ascii="Times New Roman" w:hAnsi="Times New Roman" w:cs="Times New Roman"/>
                      <w:highlight w:val="none"/>
                    </w:rPr>
                    <w:t>1</w:t>
                  </w:r>
                </w:p>
              </w:tc>
              <w:tc>
                <w:tcPr>
                  <w:tcW w:w="1805" w:type="dxa"/>
                  <w:vAlign w:val="center"/>
                </w:tcPr>
                <w:p w14:paraId="61120F7A">
                  <w:pPr>
                    <w:pStyle w:val="55"/>
                    <w:rPr>
                      <w:rFonts w:hint="default" w:ascii="Times New Roman" w:hAnsi="Times New Roman" w:cs="Times New Roman"/>
                      <w:highlight w:val="none"/>
                    </w:rPr>
                  </w:pPr>
                  <w:r>
                    <w:rPr>
                      <w:rFonts w:hint="default" w:ascii="Times New Roman" w:hAnsi="Times New Roman" w:cs="Times New Roman"/>
                      <w:highlight w:val="none"/>
                    </w:rPr>
                    <w:t>炉灰</w:t>
                  </w:r>
                </w:p>
              </w:tc>
              <w:tc>
                <w:tcPr>
                  <w:tcW w:w="1550" w:type="dxa"/>
                  <w:vAlign w:val="center"/>
                </w:tcPr>
                <w:p w14:paraId="0CE89F5A">
                  <w:pPr>
                    <w:pStyle w:val="55"/>
                    <w:rPr>
                      <w:rFonts w:hint="default" w:ascii="Times New Roman" w:hAnsi="Times New Roman" w:cs="Times New Roman"/>
                      <w:highlight w:val="none"/>
                    </w:rPr>
                  </w:pPr>
                  <w:r>
                    <w:rPr>
                      <w:rFonts w:hint="default" w:ascii="Times New Roman" w:hAnsi="Times New Roman" w:cs="Times New Roman"/>
                      <w:highlight w:val="none"/>
                      <w:lang w:val="en-US" w:eastAsia="zh-CN"/>
                    </w:rPr>
                    <w:t>16</w:t>
                  </w:r>
                  <w:r>
                    <w:rPr>
                      <w:rFonts w:hint="default" w:ascii="Times New Roman" w:hAnsi="Times New Roman" w:cs="Times New Roman"/>
                      <w:highlight w:val="none"/>
                    </w:rPr>
                    <w:t>万t/a</w:t>
                  </w:r>
                </w:p>
              </w:tc>
              <w:tc>
                <w:tcPr>
                  <w:tcW w:w="3910" w:type="dxa"/>
                  <w:vAlign w:val="center"/>
                </w:tcPr>
                <w:p w14:paraId="533605FA">
                  <w:pPr>
                    <w:pStyle w:val="55"/>
                    <w:rPr>
                      <w:rFonts w:hint="default" w:ascii="Times New Roman" w:hAnsi="Times New Roman" w:eastAsia="宋体" w:cs="Times New Roman"/>
                      <w:highlight w:val="none"/>
                      <w:lang w:val="en-US" w:eastAsia="zh-CN"/>
                    </w:rPr>
                  </w:pPr>
                  <w:r>
                    <w:rPr>
                      <w:rFonts w:hint="default" w:ascii="Times New Roman" w:hAnsi="Times New Roman" w:cs="Times New Roman"/>
                      <w:szCs w:val="28"/>
                      <w:highlight w:val="none"/>
                      <w:lang w:val="en-US" w:eastAsia="zh-CN"/>
                    </w:rPr>
                    <w:t>从</w:t>
                  </w:r>
                  <w:r>
                    <w:rPr>
                      <w:rFonts w:hint="default" w:ascii="Times New Roman" w:hAnsi="Times New Roman" w:cs="Times New Roman"/>
                      <w:szCs w:val="28"/>
                      <w:highlight w:val="none"/>
                    </w:rPr>
                    <w:t>电厂由密封散装罐车运到规划粉煤灰环保库</w:t>
                  </w:r>
                  <w:r>
                    <w:rPr>
                      <w:rFonts w:hint="eastAsia" w:cs="Times New Roman"/>
                      <w:szCs w:val="28"/>
                      <w:highlight w:val="none"/>
                      <w:lang w:val="en-US" w:eastAsia="zh-CN"/>
                    </w:rPr>
                    <w:t>中储存</w:t>
                  </w:r>
                </w:p>
              </w:tc>
            </w:tr>
            <w:tr w14:paraId="267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14:paraId="4CC31627">
                  <w:pPr>
                    <w:pStyle w:val="55"/>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p>
              </w:tc>
              <w:tc>
                <w:tcPr>
                  <w:tcW w:w="1805" w:type="dxa"/>
                  <w:vAlign w:val="center"/>
                </w:tcPr>
                <w:p w14:paraId="238520AC">
                  <w:pPr>
                    <w:pStyle w:val="55"/>
                    <w:rPr>
                      <w:rFonts w:hint="default" w:ascii="Times New Roman" w:hAnsi="Times New Roman" w:cs="Times New Roman"/>
                      <w:highlight w:val="none"/>
                    </w:rPr>
                  </w:pPr>
                  <w:r>
                    <w:rPr>
                      <w:rFonts w:hint="default" w:ascii="Times New Roman" w:hAnsi="Times New Roman" w:cs="Times New Roman"/>
                      <w:highlight w:val="none"/>
                    </w:rPr>
                    <w:t>炉渣</w:t>
                  </w:r>
                </w:p>
              </w:tc>
              <w:tc>
                <w:tcPr>
                  <w:tcW w:w="1550" w:type="dxa"/>
                  <w:vAlign w:val="center"/>
                </w:tcPr>
                <w:p w14:paraId="619C29F5">
                  <w:pPr>
                    <w:pStyle w:val="55"/>
                    <w:rPr>
                      <w:rFonts w:hint="default" w:ascii="Times New Roman" w:hAnsi="Times New Roman" w:cs="Times New Roman"/>
                      <w:highlight w:val="none"/>
                    </w:rPr>
                  </w:pPr>
                  <w:r>
                    <w:rPr>
                      <w:rFonts w:hint="default" w:ascii="Times New Roman" w:hAnsi="Times New Roman" w:cs="Times New Roman"/>
                      <w:highlight w:val="none"/>
                      <w:lang w:val="en-US" w:eastAsia="zh-CN"/>
                    </w:rPr>
                    <w:t>4</w:t>
                  </w:r>
                  <w:r>
                    <w:rPr>
                      <w:rFonts w:hint="default" w:ascii="Times New Roman" w:hAnsi="Times New Roman" w:cs="Times New Roman"/>
                      <w:highlight w:val="none"/>
                    </w:rPr>
                    <w:t>万t/a</w:t>
                  </w:r>
                </w:p>
              </w:tc>
              <w:tc>
                <w:tcPr>
                  <w:tcW w:w="3910" w:type="dxa"/>
                  <w:vAlign w:val="center"/>
                </w:tcPr>
                <w:p w14:paraId="59939F83">
                  <w:pPr>
                    <w:pStyle w:val="55"/>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从电厂由翻斗车散装加盖篷布运输到</w:t>
                  </w:r>
                  <w:r>
                    <w:rPr>
                      <w:rFonts w:hint="default" w:ascii="Times New Roman" w:hAnsi="Times New Roman" w:cs="Times New Roman"/>
                      <w:color w:val="auto"/>
                      <w:szCs w:val="28"/>
                      <w:highlight w:val="none"/>
                      <w:lang w:val="en-US" w:eastAsia="zh-CN"/>
                    </w:rPr>
                    <w:t>项目</w:t>
                  </w:r>
                  <w:r>
                    <w:rPr>
                      <w:rFonts w:hint="default" w:ascii="Times New Roman" w:hAnsi="Times New Roman" w:cs="Times New Roman"/>
                      <w:color w:val="auto"/>
                      <w:szCs w:val="28"/>
                      <w:highlight w:val="none"/>
                    </w:rPr>
                    <w:t>钢结构规划料仓内储存</w:t>
                  </w:r>
                </w:p>
              </w:tc>
            </w:tr>
            <w:tr w14:paraId="51F5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14:paraId="0DC63FB8">
                  <w:pPr>
                    <w:pStyle w:val="55"/>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4</w:t>
                  </w:r>
                </w:p>
              </w:tc>
              <w:tc>
                <w:tcPr>
                  <w:tcW w:w="1805" w:type="dxa"/>
                  <w:vAlign w:val="center"/>
                </w:tcPr>
                <w:p w14:paraId="0987225B">
                  <w:pPr>
                    <w:pStyle w:val="55"/>
                    <w:rPr>
                      <w:rFonts w:hint="default" w:ascii="Times New Roman" w:hAnsi="Times New Roman" w:cs="Times New Roman"/>
                      <w:highlight w:val="none"/>
                    </w:rPr>
                  </w:pPr>
                  <w:r>
                    <w:rPr>
                      <w:rFonts w:hint="default" w:ascii="Times New Roman" w:hAnsi="Times New Roman" w:cs="Times New Roman"/>
                      <w:highlight w:val="none"/>
                    </w:rPr>
                    <w:t>水</w:t>
                  </w:r>
                </w:p>
              </w:tc>
              <w:tc>
                <w:tcPr>
                  <w:tcW w:w="1550" w:type="dxa"/>
                  <w:shd w:val="clear" w:color="auto" w:fill="auto"/>
                  <w:vAlign w:val="center"/>
                </w:tcPr>
                <w:p w14:paraId="203DAC7E">
                  <w:pPr>
                    <w:pStyle w:val="55"/>
                    <w:rPr>
                      <w:rFonts w:hint="default" w:ascii="Times New Roman" w:hAnsi="Times New Roman" w:eastAsia="宋体" w:cs="Times New Roman"/>
                      <w:highlight w:val="none"/>
                      <w:vertAlign w:val="baseline"/>
                      <w:lang w:eastAsia="zh-CN"/>
                    </w:rPr>
                  </w:pPr>
                  <w:r>
                    <w:rPr>
                      <w:rFonts w:hint="default" w:ascii="Times New Roman" w:hAnsi="Times New Roman" w:cs="Times New Roman"/>
                      <w:highlight w:val="none"/>
                      <w:lang w:val="en-US" w:eastAsia="zh-CN"/>
                    </w:rPr>
                    <w:t>13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default" w:ascii="Times New Roman" w:hAnsi="Times New Roman" w:cs="Times New Roman"/>
                      <w:highlight w:val="none"/>
                      <w:lang w:val="en-US" w:eastAsia="zh-CN"/>
                    </w:rPr>
                    <w:t>d</w:t>
                  </w:r>
                </w:p>
              </w:tc>
              <w:tc>
                <w:tcPr>
                  <w:tcW w:w="3910" w:type="dxa"/>
                  <w:vAlign w:val="center"/>
                </w:tcPr>
                <w:p w14:paraId="790F106C">
                  <w:pPr>
                    <w:pStyle w:val="55"/>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Cs w:val="28"/>
                      <w:highlight w:val="none"/>
                      <w:lang w:val="en-US" w:eastAsia="zh-CN"/>
                    </w:rPr>
                    <w:t>园区</w:t>
                  </w:r>
                  <w:r>
                    <w:rPr>
                      <w:rFonts w:hint="eastAsia" w:cs="Times New Roman"/>
                      <w:color w:val="auto"/>
                      <w:szCs w:val="28"/>
                      <w:highlight w:val="none"/>
                      <w:lang w:val="en-US" w:eastAsia="zh-CN"/>
                    </w:rPr>
                    <w:t>管网</w:t>
                  </w:r>
                  <w:r>
                    <w:rPr>
                      <w:rFonts w:hint="eastAsia" w:ascii="Times New Roman" w:hAnsi="Times New Roman" w:cs="Times New Roman"/>
                      <w:color w:val="auto"/>
                      <w:szCs w:val="28"/>
                      <w:highlight w:val="none"/>
                      <w:lang w:val="en-US" w:eastAsia="zh-CN"/>
                    </w:rPr>
                    <w:t>供给</w:t>
                  </w:r>
                </w:p>
              </w:tc>
            </w:tr>
            <w:tr w14:paraId="6F4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vAlign w:val="center"/>
                </w:tcPr>
                <w:p w14:paraId="641ECB66">
                  <w:pPr>
                    <w:pStyle w:val="55"/>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5</w:t>
                  </w:r>
                </w:p>
              </w:tc>
              <w:tc>
                <w:tcPr>
                  <w:tcW w:w="1805" w:type="dxa"/>
                  <w:vAlign w:val="center"/>
                </w:tcPr>
                <w:p w14:paraId="0C6DFF7E">
                  <w:pPr>
                    <w:pStyle w:val="55"/>
                    <w:rPr>
                      <w:rFonts w:hint="default" w:ascii="Times New Roman" w:hAnsi="Times New Roman" w:cs="Times New Roman"/>
                      <w:highlight w:val="none"/>
                    </w:rPr>
                  </w:pPr>
                  <w:r>
                    <w:rPr>
                      <w:rFonts w:hint="default" w:ascii="Times New Roman" w:hAnsi="Times New Roman" w:cs="Times New Roman"/>
                      <w:highlight w:val="none"/>
                    </w:rPr>
                    <w:t>电</w:t>
                  </w:r>
                </w:p>
              </w:tc>
              <w:tc>
                <w:tcPr>
                  <w:tcW w:w="1550" w:type="dxa"/>
                  <w:shd w:val="clear" w:color="auto" w:fill="auto"/>
                  <w:vAlign w:val="center"/>
                </w:tcPr>
                <w:p w14:paraId="72EF4CC7">
                  <w:pPr>
                    <w:pStyle w:val="55"/>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3840</w:t>
                  </w:r>
                  <w:r>
                    <w:rPr>
                      <w:rFonts w:hint="default" w:ascii="Times New Roman" w:hAnsi="Times New Roman" w:cs="Times New Roman"/>
                      <w:highlight w:val="none"/>
                      <w:lang w:eastAsia="zh-CN"/>
                    </w:rPr>
                    <w:t>kW</w:t>
                  </w:r>
                  <w:r>
                    <w:rPr>
                      <w:rFonts w:hint="default" w:ascii="Times New Roman" w:hAnsi="Times New Roman" w:cs="Times New Roman"/>
                      <w:highlight w:val="none"/>
                    </w:rPr>
                    <w:t>h</w:t>
                  </w:r>
                  <w:r>
                    <w:rPr>
                      <w:rFonts w:hint="eastAsia" w:ascii="Times New Roman" w:hAnsi="Times New Roman" w:cs="Times New Roman"/>
                      <w:highlight w:val="none"/>
                      <w:lang w:val="en-US" w:eastAsia="zh-CN"/>
                    </w:rPr>
                    <w:t>/a</w:t>
                  </w:r>
                </w:p>
              </w:tc>
              <w:tc>
                <w:tcPr>
                  <w:tcW w:w="3910" w:type="dxa"/>
                  <w:vAlign w:val="center"/>
                </w:tcPr>
                <w:p w14:paraId="61615D7C">
                  <w:pPr>
                    <w:pStyle w:val="55"/>
                    <w:rPr>
                      <w:rFonts w:hint="default" w:ascii="Times New Roman" w:hAnsi="Times New Roman" w:cs="Times New Roman"/>
                      <w:color w:val="auto"/>
                      <w:highlight w:val="none"/>
                    </w:rPr>
                  </w:pPr>
                  <w:r>
                    <w:rPr>
                      <w:rFonts w:hint="eastAsia" w:ascii="Times New Roman" w:hAnsi="Times New Roman" w:cs="Times New Roman"/>
                      <w:color w:val="auto"/>
                      <w:szCs w:val="28"/>
                      <w:highlight w:val="none"/>
                      <w:lang w:val="en-US" w:eastAsia="zh-CN"/>
                    </w:rPr>
                    <w:t>园区</w:t>
                  </w:r>
                  <w:r>
                    <w:rPr>
                      <w:rFonts w:hint="eastAsia" w:cs="Times New Roman"/>
                      <w:color w:val="auto"/>
                      <w:szCs w:val="28"/>
                      <w:highlight w:val="none"/>
                      <w:lang w:val="en-US" w:eastAsia="zh-CN"/>
                    </w:rPr>
                    <w:t>管</w:t>
                  </w:r>
                  <w:r>
                    <w:rPr>
                      <w:rFonts w:hint="eastAsia" w:ascii="Times New Roman" w:hAnsi="Times New Roman" w:cs="Times New Roman"/>
                      <w:color w:val="auto"/>
                      <w:szCs w:val="28"/>
                      <w:highlight w:val="none"/>
                      <w:lang w:val="en-US" w:eastAsia="zh-CN"/>
                    </w:rPr>
                    <w:t>网供给</w:t>
                  </w:r>
                </w:p>
              </w:tc>
            </w:tr>
          </w:tbl>
          <w:p w14:paraId="5D392C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2-</w:t>
            </w:r>
            <w:r>
              <w:rPr>
                <w:rFonts w:hint="eastAsia"/>
                <w:b/>
                <w:bCs/>
                <w:color w:val="auto"/>
                <w:kern w:val="0"/>
                <w:sz w:val="21"/>
                <w:szCs w:val="21"/>
                <w:highlight w:val="none"/>
                <w:lang w:val="en-US" w:eastAsia="zh-CN"/>
              </w:rPr>
              <w:t>4</w:t>
            </w:r>
            <w:r>
              <w:rPr>
                <w:rFonts w:hint="eastAsia"/>
                <w:b/>
                <w:bCs/>
                <w:color w:val="auto"/>
                <w:kern w:val="0"/>
                <w:sz w:val="21"/>
                <w:szCs w:val="21"/>
                <w:highlight w:val="none"/>
              </w:rPr>
              <w:t xml:space="preserve">  本项目原辅材料物化性质</w:t>
            </w:r>
          </w:p>
          <w:tbl>
            <w:tblPr>
              <w:tblStyle w:val="31"/>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50"/>
              <w:gridCol w:w="1066"/>
              <w:gridCol w:w="1450"/>
              <w:gridCol w:w="4066"/>
            </w:tblGrid>
            <w:tr w14:paraId="1909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dxa"/>
                  <w:vAlign w:val="center"/>
                </w:tcPr>
                <w:p w14:paraId="75697E33">
                  <w:pPr>
                    <w:pStyle w:val="55"/>
                    <w:rPr>
                      <w:highlight w:val="none"/>
                    </w:rPr>
                  </w:pPr>
                  <w:r>
                    <w:rPr>
                      <w:highlight w:val="none"/>
                    </w:rPr>
                    <w:t>序号</w:t>
                  </w:r>
                </w:p>
              </w:tc>
              <w:tc>
                <w:tcPr>
                  <w:tcW w:w="850" w:type="dxa"/>
                  <w:vAlign w:val="center"/>
                </w:tcPr>
                <w:p w14:paraId="6B1B645C">
                  <w:pPr>
                    <w:pStyle w:val="55"/>
                    <w:rPr>
                      <w:highlight w:val="none"/>
                    </w:rPr>
                  </w:pPr>
                  <w:r>
                    <w:rPr>
                      <w:highlight w:val="none"/>
                    </w:rPr>
                    <w:t>成分名称</w:t>
                  </w:r>
                </w:p>
              </w:tc>
              <w:tc>
                <w:tcPr>
                  <w:tcW w:w="1066" w:type="dxa"/>
                  <w:vAlign w:val="center"/>
                </w:tcPr>
                <w:p w14:paraId="14E604C0">
                  <w:pPr>
                    <w:pStyle w:val="55"/>
                    <w:rPr>
                      <w:rFonts w:hint="eastAsia" w:eastAsia="宋体"/>
                      <w:highlight w:val="none"/>
                      <w:lang w:val="en-US" w:eastAsia="zh-CN"/>
                    </w:rPr>
                  </w:pPr>
                  <w:r>
                    <w:rPr>
                      <w:rFonts w:hint="eastAsia"/>
                      <w:highlight w:val="none"/>
                      <w:lang w:val="en-US" w:eastAsia="zh-CN"/>
                    </w:rPr>
                    <w:t>废物种类</w:t>
                  </w:r>
                </w:p>
              </w:tc>
              <w:tc>
                <w:tcPr>
                  <w:tcW w:w="1450" w:type="dxa"/>
                  <w:vAlign w:val="center"/>
                </w:tcPr>
                <w:p w14:paraId="0C730BE6">
                  <w:pPr>
                    <w:pStyle w:val="55"/>
                    <w:rPr>
                      <w:rFonts w:hint="eastAsia" w:eastAsia="宋体"/>
                      <w:highlight w:val="none"/>
                      <w:lang w:val="en-US" w:eastAsia="zh-CN"/>
                    </w:rPr>
                  </w:pPr>
                  <w:r>
                    <w:rPr>
                      <w:rFonts w:hint="eastAsia"/>
                      <w:highlight w:val="none"/>
                      <w:lang w:val="en-US" w:eastAsia="zh-CN"/>
                    </w:rPr>
                    <w:t>废物代码</w:t>
                  </w:r>
                </w:p>
              </w:tc>
              <w:tc>
                <w:tcPr>
                  <w:tcW w:w="4066" w:type="dxa"/>
                  <w:vAlign w:val="center"/>
                </w:tcPr>
                <w:p w14:paraId="260BC6F7">
                  <w:pPr>
                    <w:pStyle w:val="55"/>
                    <w:rPr>
                      <w:highlight w:val="none"/>
                    </w:rPr>
                  </w:pPr>
                  <w:r>
                    <w:rPr>
                      <w:highlight w:val="none"/>
                    </w:rPr>
                    <w:t>物化性质</w:t>
                  </w:r>
                </w:p>
              </w:tc>
            </w:tr>
            <w:tr w14:paraId="381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dxa"/>
                  <w:vAlign w:val="center"/>
                </w:tcPr>
                <w:p w14:paraId="59727BAB">
                  <w:pPr>
                    <w:pStyle w:val="55"/>
                    <w:rPr>
                      <w:highlight w:val="none"/>
                    </w:rPr>
                  </w:pPr>
                  <w:r>
                    <w:rPr>
                      <w:highlight w:val="none"/>
                    </w:rPr>
                    <w:t>1</w:t>
                  </w:r>
                </w:p>
              </w:tc>
              <w:tc>
                <w:tcPr>
                  <w:tcW w:w="850" w:type="dxa"/>
                  <w:vAlign w:val="center"/>
                </w:tcPr>
                <w:p w14:paraId="17FF364D">
                  <w:pPr>
                    <w:pStyle w:val="55"/>
                    <w:rPr>
                      <w:rFonts w:hint="eastAsia" w:eastAsia="宋体"/>
                      <w:highlight w:val="none"/>
                      <w:lang w:eastAsia="zh-CN"/>
                    </w:rPr>
                  </w:pPr>
                  <w:r>
                    <w:rPr>
                      <w:rFonts w:hint="eastAsia"/>
                      <w:highlight w:val="none"/>
                      <w:lang w:val="en-US" w:eastAsia="zh-CN"/>
                    </w:rPr>
                    <w:t>炉渣</w:t>
                  </w:r>
                </w:p>
              </w:tc>
              <w:tc>
                <w:tcPr>
                  <w:tcW w:w="1066" w:type="dxa"/>
                  <w:vAlign w:val="center"/>
                </w:tcPr>
                <w:p w14:paraId="34D2E005">
                  <w:pPr>
                    <w:pStyle w:val="55"/>
                    <w:rPr>
                      <w:rFonts w:hint="default" w:eastAsia="宋体"/>
                      <w:highlight w:val="none"/>
                      <w:lang w:val="en-US" w:eastAsia="zh-CN"/>
                    </w:rPr>
                  </w:pPr>
                  <w:r>
                    <w:rPr>
                      <w:rFonts w:hint="eastAsia"/>
                      <w:highlight w:val="none"/>
                      <w:lang w:val="en-US" w:eastAsia="zh-CN"/>
                    </w:rPr>
                    <w:t>SW03炉渣</w:t>
                  </w:r>
                </w:p>
              </w:tc>
              <w:tc>
                <w:tcPr>
                  <w:tcW w:w="1450" w:type="dxa"/>
                  <w:vAlign w:val="center"/>
                </w:tcPr>
                <w:p w14:paraId="645EC352">
                  <w:pPr>
                    <w:pStyle w:val="55"/>
                    <w:rPr>
                      <w:rFonts w:hint="default" w:eastAsia="宋体"/>
                      <w:highlight w:val="none"/>
                      <w:shd w:val="clear" w:color="auto" w:fill="FFFFFF"/>
                      <w:lang w:val="en-US" w:eastAsia="zh-CN"/>
                    </w:rPr>
                  </w:pPr>
                  <w:r>
                    <w:rPr>
                      <w:rFonts w:hint="eastAsia"/>
                      <w:highlight w:val="none"/>
                      <w:shd w:val="clear" w:color="auto" w:fill="FFFFFF"/>
                      <w:lang w:val="en-US" w:eastAsia="zh-CN"/>
                    </w:rPr>
                    <w:t>411-001-S03</w:t>
                  </w:r>
                </w:p>
              </w:tc>
              <w:tc>
                <w:tcPr>
                  <w:tcW w:w="4066" w:type="dxa"/>
                  <w:vAlign w:val="center"/>
                </w:tcPr>
                <w:p w14:paraId="146F8A78">
                  <w:pPr>
                    <w:pStyle w:val="55"/>
                    <w:rPr>
                      <w:rFonts w:hint="eastAsia" w:eastAsia="宋体"/>
                      <w:highlight w:val="none"/>
                      <w:shd w:val="clear" w:color="auto" w:fill="FFFFFF"/>
                      <w:lang w:eastAsia="zh-CN"/>
                    </w:rPr>
                  </w:pPr>
                  <w:r>
                    <w:rPr>
                      <w:rFonts w:hint="eastAsia"/>
                      <w:highlight w:val="none"/>
                      <w:shd w:val="clear" w:color="auto" w:fill="FFFFFF"/>
                    </w:rPr>
                    <w:t>以硅铝氧化物为主要成分，物理状态稳定、化学活性较低，性质受煤种和燃烧条件影响显著</w:t>
                  </w:r>
                  <w:r>
                    <w:rPr>
                      <w:rFonts w:hint="eastAsia"/>
                      <w:highlight w:val="none"/>
                      <w:shd w:val="clear" w:color="auto" w:fill="FFFFFF"/>
                      <w:lang w:eastAsia="zh-CN"/>
                    </w:rPr>
                    <w:t>。</w:t>
                  </w:r>
                </w:p>
              </w:tc>
            </w:tr>
            <w:tr w14:paraId="5A4C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dxa"/>
                  <w:vAlign w:val="center"/>
                </w:tcPr>
                <w:p w14:paraId="6641D724">
                  <w:pPr>
                    <w:pStyle w:val="55"/>
                    <w:rPr>
                      <w:rFonts w:hint="eastAsia" w:eastAsia="宋体"/>
                      <w:highlight w:val="none"/>
                      <w:lang w:val="en-US" w:eastAsia="zh-CN"/>
                    </w:rPr>
                  </w:pPr>
                  <w:r>
                    <w:rPr>
                      <w:rFonts w:hint="eastAsia"/>
                      <w:highlight w:val="none"/>
                      <w:lang w:val="en-US" w:eastAsia="zh-CN"/>
                    </w:rPr>
                    <w:t>2</w:t>
                  </w:r>
                </w:p>
              </w:tc>
              <w:tc>
                <w:tcPr>
                  <w:tcW w:w="850" w:type="dxa"/>
                  <w:vAlign w:val="center"/>
                </w:tcPr>
                <w:p w14:paraId="6B1A9DBD">
                  <w:pPr>
                    <w:pStyle w:val="55"/>
                    <w:rPr>
                      <w:rFonts w:hint="eastAsia"/>
                      <w:highlight w:val="none"/>
                      <w:lang w:val="en-US" w:eastAsia="zh-CN"/>
                    </w:rPr>
                  </w:pPr>
                  <w:r>
                    <w:rPr>
                      <w:rFonts w:hint="eastAsia"/>
                      <w:highlight w:val="none"/>
                      <w:lang w:val="en-US" w:eastAsia="zh-CN"/>
                    </w:rPr>
                    <w:t>炉灰</w:t>
                  </w:r>
                </w:p>
              </w:tc>
              <w:tc>
                <w:tcPr>
                  <w:tcW w:w="1066" w:type="dxa"/>
                  <w:vAlign w:val="center"/>
                </w:tcPr>
                <w:p w14:paraId="34BC70E2">
                  <w:pPr>
                    <w:pStyle w:val="55"/>
                    <w:rPr>
                      <w:rFonts w:hint="default"/>
                      <w:highlight w:val="none"/>
                      <w:lang w:val="en-US" w:eastAsia="zh-CN"/>
                    </w:rPr>
                  </w:pPr>
                  <w:r>
                    <w:rPr>
                      <w:rFonts w:hint="eastAsia"/>
                      <w:highlight w:val="none"/>
                      <w:lang w:val="en-US" w:eastAsia="zh-CN"/>
                    </w:rPr>
                    <w:t>SW02粉煤灰</w:t>
                  </w:r>
                </w:p>
              </w:tc>
              <w:tc>
                <w:tcPr>
                  <w:tcW w:w="1450" w:type="dxa"/>
                  <w:vAlign w:val="center"/>
                </w:tcPr>
                <w:p w14:paraId="7744F507">
                  <w:pPr>
                    <w:pStyle w:val="55"/>
                    <w:rPr>
                      <w:rFonts w:hint="default"/>
                      <w:highlight w:val="none"/>
                      <w:shd w:val="clear" w:color="auto" w:fill="FFFFFF"/>
                      <w:lang w:val="en-US" w:eastAsia="zh-CN"/>
                    </w:rPr>
                  </w:pPr>
                  <w:r>
                    <w:rPr>
                      <w:rFonts w:hint="eastAsia"/>
                      <w:highlight w:val="none"/>
                      <w:shd w:val="clear" w:color="auto" w:fill="FFFFFF"/>
                      <w:lang w:val="en-US" w:eastAsia="zh-CN"/>
                    </w:rPr>
                    <w:t>900-002-S02</w:t>
                  </w:r>
                </w:p>
              </w:tc>
              <w:tc>
                <w:tcPr>
                  <w:tcW w:w="4066" w:type="dxa"/>
                  <w:vAlign w:val="center"/>
                </w:tcPr>
                <w:p w14:paraId="32993CC5">
                  <w:pPr>
                    <w:pStyle w:val="55"/>
                    <w:rPr>
                      <w:rFonts w:hint="eastAsia"/>
                      <w:highlight w:val="none"/>
                      <w:shd w:val="clear" w:color="auto" w:fill="FFFFFF"/>
                    </w:rPr>
                  </w:pPr>
                  <w:r>
                    <w:rPr>
                      <w:rFonts w:hint="eastAsia"/>
                      <w:highlight w:val="none"/>
                      <w:shd w:val="clear" w:color="auto" w:fill="FFFFFF"/>
                    </w:rPr>
                    <w:t>粉煤灰是燃煤电厂锅炉烟气经除尘器收集的细灰及炉底渣，主要成分为SiO₂、Al</w:t>
                  </w:r>
                  <w:r>
                    <w:rPr>
                      <w:rFonts w:hint="eastAsia"/>
                      <w:highlight w:val="none"/>
                      <w:shd w:val="clear" w:color="auto" w:fill="FFFFFF"/>
                      <w:vertAlign w:val="subscript"/>
                      <w:lang w:val="en-US" w:eastAsia="zh-CN"/>
                    </w:rPr>
                    <w:t>2</w:t>
                  </w:r>
                  <w:r>
                    <w:rPr>
                      <w:rFonts w:hint="eastAsia"/>
                      <w:highlight w:val="none"/>
                      <w:shd w:val="clear" w:color="auto" w:fill="FFFFFF"/>
                    </w:rPr>
                    <w:t>O</w:t>
                  </w:r>
                  <w:r>
                    <w:rPr>
                      <w:rFonts w:hint="eastAsia"/>
                      <w:highlight w:val="none"/>
                      <w:shd w:val="clear" w:color="auto" w:fill="FFFFFF"/>
                      <w:vertAlign w:val="subscript"/>
                      <w:lang w:val="en-US" w:eastAsia="zh-CN"/>
                    </w:rPr>
                    <w:t>3</w:t>
                  </w:r>
                  <w:r>
                    <w:rPr>
                      <w:rFonts w:hint="eastAsia"/>
                      <w:highlight w:val="none"/>
                      <w:shd w:val="clear" w:color="auto" w:fill="FFFFFF"/>
                    </w:rPr>
                    <w:t>、FeO/Fe</w:t>
                  </w:r>
                  <w:r>
                    <w:rPr>
                      <w:rFonts w:hint="eastAsia"/>
                      <w:highlight w:val="none"/>
                      <w:shd w:val="clear" w:color="auto" w:fill="FFFFFF"/>
                      <w:vertAlign w:val="subscript"/>
                      <w:lang w:val="en-US" w:eastAsia="zh-CN"/>
                    </w:rPr>
                    <w:t>2</w:t>
                  </w:r>
                  <w:r>
                    <w:rPr>
                      <w:rFonts w:hint="eastAsia"/>
                      <w:highlight w:val="none"/>
                      <w:shd w:val="clear" w:color="auto" w:fill="FFFFFF"/>
                    </w:rPr>
                    <w:t>O</w:t>
                  </w:r>
                  <w:r>
                    <w:rPr>
                      <w:rFonts w:hint="eastAsia"/>
                      <w:highlight w:val="none"/>
                      <w:shd w:val="clear" w:color="auto" w:fill="FFFFFF"/>
                      <w:vertAlign w:val="subscript"/>
                      <w:lang w:val="en-US" w:eastAsia="zh-CN"/>
                    </w:rPr>
                    <w:t>3</w:t>
                  </w:r>
                  <w:r>
                    <w:rPr>
                      <w:rFonts w:hint="eastAsia"/>
                      <w:highlight w:val="none"/>
                      <w:shd w:val="clear" w:color="auto" w:fill="FFFFFF"/>
                    </w:rPr>
                    <w:t>、CaO、TiO</w:t>
                  </w:r>
                  <w:r>
                    <w:rPr>
                      <w:rFonts w:hint="eastAsia"/>
                      <w:highlight w:val="none"/>
                      <w:shd w:val="clear" w:color="auto" w:fill="FFFFFF"/>
                      <w:vertAlign w:val="subscript"/>
                      <w:lang w:val="en-US" w:eastAsia="zh-CN"/>
                    </w:rPr>
                    <w:t>2</w:t>
                  </w:r>
                  <w:r>
                    <w:rPr>
                      <w:rFonts w:hint="eastAsia"/>
                      <w:highlight w:val="none"/>
                      <w:shd w:val="clear" w:color="auto" w:fill="FFFFFF"/>
                    </w:rPr>
                    <w:t>等氧化物，按钙含量分为高钙灰与低钙灰。其颗粒多呈玻璃体结构，孔隙率50%-80%，露天堆存易引发扬尘污染和有毒化学物质扩散，排入水系会造成淤塞并对人体及生物产生危害。</w:t>
                  </w:r>
                </w:p>
              </w:tc>
            </w:tr>
          </w:tbl>
          <w:p w14:paraId="05F1AB62">
            <w:pPr>
              <w:pStyle w:val="3"/>
              <w:rPr>
                <w:highlight w:val="none"/>
              </w:rPr>
            </w:pPr>
            <w:r>
              <w:rPr>
                <w:rFonts w:hint="eastAsia" w:ascii="Times New Roman" w:hAnsi="Times New Roman" w:cs="Times New Roman"/>
                <w:highlight w:val="none"/>
              </w:rPr>
              <w:t>2.4</w:t>
            </w:r>
            <w:r>
              <w:rPr>
                <w:rFonts w:hint="eastAsia"/>
                <w:highlight w:val="none"/>
              </w:rPr>
              <w:t>项目产品方案</w:t>
            </w:r>
          </w:p>
          <w:p w14:paraId="23488454">
            <w:pPr>
              <w:ind w:firstLine="480"/>
              <w:rPr>
                <w:highlight w:val="none"/>
              </w:rPr>
            </w:pPr>
            <w:r>
              <w:rPr>
                <w:rFonts w:hint="eastAsia"/>
                <w:highlight w:val="none"/>
              </w:rPr>
              <w:t>本项目产品方案见表2-</w:t>
            </w:r>
            <w:r>
              <w:rPr>
                <w:rFonts w:hint="eastAsia"/>
                <w:highlight w:val="none"/>
                <w:lang w:val="en-US" w:eastAsia="zh-CN"/>
              </w:rPr>
              <w:t>5</w:t>
            </w:r>
            <w:r>
              <w:rPr>
                <w:rFonts w:hint="eastAsia"/>
                <w:highlight w:val="none"/>
              </w:rPr>
              <w:t>。</w:t>
            </w:r>
          </w:p>
          <w:p w14:paraId="30094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2-</w:t>
            </w:r>
            <w:r>
              <w:rPr>
                <w:rFonts w:hint="eastAsia"/>
                <w:b/>
                <w:bCs/>
                <w:color w:val="auto"/>
                <w:kern w:val="0"/>
                <w:sz w:val="21"/>
                <w:szCs w:val="21"/>
                <w:highlight w:val="none"/>
                <w:lang w:val="en-US" w:eastAsia="zh-CN"/>
              </w:rPr>
              <w:t>5</w:t>
            </w:r>
            <w:r>
              <w:rPr>
                <w:rFonts w:hint="default"/>
                <w:b/>
                <w:bCs/>
                <w:color w:val="auto"/>
                <w:kern w:val="0"/>
                <w:sz w:val="21"/>
                <w:szCs w:val="21"/>
                <w:highlight w:val="none"/>
              </w:rPr>
              <w:t xml:space="preserve"> </w:t>
            </w:r>
            <w:r>
              <w:rPr>
                <w:rFonts w:hint="eastAsia"/>
                <w:b/>
                <w:bCs/>
                <w:color w:val="auto"/>
                <w:kern w:val="0"/>
                <w:sz w:val="21"/>
                <w:szCs w:val="21"/>
                <w:highlight w:val="none"/>
              </w:rPr>
              <w:t xml:space="preserve"> 主要产品</w:t>
            </w:r>
          </w:p>
          <w:tbl>
            <w:tblPr>
              <w:tblStyle w:val="30"/>
              <w:tblW w:w="794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5" w:type="dxa"/>
                <w:left w:w="15" w:type="dxa"/>
                <w:bottom w:w="15" w:type="dxa"/>
                <w:right w:w="15" w:type="dxa"/>
              </w:tblCellMar>
            </w:tblPr>
            <w:tblGrid>
              <w:gridCol w:w="849"/>
              <w:gridCol w:w="1650"/>
              <w:gridCol w:w="1980"/>
              <w:gridCol w:w="3464"/>
            </w:tblGrid>
            <w:tr w14:paraId="54F754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50" w:hRule="atLeast"/>
                <w:tblHeader/>
                <w:jc w:val="center"/>
              </w:trPr>
              <w:tc>
                <w:tcPr>
                  <w:tcW w:w="849" w:type="dxa"/>
                  <w:tcBorders>
                    <w:right w:val="single" w:color="auto" w:sz="4" w:space="0"/>
                    <w:tl2br w:val="nil"/>
                    <w:tr2bl w:val="nil"/>
                  </w:tcBorders>
                  <w:vAlign w:val="center"/>
                </w:tcPr>
                <w:p w14:paraId="6EF7DB4B">
                  <w:pPr>
                    <w:pStyle w:val="55"/>
                    <w:rPr>
                      <w:highlight w:val="none"/>
                    </w:rPr>
                  </w:pPr>
                  <w:r>
                    <w:rPr>
                      <w:rFonts w:hint="eastAsia"/>
                      <w:highlight w:val="none"/>
                    </w:rPr>
                    <w:t>序号</w:t>
                  </w:r>
                </w:p>
              </w:tc>
              <w:tc>
                <w:tcPr>
                  <w:tcW w:w="1650" w:type="dxa"/>
                  <w:tcBorders>
                    <w:left w:val="single" w:color="auto" w:sz="4" w:space="0"/>
                    <w:tl2br w:val="nil"/>
                    <w:tr2bl w:val="nil"/>
                  </w:tcBorders>
                  <w:vAlign w:val="center"/>
                </w:tcPr>
                <w:p w14:paraId="35A4CC13">
                  <w:pPr>
                    <w:pStyle w:val="55"/>
                    <w:rPr>
                      <w:highlight w:val="none"/>
                    </w:rPr>
                  </w:pPr>
                  <w:r>
                    <w:rPr>
                      <w:rFonts w:hint="eastAsia"/>
                      <w:highlight w:val="none"/>
                    </w:rPr>
                    <w:t>名称</w:t>
                  </w:r>
                </w:p>
              </w:tc>
              <w:tc>
                <w:tcPr>
                  <w:tcW w:w="1980" w:type="dxa"/>
                  <w:tcBorders>
                    <w:left w:val="single" w:color="auto" w:sz="4" w:space="0"/>
                    <w:right w:val="single" w:color="auto" w:sz="4" w:space="0"/>
                    <w:tl2br w:val="nil"/>
                    <w:tr2bl w:val="nil"/>
                  </w:tcBorders>
                  <w:vAlign w:val="center"/>
                </w:tcPr>
                <w:p w14:paraId="0E35CA40">
                  <w:pPr>
                    <w:pStyle w:val="55"/>
                    <w:rPr>
                      <w:highlight w:val="none"/>
                    </w:rPr>
                  </w:pPr>
                  <w:r>
                    <w:rPr>
                      <w:rFonts w:hint="eastAsia"/>
                      <w:highlight w:val="none"/>
                    </w:rPr>
                    <w:t>年产量</w:t>
                  </w:r>
                </w:p>
              </w:tc>
              <w:tc>
                <w:tcPr>
                  <w:tcW w:w="3464" w:type="dxa"/>
                  <w:tcBorders>
                    <w:tl2br w:val="nil"/>
                    <w:tr2bl w:val="nil"/>
                  </w:tcBorders>
                  <w:vAlign w:val="center"/>
                </w:tcPr>
                <w:p w14:paraId="409CA875">
                  <w:pPr>
                    <w:pStyle w:val="55"/>
                    <w:rPr>
                      <w:highlight w:val="none"/>
                    </w:rPr>
                  </w:pPr>
                  <w:r>
                    <w:rPr>
                      <w:rFonts w:hint="eastAsia"/>
                      <w:highlight w:val="none"/>
                    </w:rPr>
                    <w:t>备注</w:t>
                  </w:r>
                </w:p>
              </w:tc>
            </w:tr>
            <w:tr w14:paraId="547A3D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12" w:hRule="atLeast"/>
                <w:jc w:val="center"/>
              </w:trPr>
              <w:tc>
                <w:tcPr>
                  <w:tcW w:w="849" w:type="dxa"/>
                  <w:tcBorders>
                    <w:right w:val="single" w:color="auto" w:sz="4" w:space="0"/>
                    <w:tl2br w:val="nil"/>
                    <w:tr2bl w:val="nil"/>
                  </w:tcBorders>
                  <w:vAlign w:val="center"/>
                </w:tcPr>
                <w:p w14:paraId="2F75E925">
                  <w:pPr>
                    <w:pStyle w:val="55"/>
                    <w:rPr>
                      <w:highlight w:val="none"/>
                    </w:rPr>
                  </w:pPr>
                  <w:r>
                    <w:rPr>
                      <w:rFonts w:hint="eastAsia"/>
                      <w:highlight w:val="none"/>
                    </w:rPr>
                    <w:t>1</w:t>
                  </w:r>
                </w:p>
              </w:tc>
              <w:tc>
                <w:tcPr>
                  <w:tcW w:w="1650" w:type="dxa"/>
                  <w:tcBorders>
                    <w:left w:val="single" w:color="auto" w:sz="4" w:space="0"/>
                    <w:tl2br w:val="nil"/>
                    <w:tr2bl w:val="nil"/>
                  </w:tcBorders>
                  <w:vAlign w:val="center"/>
                </w:tcPr>
                <w:p w14:paraId="597E0FAD">
                  <w:pPr>
                    <w:pStyle w:val="55"/>
                    <w:rPr>
                      <w:rFonts w:hint="eastAsia" w:eastAsia="宋体"/>
                      <w:highlight w:val="none"/>
                      <w:lang w:eastAsia="zh-CN"/>
                    </w:rPr>
                  </w:pPr>
                  <w:r>
                    <w:rPr>
                      <w:rFonts w:hint="eastAsia"/>
                      <w:highlight w:val="none"/>
                      <w:lang w:val="en-US" w:eastAsia="zh-CN"/>
                    </w:rPr>
                    <w:t>粉煤灰</w:t>
                  </w:r>
                </w:p>
              </w:tc>
              <w:tc>
                <w:tcPr>
                  <w:tcW w:w="1980" w:type="dxa"/>
                  <w:tcBorders>
                    <w:left w:val="single" w:color="auto" w:sz="4" w:space="0"/>
                    <w:right w:val="single" w:color="auto" w:sz="4" w:space="0"/>
                    <w:tl2br w:val="nil"/>
                    <w:tr2bl w:val="nil"/>
                  </w:tcBorders>
                  <w:vAlign w:val="center"/>
                </w:tcPr>
                <w:p w14:paraId="542C3484">
                  <w:pPr>
                    <w:pStyle w:val="55"/>
                    <w:rPr>
                      <w:highlight w:val="none"/>
                    </w:rPr>
                  </w:pPr>
                  <w:r>
                    <w:rPr>
                      <w:rFonts w:hint="eastAsia"/>
                      <w:highlight w:val="none"/>
                      <w:lang w:val="en-US" w:eastAsia="zh-CN"/>
                    </w:rPr>
                    <w:t>20</w:t>
                  </w:r>
                  <w:r>
                    <w:rPr>
                      <w:rFonts w:hint="eastAsia"/>
                      <w:highlight w:val="none"/>
                    </w:rPr>
                    <w:t>万t/a</w:t>
                  </w:r>
                </w:p>
              </w:tc>
              <w:tc>
                <w:tcPr>
                  <w:tcW w:w="3464" w:type="dxa"/>
                  <w:tcBorders>
                    <w:tl2br w:val="nil"/>
                    <w:tr2bl w:val="nil"/>
                  </w:tcBorders>
                  <w:vAlign w:val="center"/>
                </w:tcPr>
                <w:p w14:paraId="3EE78F89">
                  <w:pPr>
                    <w:pStyle w:val="55"/>
                    <w:rPr>
                      <w:rFonts w:hint="eastAsia" w:eastAsia="宋体"/>
                      <w:highlight w:val="none"/>
                      <w:lang w:val="en-US" w:eastAsia="zh-CN"/>
                    </w:rPr>
                  </w:pPr>
                  <w:r>
                    <w:rPr>
                      <w:rFonts w:hint="eastAsia" w:eastAsia="宋体"/>
                      <w:highlight w:val="none"/>
                      <w:lang w:val="en-US" w:eastAsia="zh-CN"/>
                    </w:rPr>
                    <w:t>符合国家标准《用于水泥</w:t>
                  </w:r>
                  <w:r>
                    <w:rPr>
                      <w:rFonts w:hint="eastAsia"/>
                      <w:highlight w:val="none"/>
                      <w:lang w:val="en-US" w:eastAsia="zh-CN"/>
                    </w:rPr>
                    <w:t>和</w:t>
                  </w:r>
                  <w:r>
                    <w:rPr>
                      <w:rFonts w:hint="eastAsia" w:eastAsia="宋体"/>
                      <w:highlight w:val="none"/>
                      <w:lang w:val="en-US" w:eastAsia="zh-CN"/>
                    </w:rPr>
                    <w:t>混凝土中的粉煤灰》（GB/T1596-2017）规定的粉煤灰</w:t>
                  </w:r>
                </w:p>
              </w:tc>
            </w:tr>
          </w:tbl>
          <w:p w14:paraId="02463C79">
            <w:pPr>
              <w:pStyle w:val="3"/>
              <w:rPr>
                <w:highlight w:val="none"/>
              </w:rPr>
            </w:pPr>
            <w:r>
              <w:rPr>
                <w:rFonts w:hint="eastAsia" w:ascii="Times New Roman" w:hAnsi="Times New Roman" w:cs="Times New Roman"/>
                <w:highlight w:val="none"/>
              </w:rPr>
              <w:t>2.5</w:t>
            </w:r>
            <w:r>
              <w:rPr>
                <w:rFonts w:hint="eastAsia"/>
                <w:highlight w:val="none"/>
              </w:rPr>
              <w:t>公用工程</w:t>
            </w:r>
          </w:p>
          <w:p w14:paraId="5B8A918C">
            <w:pPr>
              <w:widowControl/>
              <w:ind w:firstLine="480"/>
              <w:jc w:val="left"/>
              <w:rPr>
                <w:highlight w:val="none"/>
              </w:rPr>
            </w:pPr>
            <w:r>
              <w:rPr>
                <w:rFonts w:hint="eastAsia"/>
                <w:highlight w:val="none"/>
              </w:rPr>
              <w:fldChar w:fldCharType="begin"/>
            </w:r>
            <w:r>
              <w:rPr>
                <w:rFonts w:hint="eastAsia"/>
                <w:highlight w:val="none"/>
              </w:rPr>
              <w:instrText xml:space="preserve"> = 1 \* GB3 \* MERGEFORMAT </w:instrText>
            </w:r>
            <w:r>
              <w:rPr>
                <w:rFonts w:hint="eastAsia"/>
                <w:highlight w:val="none"/>
              </w:rPr>
              <w:fldChar w:fldCharType="separate"/>
            </w:r>
            <w:r>
              <w:rPr>
                <w:highlight w:val="none"/>
              </w:rPr>
              <w:t>①</w:t>
            </w:r>
            <w:r>
              <w:rPr>
                <w:rFonts w:hint="eastAsia"/>
                <w:highlight w:val="none"/>
              </w:rPr>
              <w:fldChar w:fldCharType="end"/>
            </w:r>
            <w:r>
              <w:rPr>
                <w:rFonts w:hint="eastAsia"/>
                <w:highlight w:val="none"/>
              </w:rPr>
              <w:t>供水</w:t>
            </w:r>
          </w:p>
          <w:p w14:paraId="6DFE8C6A">
            <w:pPr>
              <w:widowControl/>
              <w:ind w:firstLine="480"/>
              <w:jc w:val="left"/>
              <w:rPr>
                <w:rFonts w:hint="eastAsia" w:eastAsia="宋体"/>
                <w:highlight w:val="none"/>
                <w:lang w:val="en-US" w:eastAsia="zh-CN"/>
              </w:rPr>
            </w:pPr>
            <w:r>
              <w:rPr>
                <w:rFonts w:hint="eastAsia"/>
                <w:highlight w:val="none"/>
              </w:rPr>
              <w:t>本项目生产、生活用水均由</w:t>
            </w:r>
            <w:r>
              <w:rPr>
                <w:rFonts w:hint="eastAsia"/>
                <w:highlight w:val="none"/>
                <w:lang w:val="en-US" w:eastAsia="zh-CN"/>
              </w:rPr>
              <w:t>若羌</w:t>
            </w:r>
            <w:r>
              <w:rPr>
                <w:rFonts w:hint="eastAsia"/>
                <w:highlight w:val="none"/>
              </w:rPr>
              <w:t>工业园区管网供给，可满足供水要求。生活用水：本项目劳动定员为</w:t>
            </w:r>
            <w:r>
              <w:rPr>
                <w:rFonts w:hint="eastAsia"/>
                <w:highlight w:val="none"/>
                <w:lang w:val="en-US" w:eastAsia="zh-CN"/>
              </w:rPr>
              <w:t>20</w:t>
            </w:r>
            <w:r>
              <w:rPr>
                <w:rFonts w:hint="eastAsia"/>
                <w:highlight w:val="none"/>
              </w:rPr>
              <w:t>人，</w:t>
            </w:r>
            <w:r>
              <w:rPr>
                <w:rFonts w:hint="eastAsia"/>
                <w:highlight w:val="none"/>
                <w:lang w:val="en-US" w:eastAsia="zh-CN"/>
              </w:rPr>
              <w:t>均</w:t>
            </w:r>
            <w:r>
              <w:rPr>
                <w:rFonts w:hint="eastAsia"/>
                <w:highlight w:val="none"/>
              </w:rPr>
              <w:t>在厂内</w:t>
            </w:r>
            <w:r>
              <w:rPr>
                <w:rFonts w:hint="eastAsia"/>
                <w:highlight w:val="none"/>
                <w:lang w:val="en-US" w:eastAsia="zh-CN"/>
              </w:rPr>
              <w:t>食宿</w:t>
            </w:r>
            <w:r>
              <w:rPr>
                <w:rFonts w:hint="eastAsia"/>
                <w:highlight w:val="none"/>
              </w:rPr>
              <w:t>，根据《新疆维吾尔自治区生活用水定额》，厂内食宿用水量按照每人</w:t>
            </w:r>
            <w:r>
              <w:rPr>
                <w:highlight w:val="none"/>
              </w:rPr>
              <w:t>80L/d</w:t>
            </w:r>
            <w:r>
              <w:rPr>
                <w:rFonts w:hint="eastAsia"/>
                <w:highlight w:val="none"/>
              </w:rPr>
              <w:t>计算，则厂区生活用水量为</w:t>
            </w:r>
            <w:r>
              <w:rPr>
                <w:rFonts w:hint="eastAsia"/>
                <w:highlight w:val="none"/>
                <w:lang w:val="en-US" w:eastAsia="zh-CN"/>
              </w:rPr>
              <w:t>1.6</w:t>
            </w:r>
            <w:r>
              <w:rPr>
                <w:highlight w:val="none"/>
              </w:rPr>
              <w:t>m</w:t>
            </w:r>
            <w:r>
              <w:rPr>
                <w:rFonts w:hint="eastAsia"/>
                <w:highlight w:val="none"/>
                <w:vertAlign w:val="superscript"/>
              </w:rPr>
              <w:t>3</w:t>
            </w:r>
            <w:r>
              <w:rPr>
                <w:highlight w:val="none"/>
              </w:rPr>
              <w:t>/d</w:t>
            </w:r>
            <w:r>
              <w:rPr>
                <w:rFonts w:hint="eastAsia"/>
                <w:highlight w:val="none"/>
              </w:rPr>
              <w:t>，</w:t>
            </w:r>
            <w:r>
              <w:rPr>
                <w:rFonts w:hint="eastAsia"/>
                <w:highlight w:val="none"/>
                <w:lang w:val="en-US" w:eastAsia="zh-CN"/>
              </w:rPr>
              <w:t>288</w:t>
            </w:r>
            <w:r>
              <w:rPr>
                <w:highlight w:val="none"/>
              </w:rPr>
              <w:t>m</w:t>
            </w:r>
            <w:r>
              <w:rPr>
                <w:rFonts w:hint="eastAsia"/>
                <w:highlight w:val="none"/>
                <w:vertAlign w:val="superscript"/>
              </w:rPr>
              <w:t>3</w:t>
            </w:r>
            <w:r>
              <w:rPr>
                <w:highlight w:val="none"/>
              </w:rPr>
              <w:t>/a</w:t>
            </w:r>
            <w:r>
              <w:rPr>
                <w:rFonts w:hint="eastAsia"/>
                <w:highlight w:val="none"/>
              </w:rPr>
              <w:t>。</w:t>
            </w:r>
            <w:r>
              <w:rPr>
                <w:highlight w:val="none"/>
              </w:rPr>
              <w:t>废水排放量按用水量80%计，则项目运营期生活</w:t>
            </w:r>
            <w:r>
              <w:rPr>
                <w:rFonts w:hint="eastAsia"/>
                <w:highlight w:val="none"/>
                <w:lang w:val="en-US" w:eastAsia="zh-CN"/>
              </w:rPr>
              <w:t>污水</w:t>
            </w:r>
            <w:r>
              <w:rPr>
                <w:highlight w:val="none"/>
              </w:rPr>
              <w:t>排放量为</w:t>
            </w:r>
            <w:r>
              <w:rPr>
                <w:rFonts w:hint="eastAsia"/>
                <w:highlight w:val="none"/>
                <w:lang w:val="en-US" w:eastAsia="zh-CN"/>
              </w:rPr>
              <w:t>1.28</w:t>
            </w:r>
            <w:r>
              <w:rPr>
                <w:highlight w:val="none"/>
              </w:rPr>
              <w:t>m</w:t>
            </w:r>
            <w:r>
              <w:rPr>
                <w:rFonts w:hint="eastAsia"/>
                <w:highlight w:val="none"/>
                <w:vertAlign w:val="superscript"/>
              </w:rPr>
              <w:t>3</w:t>
            </w:r>
            <w:r>
              <w:rPr>
                <w:highlight w:val="none"/>
              </w:rPr>
              <w:t>/d</w:t>
            </w:r>
            <w:r>
              <w:rPr>
                <w:rFonts w:hint="eastAsia"/>
                <w:highlight w:val="none"/>
              </w:rPr>
              <w:t>，</w:t>
            </w:r>
            <w:r>
              <w:rPr>
                <w:rFonts w:hint="eastAsia"/>
                <w:highlight w:val="none"/>
                <w:lang w:val="en-US" w:eastAsia="zh-CN"/>
              </w:rPr>
              <w:t>230.4</w:t>
            </w:r>
            <w:r>
              <w:rPr>
                <w:highlight w:val="none"/>
              </w:rPr>
              <w:t>m</w:t>
            </w:r>
            <w:r>
              <w:rPr>
                <w:rFonts w:hint="eastAsia"/>
                <w:highlight w:val="none"/>
                <w:vertAlign w:val="superscript"/>
              </w:rPr>
              <w:t>3</w:t>
            </w:r>
            <w:r>
              <w:rPr>
                <w:highlight w:val="none"/>
              </w:rPr>
              <w:t>/a</w:t>
            </w:r>
            <w:r>
              <w:rPr>
                <w:rFonts w:hint="eastAsia"/>
                <w:highlight w:val="none"/>
              </w:rPr>
              <w:t>。</w:t>
            </w:r>
            <w:r>
              <w:rPr>
                <w:rFonts w:hint="eastAsia"/>
                <w:highlight w:val="none"/>
                <w:lang w:val="en-US" w:eastAsia="zh-CN"/>
              </w:rPr>
              <w:t>设备冷却</w:t>
            </w:r>
            <w:r>
              <w:rPr>
                <w:rFonts w:hint="eastAsia"/>
                <w:highlight w:val="none"/>
              </w:rPr>
              <w:t>用水</w:t>
            </w:r>
            <w:r>
              <w:rPr>
                <w:rFonts w:hint="eastAsia"/>
                <w:highlight w:val="none"/>
                <w:lang w:val="en-US" w:eastAsia="zh-CN"/>
              </w:rPr>
              <w:t>2340</w:t>
            </w:r>
            <w:r>
              <w:rPr>
                <w:rFonts w:hint="eastAsia"/>
                <w:color w:val="auto"/>
                <w:highlight w:val="none"/>
              </w:rPr>
              <w:t>m</w:t>
            </w:r>
            <w:r>
              <w:rPr>
                <w:rFonts w:hint="eastAsia"/>
                <w:color w:val="auto"/>
                <w:highlight w:val="none"/>
                <w:vertAlign w:val="superscript"/>
              </w:rPr>
              <w:t>3</w:t>
            </w:r>
            <w:r>
              <w:rPr>
                <w:rFonts w:hint="eastAsia"/>
                <w:color w:val="auto"/>
                <w:highlight w:val="none"/>
              </w:rPr>
              <w:t>/a，循环用水为</w:t>
            </w:r>
            <w:r>
              <w:rPr>
                <w:rFonts w:hint="eastAsia"/>
                <w:color w:val="auto"/>
                <w:highlight w:val="none"/>
                <w:lang w:val="en-US" w:eastAsia="zh-CN"/>
              </w:rPr>
              <w:t>1872</w:t>
            </w:r>
            <w:r>
              <w:rPr>
                <w:rFonts w:hint="eastAsia"/>
                <w:color w:val="auto"/>
                <w:highlight w:val="none"/>
              </w:rPr>
              <w:t>m</w:t>
            </w:r>
            <w:r>
              <w:rPr>
                <w:rFonts w:hint="eastAsia"/>
                <w:color w:val="auto"/>
                <w:highlight w:val="none"/>
                <w:vertAlign w:val="superscript"/>
              </w:rPr>
              <w:t>3</w:t>
            </w:r>
            <w:r>
              <w:rPr>
                <w:rFonts w:hint="eastAsia"/>
                <w:color w:val="auto"/>
                <w:highlight w:val="none"/>
              </w:rPr>
              <w:t>/a，损耗水量</w:t>
            </w:r>
            <w:r>
              <w:rPr>
                <w:rFonts w:hint="eastAsia"/>
                <w:color w:val="auto"/>
                <w:highlight w:val="none"/>
                <w:lang w:val="en-US" w:eastAsia="zh-CN"/>
              </w:rPr>
              <w:t>按20</w:t>
            </w:r>
            <w:r>
              <w:rPr>
                <w:rFonts w:hint="eastAsia"/>
                <w:color w:val="auto"/>
                <w:highlight w:val="none"/>
              </w:rPr>
              <w:t>%计，损耗水量为</w:t>
            </w:r>
            <w:r>
              <w:rPr>
                <w:rFonts w:hint="eastAsia"/>
                <w:color w:val="auto"/>
                <w:highlight w:val="none"/>
                <w:lang w:val="en-US" w:eastAsia="zh-CN"/>
              </w:rPr>
              <w:t>2.6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468</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highlight w:val="none"/>
                <w:lang w:val="en-US" w:eastAsia="zh-CN"/>
              </w:rPr>
              <w:t>洒水降尘和绿化用水约为5m</w:t>
            </w:r>
            <w:r>
              <w:rPr>
                <w:rFonts w:hint="eastAsia"/>
                <w:highlight w:val="none"/>
                <w:vertAlign w:val="superscript"/>
                <w:lang w:val="en-US" w:eastAsia="zh-CN"/>
              </w:rPr>
              <w:t>3</w:t>
            </w:r>
            <w:r>
              <w:rPr>
                <w:rFonts w:hint="eastAsia"/>
                <w:highlight w:val="none"/>
                <w:lang w:val="en-US" w:eastAsia="zh-CN"/>
              </w:rPr>
              <w:t>/d，900</w:t>
            </w:r>
            <w:r>
              <w:rPr>
                <w:rFonts w:hint="eastAsia"/>
                <w:highlight w:val="none"/>
              </w:rPr>
              <w:t>m</w:t>
            </w:r>
            <w:r>
              <w:rPr>
                <w:rFonts w:hint="eastAsia"/>
                <w:highlight w:val="none"/>
                <w:vertAlign w:val="superscript"/>
              </w:rPr>
              <w:t>3</w:t>
            </w:r>
            <w:r>
              <w:rPr>
                <w:rFonts w:hint="eastAsia"/>
                <w:highlight w:val="none"/>
              </w:rPr>
              <w:t>/a</w:t>
            </w:r>
            <w:r>
              <w:rPr>
                <w:rFonts w:hint="eastAsia"/>
                <w:highlight w:val="none"/>
                <w:lang w:eastAsia="zh-CN"/>
              </w:rPr>
              <w:t>。</w:t>
            </w:r>
          </w:p>
          <w:p w14:paraId="595DA635">
            <w:pPr>
              <w:widowControl/>
              <w:ind w:firstLine="480"/>
              <w:jc w:val="left"/>
              <w:rPr>
                <w:highlight w:val="none"/>
              </w:rPr>
            </w:pPr>
            <w:r>
              <w:rPr>
                <w:rFonts w:hint="eastAsia"/>
                <w:highlight w:val="none"/>
              </w:rPr>
              <w:fldChar w:fldCharType="begin"/>
            </w:r>
            <w:r>
              <w:rPr>
                <w:rFonts w:hint="eastAsia"/>
                <w:highlight w:val="none"/>
              </w:rPr>
              <w:instrText xml:space="preserve"> = 2 \* GB3 \* MERGEFORMAT </w:instrText>
            </w:r>
            <w:r>
              <w:rPr>
                <w:rFonts w:hint="eastAsia"/>
                <w:highlight w:val="none"/>
              </w:rPr>
              <w:fldChar w:fldCharType="separate"/>
            </w:r>
            <w:r>
              <w:rPr>
                <w:highlight w:val="none"/>
              </w:rPr>
              <w:t>②</w:t>
            </w:r>
            <w:r>
              <w:rPr>
                <w:rFonts w:hint="eastAsia"/>
                <w:highlight w:val="none"/>
              </w:rPr>
              <w:fldChar w:fldCharType="end"/>
            </w:r>
            <w:r>
              <w:rPr>
                <w:rFonts w:hint="eastAsia"/>
                <w:highlight w:val="none"/>
              </w:rPr>
              <w:t>排水</w:t>
            </w:r>
          </w:p>
          <w:p w14:paraId="78BE2813">
            <w:pPr>
              <w:widowControl/>
              <w:ind w:firstLine="480"/>
              <w:jc w:val="left"/>
              <w:rPr>
                <w:rFonts w:hint="eastAsia"/>
                <w:highlight w:val="none"/>
              </w:rPr>
            </w:pPr>
            <w:r>
              <w:rPr>
                <w:rFonts w:hint="eastAsia"/>
                <w:highlight w:val="none"/>
              </w:rPr>
              <w:t>本项目产生的废水主要为生产废水和</w:t>
            </w:r>
            <w:r>
              <w:rPr>
                <w:rFonts w:hint="eastAsia"/>
                <w:highlight w:val="none"/>
                <w:lang w:eastAsia="zh-CN"/>
              </w:rPr>
              <w:t>生活污水</w:t>
            </w:r>
            <w:r>
              <w:rPr>
                <w:rFonts w:hint="eastAsia"/>
                <w:color w:val="auto"/>
                <w:highlight w:val="none"/>
              </w:rPr>
              <w:t>。</w:t>
            </w:r>
            <w:r>
              <w:rPr>
                <w:rFonts w:hint="eastAsia" w:eastAsia="宋体"/>
                <w:color w:val="auto"/>
                <w:highlight w:val="none"/>
                <w:lang w:eastAsia="zh-CN"/>
              </w:rPr>
              <w:t>设备冷却水循环利用</w:t>
            </w:r>
            <w:r>
              <w:rPr>
                <w:rFonts w:hint="eastAsia"/>
                <w:color w:val="auto"/>
                <w:highlight w:val="none"/>
              </w:rPr>
              <w:t>；</w:t>
            </w:r>
            <w:r>
              <w:rPr>
                <w:rFonts w:hint="eastAsia"/>
                <w:highlight w:val="none"/>
              </w:rPr>
              <w:t>运营期生活污水排入化粪池</w:t>
            </w:r>
            <w:r>
              <w:rPr>
                <w:rFonts w:hint="eastAsia"/>
                <w:highlight w:val="none"/>
                <w:lang w:eastAsia="zh-CN"/>
              </w:rPr>
              <w:t>，</w:t>
            </w: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b w:val="0"/>
                <w:bCs w:val="0"/>
                <w:color w:val="auto"/>
                <w:highlight w:val="none"/>
                <w:lang w:val="en-US" w:eastAsia="zh-CN"/>
              </w:rPr>
              <w:t>，待园区污水管网接通后排入管网</w:t>
            </w:r>
            <w:r>
              <w:rPr>
                <w:rFonts w:hint="eastAsia"/>
                <w:highlight w:val="none"/>
              </w:rPr>
              <w:t>。</w:t>
            </w:r>
          </w:p>
          <w:p w14:paraId="46A2E6BC">
            <w:pPr>
              <w:widowControl/>
              <w:ind w:firstLine="480"/>
              <w:jc w:val="left"/>
              <w:rPr>
                <w:highlight w:val="none"/>
              </w:rPr>
            </w:pPr>
            <w:r>
              <w:rPr>
                <w:rFonts w:hint="eastAsia"/>
                <w:highlight w:val="none"/>
              </w:rPr>
              <w:fldChar w:fldCharType="begin"/>
            </w:r>
            <w:r>
              <w:rPr>
                <w:rFonts w:hint="eastAsia"/>
                <w:highlight w:val="none"/>
              </w:rPr>
              <w:instrText xml:space="preserve"> = 3 \* GB3 \* MERGEFORMAT </w:instrText>
            </w:r>
            <w:r>
              <w:rPr>
                <w:rFonts w:hint="eastAsia"/>
                <w:highlight w:val="none"/>
              </w:rPr>
              <w:fldChar w:fldCharType="separate"/>
            </w:r>
            <w:r>
              <w:rPr>
                <w:highlight w:val="none"/>
              </w:rPr>
              <w:t>③</w:t>
            </w:r>
            <w:r>
              <w:rPr>
                <w:rFonts w:hint="eastAsia"/>
                <w:highlight w:val="none"/>
              </w:rPr>
              <w:fldChar w:fldCharType="end"/>
            </w:r>
            <w:r>
              <w:rPr>
                <w:rFonts w:hint="eastAsia"/>
                <w:highlight w:val="none"/>
              </w:rPr>
              <w:t>供电：本项目用电由</w:t>
            </w:r>
            <w:r>
              <w:rPr>
                <w:highlight w:val="none"/>
              </w:rPr>
              <w:t>园区</w:t>
            </w:r>
            <w:r>
              <w:rPr>
                <w:rFonts w:hint="eastAsia"/>
                <w:highlight w:val="none"/>
              </w:rPr>
              <w:t>电网供给，可以满足用电需求。</w:t>
            </w:r>
          </w:p>
          <w:p w14:paraId="7F57CA33">
            <w:pPr>
              <w:widowControl/>
              <w:ind w:firstLine="480"/>
              <w:jc w:val="left"/>
              <w:rPr>
                <w:rFonts w:hint="eastAsia"/>
                <w:highlight w:val="none"/>
              </w:rPr>
            </w:pPr>
            <w:r>
              <w:rPr>
                <w:rFonts w:hint="eastAsia"/>
                <w:highlight w:val="none"/>
              </w:rPr>
              <w:fldChar w:fldCharType="begin"/>
            </w:r>
            <w:r>
              <w:rPr>
                <w:rFonts w:hint="eastAsia"/>
                <w:highlight w:val="none"/>
              </w:rPr>
              <w:instrText xml:space="preserve"> = 4 \* GB3 \* MERGEFORMAT </w:instrText>
            </w:r>
            <w:r>
              <w:rPr>
                <w:rFonts w:hint="eastAsia"/>
                <w:highlight w:val="none"/>
              </w:rPr>
              <w:fldChar w:fldCharType="separate"/>
            </w:r>
            <w:r>
              <w:rPr>
                <w:highlight w:val="none"/>
              </w:rPr>
              <w:t>④</w:t>
            </w:r>
            <w:r>
              <w:rPr>
                <w:rFonts w:hint="eastAsia"/>
                <w:highlight w:val="none"/>
              </w:rPr>
              <w:fldChar w:fldCharType="end"/>
            </w:r>
            <w:r>
              <w:rPr>
                <w:rFonts w:hint="eastAsia"/>
                <w:highlight w:val="none"/>
              </w:rPr>
              <w:t>供暖：本项目无生产用热，采暖使用电采暖。</w:t>
            </w:r>
          </w:p>
          <w:p w14:paraId="32146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表</w:t>
            </w:r>
            <w:r>
              <w:rPr>
                <w:rFonts w:hint="default"/>
                <w:b/>
                <w:bCs/>
                <w:color w:val="auto"/>
                <w:kern w:val="0"/>
                <w:sz w:val="21"/>
                <w:szCs w:val="21"/>
                <w:highlight w:val="none"/>
              </w:rPr>
              <w:t>2-</w:t>
            </w:r>
            <w:r>
              <w:rPr>
                <w:rFonts w:hint="eastAsia"/>
                <w:b/>
                <w:bCs/>
                <w:color w:val="auto"/>
                <w:kern w:val="0"/>
                <w:sz w:val="21"/>
                <w:szCs w:val="21"/>
                <w:highlight w:val="none"/>
                <w:lang w:val="en-US" w:eastAsia="zh-CN"/>
              </w:rPr>
              <w:t>6</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 xml:space="preserve"> </w:t>
            </w:r>
            <w:r>
              <w:rPr>
                <w:rFonts w:hint="eastAsia"/>
                <w:b/>
                <w:bCs/>
                <w:color w:val="auto"/>
                <w:kern w:val="0"/>
                <w:sz w:val="21"/>
                <w:szCs w:val="21"/>
                <w:highlight w:val="none"/>
              </w:rPr>
              <w:t>本项目水平衡表  单位m</w:t>
            </w:r>
            <w:r>
              <w:rPr>
                <w:rFonts w:hint="eastAsia"/>
                <w:b/>
                <w:bCs/>
                <w:color w:val="auto"/>
                <w:kern w:val="0"/>
                <w:sz w:val="21"/>
                <w:szCs w:val="21"/>
                <w:highlight w:val="none"/>
                <w:vertAlign w:val="superscript"/>
              </w:rPr>
              <w:t>3</w:t>
            </w:r>
            <w:r>
              <w:rPr>
                <w:rFonts w:hint="eastAsia"/>
                <w:b/>
                <w:bCs/>
                <w:color w:val="auto"/>
                <w:kern w:val="0"/>
                <w:sz w:val="21"/>
                <w:szCs w:val="21"/>
                <w:highlight w:val="none"/>
              </w:rPr>
              <w:t>/a</w:t>
            </w:r>
          </w:p>
          <w:tbl>
            <w:tblPr>
              <w:tblStyle w:val="30"/>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966"/>
              <w:gridCol w:w="917"/>
              <w:gridCol w:w="1117"/>
              <w:gridCol w:w="1166"/>
              <w:gridCol w:w="1084"/>
              <w:gridCol w:w="1600"/>
            </w:tblGrid>
            <w:tr w14:paraId="49B6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29" w:type="dxa"/>
                  <w:vMerge w:val="restart"/>
                  <w:vAlign w:val="center"/>
                </w:tcPr>
                <w:p w14:paraId="5387B300">
                  <w:pPr>
                    <w:pStyle w:val="55"/>
                    <w:rPr>
                      <w:highlight w:val="none"/>
                    </w:rPr>
                  </w:pPr>
                  <w:bookmarkStart w:id="4" w:name="_Hlk52894045"/>
                  <w:r>
                    <w:rPr>
                      <w:rFonts w:hint="eastAsia"/>
                      <w:highlight w:val="none"/>
                    </w:rPr>
                    <w:t>用水项目</w:t>
                  </w:r>
                </w:p>
              </w:tc>
              <w:tc>
                <w:tcPr>
                  <w:tcW w:w="1883" w:type="dxa"/>
                  <w:gridSpan w:val="2"/>
                  <w:vAlign w:val="center"/>
                </w:tcPr>
                <w:p w14:paraId="17EAE15E">
                  <w:pPr>
                    <w:pStyle w:val="55"/>
                    <w:rPr>
                      <w:highlight w:val="none"/>
                    </w:rPr>
                  </w:pPr>
                  <w:r>
                    <w:rPr>
                      <w:rFonts w:hint="eastAsia"/>
                      <w:highlight w:val="none"/>
                    </w:rPr>
                    <w:t>进水</w:t>
                  </w:r>
                </w:p>
              </w:tc>
              <w:tc>
                <w:tcPr>
                  <w:tcW w:w="3367" w:type="dxa"/>
                  <w:gridSpan w:val="3"/>
                  <w:vAlign w:val="center"/>
                </w:tcPr>
                <w:p w14:paraId="28D488E0">
                  <w:pPr>
                    <w:pStyle w:val="55"/>
                    <w:rPr>
                      <w:highlight w:val="none"/>
                    </w:rPr>
                  </w:pPr>
                  <w:r>
                    <w:rPr>
                      <w:rFonts w:hint="eastAsia"/>
                      <w:highlight w:val="none"/>
                    </w:rPr>
                    <w:t>排水</w:t>
                  </w:r>
                </w:p>
              </w:tc>
              <w:tc>
                <w:tcPr>
                  <w:tcW w:w="1600" w:type="dxa"/>
                  <w:vMerge w:val="restart"/>
                  <w:vAlign w:val="center"/>
                </w:tcPr>
                <w:p w14:paraId="7C93B5EA">
                  <w:pPr>
                    <w:pStyle w:val="55"/>
                    <w:rPr>
                      <w:highlight w:val="none"/>
                    </w:rPr>
                  </w:pPr>
                  <w:r>
                    <w:rPr>
                      <w:rFonts w:hint="eastAsia"/>
                      <w:highlight w:val="none"/>
                    </w:rPr>
                    <w:t>排放去向</w:t>
                  </w:r>
                </w:p>
              </w:tc>
            </w:tr>
            <w:tr w14:paraId="09AC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229" w:type="dxa"/>
                  <w:vMerge w:val="continue"/>
                  <w:vAlign w:val="center"/>
                </w:tcPr>
                <w:p w14:paraId="045242E3">
                  <w:pPr>
                    <w:pStyle w:val="55"/>
                    <w:rPr>
                      <w:highlight w:val="none"/>
                    </w:rPr>
                  </w:pPr>
                </w:p>
              </w:tc>
              <w:tc>
                <w:tcPr>
                  <w:tcW w:w="966" w:type="dxa"/>
                  <w:vAlign w:val="center"/>
                </w:tcPr>
                <w:p w14:paraId="62DCB443">
                  <w:pPr>
                    <w:pStyle w:val="55"/>
                    <w:rPr>
                      <w:highlight w:val="none"/>
                    </w:rPr>
                  </w:pPr>
                  <w:r>
                    <w:rPr>
                      <w:rFonts w:hint="eastAsia"/>
                      <w:highlight w:val="none"/>
                    </w:rPr>
                    <w:t>新鲜水</w:t>
                  </w:r>
                </w:p>
              </w:tc>
              <w:tc>
                <w:tcPr>
                  <w:tcW w:w="917" w:type="dxa"/>
                  <w:vAlign w:val="center"/>
                </w:tcPr>
                <w:p w14:paraId="47FC5837">
                  <w:pPr>
                    <w:pStyle w:val="55"/>
                    <w:rPr>
                      <w:highlight w:val="none"/>
                    </w:rPr>
                  </w:pPr>
                  <w:r>
                    <w:rPr>
                      <w:rFonts w:hint="eastAsia"/>
                      <w:highlight w:val="none"/>
                    </w:rPr>
                    <w:t>循环水</w:t>
                  </w:r>
                </w:p>
              </w:tc>
              <w:tc>
                <w:tcPr>
                  <w:tcW w:w="1117" w:type="dxa"/>
                  <w:vAlign w:val="center"/>
                </w:tcPr>
                <w:p w14:paraId="36D102B5">
                  <w:pPr>
                    <w:pStyle w:val="55"/>
                    <w:rPr>
                      <w:highlight w:val="none"/>
                    </w:rPr>
                  </w:pPr>
                  <w:r>
                    <w:rPr>
                      <w:rFonts w:hint="eastAsia"/>
                      <w:highlight w:val="none"/>
                    </w:rPr>
                    <w:t>损耗水量</w:t>
                  </w:r>
                </w:p>
              </w:tc>
              <w:tc>
                <w:tcPr>
                  <w:tcW w:w="1166" w:type="dxa"/>
                  <w:vAlign w:val="center"/>
                </w:tcPr>
                <w:p w14:paraId="0B61B399">
                  <w:pPr>
                    <w:pStyle w:val="55"/>
                    <w:rPr>
                      <w:highlight w:val="none"/>
                    </w:rPr>
                  </w:pPr>
                  <w:r>
                    <w:rPr>
                      <w:rFonts w:hint="eastAsia"/>
                      <w:highlight w:val="none"/>
                    </w:rPr>
                    <w:t>循环水量</w:t>
                  </w:r>
                </w:p>
              </w:tc>
              <w:tc>
                <w:tcPr>
                  <w:tcW w:w="1084" w:type="dxa"/>
                  <w:vAlign w:val="center"/>
                </w:tcPr>
                <w:p w14:paraId="3E339FE4">
                  <w:pPr>
                    <w:pStyle w:val="55"/>
                    <w:rPr>
                      <w:highlight w:val="none"/>
                    </w:rPr>
                  </w:pPr>
                  <w:r>
                    <w:rPr>
                      <w:rFonts w:hint="eastAsia"/>
                      <w:highlight w:val="none"/>
                    </w:rPr>
                    <w:t>排水量</w:t>
                  </w:r>
                </w:p>
              </w:tc>
              <w:tc>
                <w:tcPr>
                  <w:tcW w:w="1600" w:type="dxa"/>
                  <w:vMerge w:val="continue"/>
                  <w:vAlign w:val="center"/>
                </w:tcPr>
                <w:p w14:paraId="5D89C737">
                  <w:pPr>
                    <w:pStyle w:val="55"/>
                    <w:rPr>
                      <w:highlight w:val="none"/>
                    </w:rPr>
                  </w:pPr>
                </w:p>
              </w:tc>
            </w:tr>
            <w:tr w14:paraId="3964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29" w:type="dxa"/>
                  <w:vAlign w:val="center"/>
                </w:tcPr>
                <w:p w14:paraId="395A15CB">
                  <w:pPr>
                    <w:pStyle w:val="55"/>
                    <w:rPr>
                      <w:rFonts w:hint="default" w:eastAsia="宋体"/>
                      <w:highlight w:val="none"/>
                      <w:lang w:val="en-US" w:eastAsia="zh-CN"/>
                    </w:rPr>
                  </w:pPr>
                  <w:r>
                    <w:rPr>
                      <w:rFonts w:hint="eastAsia"/>
                      <w:highlight w:val="none"/>
                      <w:lang w:val="en-US" w:eastAsia="zh-CN"/>
                    </w:rPr>
                    <w:t>设备冷却</w:t>
                  </w:r>
                </w:p>
              </w:tc>
              <w:tc>
                <w:tcPr>
                  <w:tcW w:w="966" w:type="dxa"/>
                  <w:vAlign w:val="center"/>
                </w:tcPr>
                <w:p w14:paraId="5002D8B9">
                  <w:pPr>
                    <w:pStyle w:val="55"/>
                    <w:rPr>
                      <w:rFonts w:hint="default" w:eastAsia="宋体"/>
                      <w:highlight w:val="none"/>
                      <w:lang w:val="en-US" w:eastAsia="zh-CN"/>
                    </w:rPr>
                  </w:pPr>
                  <w:r>
                    <w:rPr>
                      <w:rFonts w:hint="eastAsia"/>
                      <w:highlight w:val="none"/>
                      <w:lang w:val="en-US" w:eastAsia="zh-CN"/>
                    </w:rPr>
                    <w:t>468</w:t>
                  </w:r>
                </w:p>
              </w:tc>
              <w:tc>
                <w:tcPr>
                  <w:tcW w:w="917" w:type="dxa"/>
                  <w:vAlign w:val="center"/>
                </w:tcPr>
                <w:p w14:paraId="18411218">
                  <w:pPr>
                    <w:pStyle w:val="55"/>
                    <w:rPr>
                      <w:highlight w:val="none"/>
                    </w:rPr>
                  </w:pPr>
                  <w:r>
                    <w:rPr>
                      <w:highlight w:val="none"/>
                    </w:rPr>
                    <w:t>--</w:t>
                  </w:r>
                </w:p>
              </w:tc>
              <w:tc>
                <w:tcPr>
                  <w:tcW w:w="1117" w:type="dxa"/>
                  <w:vAlign w:val="center"/>
                </w:tcPr>
                <w:p w14:paraId="135FD0E1">
                  <w:pPr>
                    <w:pStyle w:val="55"/>
                    <w:rPr>
                      <w:rFonts w:hint="default" w:eastAsia="宋体"/>
                      <w:highlight w:val="none"/>
                      <w:lang w:val="en-US" w:eastAsia="zh-CN"/>
                    </w:rPr>
                  </w:pPr>
                  <w:r>
                    <w:rPr>
                      <w:rFonts w:hint="eastAsia"/>
                      <w:color w:val="auto"/>
                      <w:highlight w:val="none"/>
                      <w:lang w:val="en-US" w:eastAsia="zh-CN"/>
                    </w:rPr>
                    <w:t>468</w:t>
                  </w:r>
                </w:p>
              </w:tc>
              <w:tc>
                <w:tcPr>
                  <w:tcW w:w="1166" w:type="dxa"/>
                  <w:vAlign w:val="center"/>
                </w:tcPr>
                <w:p w14:paraId="5DDCF704">
                  <w:pPr>
                    <w:pStyle w:val="55"/>
                    <w:rPr>
                      <w:rFonts w:hint="default" w:eastAsia="宋体"/>
                      <w:highlight w:val="none"/>
                      <w:lang w:val="en-US" w:eastAsia="zh-CN"/>
                    </w:rPr>
                  </w:pPr>
                  <w:r>
                    <w:rPr>
                      <w:rFonts w:hint="eastAsia"/>
                      <w:color w:val="auto"/>
                      <w:highlight w:val="none"/>
                      <w:lang w:val="en-US" w:eastAsia="zh-CN"/>
                    </w:rPr>
                    <w:t>1872</w:t>
                  </w:r>
                </w:p>
              </w:tc>
              <w:tc>
                <w:tcPr>
                  <w:tcW w:w="1084" w:type="dxa"/>
                  <w:vAlign w:val="center"/>
                </w:tcPr>
                <w:p w14:paraId="00FD45E6">
                  <w:pPr>
                    <w:pStyle w:val="55"/>
                    <w:rPr>
                      <w:rFonts w:hint="eastAsia" w:eastAsia="宋体"/>
                      <w:highlight w:val="none"/>
                      <w:lang w:val="en-US" w:eastAsia="zh-CN"/>
                    </w:rPr>
                  </w:pPr>
                  <w:r>
                    <w:rPr>
                      <w:rFonts w:hint="eastAsia"/>
                      <w:highlight w:val="none"/>
                      <w:lang w:val="en-US" w:eastAsia="zh-CN"/>
                    </w:rPr>
                    <w:t>/</w:t>
                  </w:r>
                </w:p>
              </w:tc>
              <w:tc>
                <w:tcPr>
                  <w:tcW w:w="1600" w:type="dxa"/>
                  <w:vAlign w:val="center"/>
                </w:tcPr>
                <w:p w14:paraId="0F6F3C2F">
                  <w:pPr>
                    <w:pStyle w:val="55"/>
                    <w:rPr>
                      <w:highlight w:val="none"/>
                    </w:rPr>
                  </w:pPr>
                  <w:r>
                    <w:rPr>
                      <w:highlight w:val="none"/>
                    </w:rPr>
                    <w:t>--</w:t>
                  </w:r>
                </w:p>
              </w:tc>
            </w:tr>
            <w:tr w14:paraId="7680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29" w:type="dxa"/>
                  <w:vAlign w:val="center"/>
                </w:tcPr>
                <w:p w14:paraId="62017670">
                  <w:pPr>
                    <w:pStyle w:val="55"/>
                    <w:rPr>
                      <w:highlight w:val="none"/>
                    </w:rPr>
                  </w:pPr>
                  <w:r>
                    <w:rPr>
                      <w:rFonts w:hint="eastAsia"/>
                      <w:highlight w:val="none"/>
                    </w:rPr>
                    <w:t>生活用水</w:t>
                  </w:r>
                </w:p>
              </w:tc>
              <w:tc>
                <w:tcPr>
                  <w:tcW w:w="966" w:type="dxa"/>
                  <w:vAlign w:val="center"/>
                </w:tcPr>
                <w:p w14:paraId="6D298458">
                  <w:pPr>
                    <w:pStyle w:val="55"/>
                    <w:rPr>
                      <w:highlight w:val="none"/>
                    </w:rPr>
                  </w:pPr>
                  <w:r>
                    <w:rPr>
                      <w:rFonts w:hint="eastAsia"/>
                      <w:highlight w:val="none"/>
                      <w:lang w:val="en-US" w:eastAsia="zh-CN"/>
                    </w:rPr>
                    <w:t>288</w:t>
                  </w:r>
                </w:p>
              </w:tc>
              <w:tc>
                <w:tcPr>
                  <w:tcW w:w="917" w:type="dxa"/>
                  <w:vAlign w:val="center"/>
                </w:tcPr>
                <w:p w14:paraId="6CC7261E">
                  <w:pPr>
                    <w:pStyle w:val="55"/>
                    <w:rPr>
                      <w:highlight w:val="none"/>
                    </w:rPr>
                  </w:pPr>
                  <w:r>
                    <w:rPr>
                      <w:highlight w:val="none"/>
                    </w:rPr>
                    <w:t>--</w:t>
                  </w:r>
                </w:p>
              </w:tc>
              <w:tc>
                <w:tcPr>
                  <w:tcW w:w="1117" w:type="dxa"/>
                  <w:vAlign w:val="center"/>
                </w:tcPr>
                <w:p w14:paraId="2F0E3A5F">
                  <w:pPr>
                    <w:pStyle w:val="55"/>
                    <w:rPr>
                      <w:rFonts w:hint="default" w:eastAsia="宋体"/>
                      <w:highlight w:val="none"/>
                      <w:lang w:val="en-US" w:eastAsia="zh-CN"/>
                    </w:rPr>
                  </w:pPr>
                  <w:r>
                    <w:rPr>
                      <w:rFonts w:hint="eastAsia"/>
                      <w:highlight w:val="none"/>
                      <w:lang w:val="en-US" w:eastAsia="zh-CN"/>
                    </w:rPr>
                    <w:t>57.6</w:t>
                  </w:r>
                </w:p>
              </w:tc>
              <w:tc>
                <w:tcPr>
                  <w:tcW w:w="1166" w:type="dxa"/>
                  <w:vAlign w:val="center"/>
                </w:tcPr>
                <w:p w14:paraId="4FE21086">
                  <w:pPr>
                    <w:pStyle w:val="55"/>
                    <w:rPr>
                      <w:rFonts w:hint="eastAsia" w:eastAsia="宋体"/>
                      <w:highlight w:val="none"/>
                      <w:lang w:val="en-US" w:eastAsia="zh-CN"/>
                    </w:rPr>
                  </w:pPr>
                  <w:r>
                    <w:rPr>
                      <w:rFonts w:hint="eastAsia"/>
                      <w:highlight w:val="none"/>
                      <w:lang w:val="en-US" w:eastAsia="zh-CN"/>
                    </w:rPr>
                    <w:t>/</w:t>
                  </w:r>
                </w:p>
              </w:tc>
              <w:tc>
                <w:tcPr>
                  <w:tcW w:w="1084" w:type="dxa"/>
                  <w:vAlign w:val="center"/>
                </w:tcPr>
                <w:p w14:paraId="2EA0BF7F">
                  <w:pPr>
                    <w:pStyle w:val="55"/>
                    <w:rPr>
                      <w:rFonts w:hint="default" w:eastAsia="宋体"/>
                      <w:highlight w:val="none"/>
                      <w:lang w:val="en-US" w:eastAsia="zh-CN"/>
                    </w:rPr>
                  </w:pPr>
                  <w:r>
                    <w:rPr>
                      <w:rFonts w:hint="eastAsia"/>
                      <w:highlight w:val="none"/>
                      <w:lang w:val="en-US" w:eastAsia="zh-CN"/>
                    </w:rPr>
                    <w:t>230.4</w:t>
                  </w:r>
                </w:p>
              </w:tc>
              <w:tc>
                <w:tcPr>
                  <w:tcW w:w="1600" w:type="dxa"/>
                  <w:vAlign w:val="center"/>
                </w:tcPr>
                <w:p w14:paraId="67DF244E">
                  <w:pPr>
                    <w:pStyle w:val="55"/>
                    <w:rPr>
                      <w:rFonts w:hint="default" w:eastAsia="宋体"/>
                      <w:highlight w:val="none"/>
                      <w:lang w:val="en-US" w:eastAsia="zh-CN"/>
                    </w:rPr>
                  </w:pP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b w:val="0"/>
                      <w:bCs w:val="0"/>
                      <w:color w:val="auto"/>
                      <w:highlight w:val="none"/>
                      <w:lang w:val="en-US" w:eastAsia="zh-CN"/>
                    </w:rPr>
                    <w:t>，待园区污水管网接通后排入管网</w:t>
                  </w:r>
                </w:p>
              </w:tc>
            </w:tr>
            <w:tr w14:paraId="62AD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29" w:type="dxa"/>
                  <w:vAlign w:val="center"/>
                </w:tcPr>
                <w:p w14:paraId="6F5A318C">
                  <w:pPr>
                    <w:pStyle w:val="55"/>
                    <w:rPr>
                      <w:rFonts w:hint="eastAsia"/>
                      <w:highlight w:val="none"/>
                    </w:rPr>
                  </w:pPr>
                  <w:r>
                    <w:rPr>
                      <w:rFonts w:hint="eastAsia"/>
                      <w:highlight w:val="none"/>
                      <w:lang w:val="en-US" w:eastAsia="zh-CN"/>
                    </w:rPr>
                    <w:t>洒水降尘、绿化用水</w:t>
                  </w:r>
                </w:p>
              </w:tc>
              <w:tc>
                <w:tcPr>
                  <w:tcW w:w="966" w:type="dxa"/>
                  <w:vAlign w:val="center"/>
                </w:tcPr>
                <w:p w14:paraId="6332C157">
                  <w:pPr>
                    <w:pStyle w:val="55"/>
                    <w:rPr>
                      <w:rFonts w:hint="default"/>
                      <w:highlight w:val="none"/>
                      <w:lang w:val="en-US" w:eastAsia="zh-CN"/>
                    </w:rPr>
                  </w:pPr>
                  <w:r>
                    <w:rPr>
                      <w:rFonts w:hint="eastAsia"/>
                      <w:highlight w:val="none"/>
                      <w:lang w:val="en-US" w:eastAsia="zh-CN"/>
                    </w:rPr>
                    <w:t>900</w:t>
                  </w:r>
                </w:p>
              </w:tc>
              <w:tc>
                <w:tcPr>
                  <w:tcW w:w="917" w:type="dxa"/>
                  <w:vAlign w:val="center"/>
                </w:tcPr>
                <w:p w14:paraId="2FF94DF4">
                  <w:pPr>
                    <w:pStyle w:val="55"/>
                    <w:rPr>
                      <w:rFonts w:hint="eastAsia" w:eastAsia="宋体"/>
                      <w:highlight w:val="none"/>
                      <w:lang w:val="en-US" w:eastAsia="zh-CN"/>
                    </w:rPr>
                  </w:pPr>
                  <w:r>
                    <w:rPr>
                      <w:highlight w:val="none"/>
                    </w:rPr>
                    <w:t>--</w:t>
                  </w:r>
                </w:p>
              </w:tc>
              <w:tc>
                <w:tcPr>
                  <w:tcW w:w="1117" w:type="dxa"/>
                  <w:vAlign w:val="center"/>
                </w:tcPr>
                <w:p w14:paraId="346A1856">
                  <w:pPr>
                    <w:pStyle w:val="55"/>
                    <w:rPr>
                      <w:rFonts w:hint="default"/>
                      <w:highlight w:val="none"/>
                      <w:lang w:val="en-US" w:eastAsia="zh-CN"/>
                    </w:rPr>
                  </w:pPr>
                  <w:r>
                    <w:rPr>
                      <w:rFonts w:hint="eastAsia"/>
                      <w:highlight w:val="none"/>
                      <w:lang w:val="en-US" w:eastAsia="zh-CN"/>
                    </w:rPr>
                    <w:t>900</w:t>
                  </w:r>
                </w:p>
              </w:tc>
              <w:tc>
                <w:tcPr>
                  <w:tcW w:w="1166" w:type="dxa"/>
                  <w:vAlign w:val="center"/>
                </w:tcPr>
                <w:p w14:paraId="704FAF23">
                  <w:pPr>
                    <w:pStyle w:val="55"/>
                    <w:rPr>
                      <w:rFonts w:hint="eastAsia" w:eastAsia="宋体"/>
                      <w:highlight w:val="none"/>
                      <w:lang w:val="en-US" w:eastAsia="zh-CN"/>
                    </w:rPr>
                  </w:pPr>
                  <w:r>
                    <w:rPr>
                      <w:rFonts w:hint="eastAsia"/>
                      <w:highlight w:val="none"/>
                      <w:lang w:val="en-US" w:eastAsia="zh-CN"/>
                    </w:rPr>
                    <w:t>/</w:t>
                  </w:r>
                </w:p>
              </w:tc>
              <w:tc>
                <w:tcPr>
                  <w:tcW w:w="1084" w:type="dxa"/>
                  <w:vAlign w:val="center"/>
                </w:tcPr>
                <w:p w14:paraId="2EFCD18F">
                  <w:pPr>
                    <w:pStyle w:val="55"/>
                    <w:rPr>
                      <w:rFonts w:hint="default"/>
                      <w:highlight w:val="none"/>
                      <w:lang w:val="en-US" w:eastAsia="zh-CN"/>
                    </w:rPr>
                  </w:pPr>
                  <w:r>
                    <w:rPr>
                      <w:rFonts w:hint="eastAsia"/>
                      <w:highlight w:val="none"/>
                      <w:lang w:val="en-US" w:eastAsia="zh-CN"/>
                    </w:rPr>
                    <w:t>/</w:t>
                  </w:r>
                </w:p>
              </w:tc>
              <w:tc>
                <w:tcPr>
                  <w:tcW w:w="1600" w:type="dxa"/>
                  <w:vAlign w:val="center"/>
                </w:tcPr>
                <w:p w14:paraId="562033FA">
                  <w:pPr>
                    <w:pStyle w:val="55"/>
                    <w:rPr>
                      <w:rFonts w:hint="default"/>
                      <w:highlight w:val="none"/>
                      <w:lang w:val="en-US" w:eastAsia="zh-CN"/>
                    </w:rPr>
                  </w:pPr>
                  <w:r>
                    <w:rPr>
                      <w:rFonts w:hint="eastAsia"/>
                      <w:highlight w:val="none"/>
                      <w:lang w:val="en-US" w:eastAsia="zh-CN"/>
                    </w:rPr>
                    <w:t>自然蒸发</w:t>
                  </w:r>
                </w:p>
              </w:tc>
            </w:tr>
            <w:bookmarkEnd w:id="4"/>
          </w:tbl>
          <w:p w14:paraId="15DED557">
            <w:pPr>
              <w:pStyle w:val="3"/>
              <w:keepNext/>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highlight w:val="none"/>
              </w:rPr>
            </w:pPr>
            <w:r>
              <w:rPr>
                <w:rFonts w:hint="default" w:ascii="Times New Roman" w:hAnsi="Times New Roman" w:cs="Times New Roman"/>
                <w:b/>
                <w:bCs/>
                <w:color w:val="auto"/>
                <w:kern w:val="0"/>
                <w:sz w:val="21"/>
                <w:szCs w:val="21"/>
                <w:highlight w:val="none"/>
              </w:rPr>
              <w:object>
                <v:shape id="_x0000_i1025" o:spt="75" type="#_x0000_t75" style="height:159.75pt;width:393.4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r>
              <w:rPr>
                <w:rFonts w:hint="default" w:ascii="Times New Roman" w:hAnsi="Times New Roman" w:cs="Times New Roman"/>
                <w:b/>
                <w:bCs/>
                <w:color w:val="auto"/>
                <w:kern w:val="0"/>
                <w:sz w:val="21"/>
                <w:szCs w:val="21"/>
                <w:highlight w:val="none"/>
              </w:rPr>
              <w:t>图</w:t>
            </w:r>
            <w:r>
              <w:rPr>
                <w:rFonts w:hint="default" w:ascii="Times New Roman" w:hAnsi="Times New Roman" w:cs="Times New Roman"/>
                <w:b/>
                <w:bCs/>
                <w:color w:val="auto"/>
                <w:kern w:val="0"/>
                <w:sz w:val="21"/>
                <w:szCs w:val="21"/>
                <w:highlight w:val="none"/>
                <w:lang w:val="en-US" w:eastAsia="zh-CN"/>
              </w:rPr>
              <w:t>2-1</w:t>
            </w:r>
            <w:r>
              <w:rPr>
                <w:rFonts w:hint="default" w:ascii="Times New Roman" w:hAnsi="Times New Roman" w:cs="Times New Roman"/>
                <w:b/>
                <w:bCs/>
                <w:color w:val="auto"/>
                <w:kern w:val="0"/>
                <w:sz w:val="21"/>
                <w:szCs w:val="21"/>
                <w:highlight w:val="none"/>
              </w:rPr>
              <w:t xml:space="preserve">  项目水平衡图（m</w:t>
            </w:r>
            <w:r>
              <w:rPr>
                <w:rFonts w:hint="default" w:ascii="Times New Roman" w:hAnsi="Times New Roman" w:cs="Times New Roman"/>
                <w:b/>
                <w:bCs/>
                <w:color w:val="auto"/>
                <w:kern w:val="0"/>
                <w:sz w:val="21"/>
                <w:szCs w:val="21"/>
                <w:highlight w:val="none"/>
                <w:vertAlign w:val="superscript"/>
              </w:rPr>
              <w:t>3</w:t>
            </w:r>
            <w:r>
              <w:rPr>
                <w:rFonts w:hint="default" w:ascii="Times New Roman" w:hAnsi="Times New Roman" w:cs="Times New Roman"/>
                <w:b/>
                <w:bCs/>
                <w:color w:val="auto"/>
                <w:kern w:val="0"/>
                <w:sz w:val="21"/>
                <w:szCs w:val="21"/>
                <w:highlight w:val="none"/>
              </w:rPr>
              <w:t>/a）</w:t>
            </w:r>
          </w:p>
          <w:p w14:paraId="41E02680">
            <w:pPr>
              <w:pStyle w:val="3"/>
              <w:rPr>
                <w:highlight w:val="none"/>
              </w:rPr>
            </w:pPr>
            <w:r>
              <w:rPr>
                <w:rFonts w:hint="eastAsia" w:ascii="Times New Roman" w:hAnsi="Times New Roman" w:cs="Times New Roman"/>
                <w:highlight w:val="none"/>
              </w:rPr>
              <w:t>2.6</w:t>
            </w:r>
            <w:r>
              <w:rPr>
                <w:rFonts w:hint="eastAsia"/>
                <w:highlight w:val="none"/>
              </w:rPr>
              <w:t>劳动定员与工作制度</w:t>
            </w:r>
          </w:p>
          <w:p w14:paraId="4F31C328">
            <w:pPr>
              <w:widowControl/>
              <w:ind w:firstLine="480"/>
              <w:jc w:val="left"/>
              <w:rPr>
                <w:highlight w:val="none"/>
              </w:rPr>
            </w:pPr>
            <w:r>
              <w:rPr>
                <w:highlight w:val="none"/>
              </w:rPr>
              <w:t>本</w:t>
            </w:r>
            <w:r>
              <w:rPr>
                <w:rFonts w:hint="eastAsia"/>
                <w:highlight w:val="none"/>
              </w:rPr>
              <w:t>项目</w:t>
            </w:r>
            <w:r>
              <w:rPr>
                <w:highlight w:val="none"/>
              </w:rPr>
              <w:t>劳动定员</w:t>
            </w:r>
            <w:r>
              <w:rPr>
                <w:rFonts w:hint="eastAsia"/>
                <w:highlight w:val="none"/>
                <w:lang w:val="en-US" w:eastAsia="zh-CN"/>
              </w:rPr>
              <w:t>20</w:t>
            </w:r>
            <w:r>
              <w:rPr>
                <w:rFonts w:hint="eastAsia"/>
                <w:highlight w:val="none"/>
              </w:rPr>
              <w:t>人</w:t>
            </w:r>
            <w:r>
              <w:rPr>
                <w:highlight w:val="none"/>
              </w:rPr>
              <w:t>，</w:t>
            </w:r>
            <w:r>
              <w:rPr>
                <w:rFonts w:hint="eastAsia"/>
                <w:highlight w:val="none"/>
              </w:rPr>
              <w:t>年累计工作天数为</w:t>
            </w:r>
            <w:r>
              <w:rPr>
                <w:rFonts w:hint="eastAsia"/>
                <w:highlight w:val="none"/>
                <w:lang w:val="en-US" w:eastAsia="zh-CN"/>
              </w:rPr>
              <w:t>1</w:t>
            </w:r>
            <w:r>
              <w:rPr>
                <w:rFonts w:hint="eastAsia"/>
                <w:highlight w:val="none"/>
              </w:rPr>
              <w:t>8</w:t>
            </w:r>
            <w:r>
              <w:rPr>
                <w:highlight w:val="none"/>
              </w:rPr>
              <w:t>0</w:t>
            </w:r>
            <w:r>
              <w:rPr>
                <w:rFonts w:hint="eastAsia"/>
                <w:highlight w:val="none"/>
              </w:rPr>
              <w:t>天，实行</w:t>
            </w:r>
            <w:r>
              <w:rPr>
                <w:highlight w:val="none"/>
              </w:rPr>
              <w:t>8</w:t>
            </w:r>
            <w:r>
              <w:rPr>
                <w:rFonts w:hint="eastAsia"/>
                <w:highlight w:val="none"/>
              </w:rPr>
              <w:t>小时工作制。</w:t>
            </w:r>
          </w:p>
          <w:p w14:paraId="4318BA63">
            <w:pPr>
              <w:pStyle w:val="3"/>
              <w:rPr>
                <w:highlight w:val="none"/>
              </w:rPr>
            </w:pPr>
            <w:r>
              <w:rPr>
                <w:rFonts w:hint="eastAsia" w:ascii="Times New Roman" w:hAnsi="Times New Roman" w:cs="Times New Roman"/>
                <w:highlight w:val="none"/>
              </w:rPr>
              <w:t>2.7</w:t>
            </w:r>
            <w:r>
              <w:rPr>
                <w:rFonts w:hint="eastAsia"/>
                <w:highlight w:val="none"/>
              </w:rPr>
              <w:t>厂区平面布置</w:t>
            </w:r>
          </w:p>
          <w:p w14:paraId="26B32E2D">
            <w:pPr>
              <w:keepNext w:val="0"/>
              <w:keepLines w:val="0"/>
              <w:widowControl/>
              <w:suppressLineNumbers w:val="0"/>
              <w:jc w:val="left"/>
              <w:rPr>
                <w:rFonts w:hint="eastAsia" w:eastAsia="宋体"/>
                <w:highlight w:val="none"/>
                <w:lang w:eastAsia="zh-CN"/>
              </w:rPr>
            </w:pPr>
            <w:r>
              <w:rPr>
                <w:rFonts w:hint="eastAsia"/>
                <w:color w:val="auto"/>
                <w:highlight w:val="none"/>
              </w:rPr>
              <w:t>本项目</w:t>
            </w:r>
            <w:r>
              <w:rPr>
                <w:rFonts w:hint="eastAsia"/>
                <w:color w:val="auto"/>
                <w:highlight w:val="none"/>
                <w:lang w:val="en-US" w:eastAsia="zh-CN"/>
              </w:rPr>
              <w:t>生产车间</w:t>
            </w:r>
            <w:r>
              <w:rPr>
                <w:rFonts w:hint="eastAsia"/>
                <w:color w:val="auto"/>
                <w:highlight w:val="none"/>
              </w:rPr>
              <w:t>位于厂区</w:t>
            </w:r>
            <w:r>
              <w:rPr>
                <w:rFonts w:hint="eastAsia"/>
                <w:color w:val="auto"/>
                <w:highlight w:val="none"/>
                <w:lang w:val="en-US" w:eastAsia="zh-CN"/>
              </w:rPr>
              <w:t>西</w:t>
            </w:r>
            <w:r>
              <w:rPr>
                <w:rFonts w:hint="eastAsia"/>
                <w:color w:val="auto"/>
                <w:highlight w:val="none"/>
              </w:rPr>
              <w:t>侧，</w:t>
            </w:r>
            <w:r>
              <w:rPr>
                <w:rFonts w:hint="eastAsia"/>
                <w:color w:val="auto"/>
                <w:highlight w:val="none"/>
                <w:lang w:val="en-US" w:eastAsia="zh-CN"/>
              </w:rPr>
              <w:t>停车场</w:t>
            </w:r>
            <w:r>
              <w:rPr>
                <w:rFonts w:hint="eastAsia"/>
                <w:color w:val="auto"/>
                <w:highlight w:val="none"/>
              </w:rPr>
              <w:t>位于厂区东侧，</w:t>
            </w:r>
            <w:r>
              <w:rPr>
                <w:rFonts w:hint="eastAsia"/>
                <w:color w:val="auto"/>
                <w:highlight w:val="none"/>
                <w:lang w:val="en-US" w:eastAsia="zh-CN"/>
              </w:rPr>
              <w:t>综合楼、辅助用房</w:t>
            </w:r>
            <w:r>
              <w:rPr>
                <w:rFonts w:hint="eastAsia"/>
                <w:color w:val="auto"/>
                <w:highlight w:val="none"/>
              </w:rPr>
              <w:t>于厂区北侧，</w:t>
            </w:r>
            <w:r>
              <w:rPr>
                <w:rFonts w:hint="eastAsia"/>
                <w:color w:val="auto"/>
                <w:highlight w:val="none"/>
                <w:lang w:val="en-US" w:eastAsia="zh-CN"/>
              </w:rPr>
              <w:t>规划粉煤灰环保库</w:t>
            </w:r>
            <w:r>
              <w:rPr>
                <w:rFonts w:hint="eastAsia"/>
                <w:color w:val="auto"/>
                <w:highlight w:val="none"/>
              </w:rPr>
              <w:t>位于厂区</w:t>
            </w:r>
            <w:r>
              <w:rPr>
                <w:rFonts w:hint="eastAsia"/>
                <w:color w:val="auto"/>
                <w:highlight w:val="none"/>
                <w:lang w:val="en-US" w:eastAsia="zh-CN"/>
              </w:rPr>
              <w:t>南</w:t>
            </w:r>
            <w:r>
              <w:rPr>
                <w:rFonts w:hint="eastAsia"/>
                <w:color w:val="auto"/>
                <w:highlight w:val="none"/>
              </w:rPr>
              <w:t>侧，周边建设绿化带，厂</w:t>
            </w:r>
            <w:r>
              <w:rPr>
                <w:rFonts w:hint="eastAsia" w:ascii="Times New Roman" w:hAnsi="Times New Roman" w:eastAsia="宋体" w:cs="Times New Roman"/>
                <w:color w:val="auto"/>
                <w:highlight w:val="none"/>
              </w:rPr>
              <w:t>区道路进行水泥硬化。本项目平面布置分区明显，总平面布置可满足本项目运输及工艺路线流畅的要求，</w:t>
            </w:r>
            <w:r>
              <w:rPr>
                <w:rFonts w:hint="eastAsia" w:ascii="Times New Roman" w:hAnsi="Times New Roman" w:eastAsia="宋体" w:cs="Times New Roman"/>
                <w:color w:val="auto"/>
                <w:highlight w:val="none"/>
                <w:lang w:val="en-US" w:eastAsia="zh-CN"/>
              </w:rPr>
              <w:t>项目区</w:t>
            </w:r>
            <w:r>
              <w:rPr>
                <w:rFonts w:hint="default" w:ascii="Times New Roman" w:hAnsi="Times New Roman" w:eastAsia="宋体" w:cs="Times New Roman"/>
                <w:color w:val="auto"/>
                <w:highlight w:val="none"/>
                <w:lang w:val="en-US" w:eastAsia="zh-CN"/>
              </w:rPr>
              <w:t>东</w:t>
            </w:r>
            <w:r>
              <w:rPr>
                <w:rFonts w:hint="eastAsia" w:cs="Times New Roman"/>
                <w:color w:val="auto"/>
                <w:highlight w:val="none"/>
                <w:lang w:val="en-US" w:eastAsia="zh-CN"/>
              </w:rPr>
              <w:t>侧、</w:t>
            </w:r>
            <w:r>
              <w:rPr>
                <w:rFonts w:hint="default" w:ascii="Times New Roman" w:hAnsi="Times New Roman" w:eastAsia="宋体" w:cs="Times New Roman"/>
                <w:color w:val="auto"/>
                <w:highlight w:val="none"/>
                <w:lang w:val="en-US" w:eastAsia="zh-CN"/>
              </w:rPr>
              <w:t>北侧</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南侧为空地</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西侧</w:t>
            </w:r>
            <w:r>
              <w:rPr>
                <w:rFonts w:hint="eastAsia" w:cs="Times New Roman"/>
                <w:color w:val="auto"/>
                <w:highlight w:val="none"/>
                <w:lang w:val="en-US" w:eastAsia="zh-CN"/>
              </w:rPr>
              <w:t>为固废填埋场</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详见《附图</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rPr>
              <w:t xml:space="preserve"> 建设项目平面布置图</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附图</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 xml:space="preserve"> 建设项目周边环境图</w:t>
            </w:r>
            <w:r>
              <w:rPr>
                <w:rFonts w:hint="eastAsia" w:ascii="Times New Roman" w:hAnsi="Times New Roman" w:eastAsia="宋体" w:cs="Times New Roman"/>
                <w:color w:val="auto"/>
                <w:highlight w:val="none"/>
                <w:lang w:eastAsia="zh-CN"/>
              </w:rPr>
              <w:t>》。</w:t>
            </w:r>
          </w:p>
        </w:tc>
      </w:tr>
      <w:tr w14:paraId="1CDAD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1" w:hRule="atLeast"/>
          <w:jc w:val="center"/>
        </w:trPr>
        <w:tc>
          <w:tcPr>
            <w:tcW w:w="823" w:type="dxa"/>
            <w:vAlign w:val="center"/>
          </w:tcPr>
          <w:p w14:paraId="52C9EE43">
            <w:pPr>
              <w:pStyle w:val="26"/>
              <w:spacing w:before="0" w:beforeAutospacing="0" w:after="0" w:afterAutospacing="0"/>
              <w:ind w:firstLine="0" w:firstLineChars="0"/>
              <w:rPr>
                <w:rFonts w:hint="eastAsia" w:cs="宋体"/>
                <w:sz w:val="21"/>
                <w:szCs w:val="21"/>
                <w:highlight w:val="none"/>
              </w:rPr>
            </w:pPr>
          </w:p>
          <w:p w14:paraId="27C65F80">
            <w:pPr>
              <w:pStyle w:val="26"/>
              <w:spacing w:before="0" w:beforeAutospacing="0" w:after="0" w:afterAutospacing="0"/>
              <w:ind w:firstLine="0" w:firstLineChars="0"/>
              <w:rPr>
                <w:rFonts w:hint="eastAsia" w:cs="宋体"/>
                <w:sz w:val="21"/>
                <w:szCs w:val="21"/>
                <w:highlight w:val="none"/>
              </w:rPr>
            </w:pPr>
          </w:p>
          <w:p w14:paraId="004A7F34">
            <w:pPr>
              <w:pStyle w:val="26"/>
              <w:spacing w:before="0" w:beforeAutospacing="0" w:after="0" w:afterAutospacing="0"/>
              <w:ind w:firstLine="0" w:firstLineChars="0"/>
              <w:rPr>
                <w:rFonts w:hint="eastAsia" w:cs="宋体"/>
                <w:sz w:val="21"/>
                <w:szCs w:val="21"/>
                <w:highlight w:val="none"/>
              </w:rPr>
            </w:pPr>
          </w:p>
          <w:p w14:paraId="44FEAF3A">
            <w:pPr>
              <w:pStyle w:val="26"/>
              <w:spacing w:before="0" w:beforeAutospacing="0" w:after="0" w:afterAutospacing="0"/>
              <w:ind w:firstLine="0" w:firstLineChars="0"/>
              <w:rPr>
                <w:rFonts w:hint="eastAsia" w:cs="宋体"/>
                <w:sz w:val="21"/>
                <w:szCs w:val="21"/>
                <w:highlight w:val="none"/>
              </w:rPr>
            </w:pPr>
          </w:p>
          <w:p w14:paraId="79952CE5">
            <w:pPr>
              <w:pStyle w:val="26"/>
              <w:spacing w:before="0" w:beforeAutospacing="0" w:after="0" w:afterAutospacing="0"/>
              <w:ind w:firstLine="0" w:firstLineChars="0"/>
              <w:rPr>
                <w:rFonts w:hint="eastAsia" w:cs="宋体"/>
                <w:sz w:val="21"/>
                <w:szCs w:val="21"/>
                <w:highlight w:val="none"/>
              </w:rPr>
            </w:pPr>
          </w:p>
          <w:p w14:paraId="6AE839D6">
            <w:pPr>
              <w:pStyle w:val="26"/>
              <w:spacing w:before="0" w:beforeAutospacing="0" w:after="0" w:afterAutospacing="0"/>
              <w:ind w:firstLine="0" w:firstLineChars="0"/>
              <w:rPr>
                <w:rFonts w:hint="eastAsia" w:cs="宋体"/>
                <w:sz w:val="21"/>
                <w:szCs w:val="21"/>
                <w:highlight w:val="none"/>
              </w:rPr>
            </w:pPr>
          </w:p>
          <w:p w14:paraId="69FFAF44">
            <w:pPr>
              <w:pStyle w:val="26"/>
              <w:spacing w:before="0" w:beforeAutospacing="0" w:after="0" w:afterAutospacing="0"/>
              <w:ind w:firstLine="0" w:firstLineChars="0"/>
              <w:rPr>
                <w:rFonts w:hint="eastAsia" w:cs="宋体"/>
                <w:sz w:val="21"/>
                <w:szCs w:val="21"/>
                <w:highlight w:val="none"/>
              </w:rPr>
            </w:pPr>
          </w:p>
          <w:p w14:paraId="10F3AC88">
            <w:pPr>
              <w:pStyle w:val="26"/>
              <w:spacing w:before="0" w:beforeAutospacing="0" w:after="0" w:afterAutospacing="0"/>
              <w:ind w:firstLine="0" w:firstLineChars="0"/>
              <w:rPr>
                <w:rFonts w:hint="eastAsia" w:cs="宋体"/>
                <w:sz w:val="21"/>
                <w:szCs w:val="21"/>
                <w:highlight w:val="none"/>
              </w:rPr>
            </w:pPr>
          </w:p>
          <w:p w14:paraId="6F2E954D">
            <w:pPr>
              <w:pStyle w:val="26"/>
              <w:spacing w:before="0" w:beforeAutospacing="0" w:after="0" w:afterAutospacing="0"/>
              <w:ind w:firstLine="0" w:firstLineChars="0"/>
              <w:rPr>
                <w:rFonts w:hint="eastAsia" w:cs="宋体"/>
                <w:sz w:val="21"/>
                <w:szCs w:val="21"/>
                <w:highlight w:val="none"/>
              </w:rPr>
            </w:pPr>
          </w:p>
          <w:p w14:paraId="69229824">
            <w:pPr>
              <w:pStyle w:val="26"/>
              <w:spacing w:before="0" w:beforeAutospacing="0" w:after="0" w:afterAutospacing="0"/>
              <w:ind w:firstLine="0" w:firstLineChars="0"/>
              <w:rPr>
                <w:rFonts w:hint="eastAsia" w:cs="宋体"/>
                <w:sz w:val="21"/>
                <w:szCs w:val="21"/>
                <w:highlight w:val="none"/>
              </w:rPr>
            </w:pPr>
          </w:p>
          <w:p w14:paraId="6F338FF1">
            <w:pPr>
              <w:pStyle w:val="26"/>
              <w:spacing w:before="0" w:beforeAutospacing="0" w:after="0" w:afterAutospacing="0"/>
              <w:ind w:firstLine="0" w:firstLineChars="0"/>
              <w:rPr>
                <w:rFonts w:hint="eastAsia" w:cs="宋体"/>
                <w:sz w:val="21"/>
                <w:szCs w:val="21"/>
                <w:highlight w:val="none"/>
              </w:rPr>
            </w:pPr>
          </w:p>
          <w:p w14:paraId="2825FBDA">
            <w:pPr>
              <w:pStyle w:val="26"/>
              <w:spacing w:before="0" w:beforeAutospacing="0" w:after="0" w:afterAutospacing="0"/>
              <w:ind w:firstLine="0" w:firstLineChars="0"/>
              <w:rPr>
                <w:rFonts w:hint="eastAsia" w:cs="宋体"/>
                <w:sz w:val="21"/>
                <w:szCs w:val="21"/>
                <w:highlight w:val="none"/>
              </w:rPr>
            </w:pPr>
          </w:p>
          <w:p w14:paraId="543B91DE">
            <w:pPr>
              <w:pStyle w:val="26"/>
              <w:spacing w:before="0" w:beforeAutospacing="0" w:after="0" w:afterAutospacing="0"/>
              <w:ind w:firstLine="0" w:firstLineChars="0"/>
              <w:rPr>
                <w:rFonts w:hint="eastAsia" w:cs="宋体"/>
                <w:sz w:val="21"/>
                <w:szCs w:val="21"/>
                <w:highlight w:val="none"/>
              </w:rPr>
            </w:pPr>
          </w:p>
          <w:p w14:paraId="0C57C9EB">
            <w:pPr>
              <w:pStyle w:val="56"/>
              <w:rPr>
                <w:highlight w:val="none"/>
              </w:rPr>
            </w:pPr>
            <w:r>
              <w:rPr>
                <w:rFonts w:hint="eastAsia"/>
                <w:highlight w:val="none"/>
              </w:rPr>
              <w:t>工艺流程和产排污环节</w:t>
            </w:r>
          </w:p>
          <w:p w14:paraId="1EE9EECD">
            <w:pPr>
              <w:pStyle w:val="26"/>
              <w:spacing w:before="0" w:beforeAutospacing="0" w:after="0" w:afterAutospacing="0"/>
              <w:ind w:firstLine="0" w:firstLineChars="0"/>
              <w:rPr>
                <w:rFonts w:hint="eastAsia" w:cs="宋体"/>
                <w:sz w:val="21"/>
                <w:szCs w:val="21"/>
                <w:highlight w:val="none"/>
              </w:rPr>
            </w:pPr>
          </w:p>
          <w:p w14:paraId="0F7AEB51">
            <w:pPr>
              <w:pStyle w:val="26"/>
              <w:spacing w:before="0" w:beforeAutospacing="0" w:after="0" w:afterAutospacing="0"/>
              <w:ind w:firstLine="0" w:firstLineChars="0"/>
              <w:rPr>
                <w:rFonts w:hint="eastAsia" w:cs="宋体"/>
                <w:sz w:val="21"/>
                <w:szCs w:val="21"/>
                <w:highlight w:val="none"/>
              </w:rPr>
            </w:pPr>
          </w:p>
          <w:p w14:paraId="79A248C8">
            <w:pPr>
              <w:pStyle w:val="26"/>
              <w:spacing w:before="0" w:beforeAutospacing="0" w:after="0" w:afterAutospacing="0"/>
              <w:ind w:firstLine="0" w:firstLineChars="0"/>
              <w:rPr>
                <w:rFonts w:hint="eastAsia" w:cs="宋体"/>
                <w:sz w:val="21"/>
                <w:szCs w:val="21"/>
                <w:highlight w:val="none"/>
              </w:rPr>
            </w:pPr>
          </w:p>
          <w:p w14:paraId="61CF0FFF">
            <w:pPr>
              <w:pStyle w:val="26"/>
              <w:spacing w:before="0" w:beforeAutospacing="0" w:after="0" w:afterAutospacing="0"/>
              <w:ind w:firstLine="0" w:firstLineChars="0"/>
              <w:rPr>
                <w:rFonts w:hint="eastAsia" w:cs="宋体"/>
                <w:sz w:val="21"/>
                <w:szCs w:val="21"/>
                <w:highlight w:val="none"/>
              </w:rPr>
            </w:pPr>
          </w:p>
          <w:p w14:paraId="5FA5A6D7">
            <w:pPr>
              <w:pStyle w:val="26"/>
              <w:spacing w:before="0" w:beforeAutospacing="0" w:after="0" w:afterAutospacing="0"/>
              <w:ind w:firstLine="0" w:firstLineChars="0"/>
              <w:rPr>
                <w:rFonts w:hint="eastAsia" w:cs="宋体"/>
                <w:sz w:val="21"/>
                <w:szCs w:val="21"/>
                <w:highlight w:val="none"/>
              </w:rPr>
            </w:pPr>
          </w:p>
          <w:p w14:paraId="70FE73F3">
            <w:pPr>
              <w:pStyle w:val="26"/>
              <w:spacing w:before="0" w:beforeAutospacing="0" w:after="0" w:afterAutospacing="0"/>
              <w:ind w:firstLine="0" w:firstLineChars="0"/>
              <w:rPr>
                <w:rFonts w:hint="eastAsia" w:cs="宋体"/>
                <w:sz w:val="21"/>
                <w:szCs w:val="21"/>
                <w:highlight w:val="none"/>
              </w:rPr>
            </w:pPr>
          </w:p>
          <w:p w14:paraId="6CB3160E">
            <w:pPr>
              <w:pStyle w:val="26"/>
              <w:spacing w:before="0" w:beforeAutospacing="0" w:after="0" w:afterAutospacing="0"/>
              <w:ind w:firstLine="0" w:firstLineChars="0"/>
              <w:rPr>
                <w:rFonts w:hint="eastAsia" w:cs="宋体"/>
                <w:sz w:val="21"/>
                <w:szCs w:val="21"/>
                <w:highlight w:val="none"/>
              </w:rPr>
            </w:pPr>
          </w:p>
          <w:p w14:paraId="2D61FCC4">
            <w:pPr>
              <w:pStyle w:val="26"/>
              <w:spacing w:before="0" w:beforeAutospacing="0" w:after="0" w:afterAutospacing="0"/>
              <w:ind w:firstLine="0" w:firstLineChars="0"/>
              <w:rPr>
                <w:rFonts w:hint="eastAsia" w:cs="宋体"/>
                <w:sz w:val="21"/>
                <w:szCs w:val="21"/>
                <w:highlight w:val="none"/>
              </w:rPr>
            </w:pPr>
          </w:p>
          <w:p w14:paraId="232AB16A">
            <w:pPr>
              <w:pStyle w:val="26"/>
              <w:spacing w:before="0" w:beforeAutospacing="0" w:after="0" w:afterAutospacing="0"/>
              <w:ind w:firstLine="0" w:firstLineChars="0"/>
              <w:rPr>
                <w:rFonts w:hint="eastAsia" w:cs="宋体"/>
                <w:sz w:val="21"/>
                <w:szCs w:val="21"/>
                <w:highlight w:val="none"/>
              </w:rPr>
            </w:pPr>
          </w:p>
          <w:p w14:paraId="37E4EA8D">
            <w:pPr>
              <w:pStyle w:val="26"/>
              <w:spacing w:before="0" w:beforeAutospacing="0" w:after="0" w:afterAutospacing="0"/>
              <w:ind w:firstLine="0" w:firstLineChars="0"/>
              <w:rPr>
                <w:rFonts w:hint="eastAsia" w:cs="宋体"/>
                <w:sz w:val="21"/>
                <w:szCs w:val="21"/>
                <w:highlight w:val="none"/>
              </w:rPr>
            </w:pPr>
          </w:p>
          <w:p w14:paraId="64070228">
            <w:pPr>
              <w:pStyle w:val="26"/>
              <w:spacing w:before="0" w:beforeAutospacing="0" w:after="0" w:afterAutospacing="0"/>
              <w:ind w:firstLine="0" w:firstLineChars="0"/>
              <w:rPr>
                <w:rFonts w:hint="eastAsia" w:cs="宋体"/>
                <w:sz w:val="21"/>
                <w:szCs w:val="21"/>
                <w:highlight w:val="none"/>
              </w:rPr>
            </w:pPr>
          </w:p>
          <w:p w14:paraId="7BEA97B0">
            <w:pPr>
              <w:pStyle w:val="26"/>
              <w:spacing w:before="0" w:beforeAutospacing="0" w:after="0" w:afterAutospacing="0"/>
              <w:ind w:firstLine="0" w:firstLineChars="0"/>
              <w:rPr>
                <w:rFonts w:hint="eastAsia" w:cs="宋体"/>
                <w:sz w:val="21"/>
                <w:szCs w:val="21"/>
                <w:highlight w:val="none"/>
              </w:rPr>
            </w:pPr>
          </w:p>
          <w:p w14:paraId="71CA2F00">
            <w:pPr>
              <w:pStyle w:val="26"/>
              <w:spacing w:before="0" w:beforeAutospacing="0" w:after="0" w:afterAutospacing="0"/>
              <w:ind w:firstLine="0" w:firstLineChars="0"/>
              <w:rPr>
                <w:rFonts w:hint="eastAsia" w:cs="宋体"/>
                <w:sz w:val="21"/>
                <w:szCs w:val="21"/>
                <w:highlight w:val="none"/>
              </w:rPr>
            </w:pPr>
          </w:p>
          <w:p w14:paraId="7479FAC6">
            <w:pPr>
              <w:pStyle w:val="26"/>
              <w:spacing w:before="0" w:beforeAutospacing="0" w:after="0" w:afterAutospacing="0"/>
              <w:ind w:firstLine="0" w:firstLineChars="0"/>
              <w:rPr>
                <w:rFonts w:hint="eastAsia" w:cs="宋体"/>
                <w:sz w:val="21"/>
                <w:szCs w:val="21"/>
                <w:highlight w:val="none"/>
              </w:rPr>
            </w:pPr>
          </w:p>
          <w:p w14:paraId="06966DCD">
            <w:pPr>
              <w:pStyle w:val="26"/>
              <w:spacing w:before="0" w:beforeAutospacing="0" w:after="0" w:afterAutospacing="0"/>
              <w:ind w:firstLine="0" w:firstLineChars="0"/>
              <w:rPr>
                <w:rFonts w:hint="eastAsia" w:cs="宋体"/>
                <w:sz w:val="21"/>
                <w:szCs w:val="21"/>
                <w:highlight w:val="none"/>
              </w:rPr>
            </w:pPr>
          </w:p>
          <w:p w14:paraId="53FF0C4A">
            <w:pPr>
              <w:pStyle w:val="26"/>
              <w:spacing w:before="0" w:beforeAutospacing="0" w:after="0" w:afterAutospacing="0"/>
              <w:ind w:firstLine="0" w:firstLineChars="0"/>
              <w:rPr>
                <w:rFonts w:hint="eastAsia" w:cs="宋体"/>
                <w:sz w:val="21"/>
                <w:szCs w:val="21"/>
                <w:highlight w:val="none"/>
              </w:rPr>
            </w:pPr>
          </w:p>
          <w:p w14:paraId="7A876346">
            <w:pPr>
              <w:pStyle w:val="26"/>
              <w:spacing w:before="0" w:beforeAutospacing="0" w:after="0" w:afterAutospacing="0"/>
              <w:ind w:firstLine="0" w:firstLineChars="0"/>
              <w:rPr>
                <w:rFonts w:hint="eastAsia" w:cs="宋体"/>
                <w:sz w:val="21"/>
                <w:szCs w:val="21"/>
                <w:highlight w:val="none"/>
              </w:rPr>
            </w:pPr>
          </w:p>
          <w:p w14:paraId="36F85FF4">
            <w:pPr>
              <w:pStyle w:val="26"/>
              <w:spacing w:before="0" w:beforeAutospacing="0" w:after="0" w:afterAutospacing="0"/>
              <w:ind w:firstLine="0" w:firstLineChars="0"/>
              <w:rPr>
                <w:rFonts w:hint="eastAsia" w:cs="宋体"/>
                <w:sz w:val="21"/>
                <w:szCs w:val="21"/>
                <w:highlight w:val="none"/>
              </w:rPr>
            </w:pPr>
          </w:p>
          <w:p w14:paraId="7185E04A">
            <w:pPr>
              <w:pStyle w:val="26"/>
              <w:spacing w:before="0" w:beforeAutospacing="0" w:after="0" w:afterAutospacing="0"/>
              <w:ind w:firstLine="0" w:firstLineChars="0"/>
              <w:rPr>
                <w:rFonts w:hint="eastAsia" w:cs="宋体"/>
                <w:sz w:val="21"/>
                <w:szCs w:val="21"/>
                <w:highlight w:val="none"/>
              </w:rPr>
            </w:pPr>
          </w:p>
          <w:p w14:paraId="37FA701E">
            <w:pPr>
              <w:pStyle w:val="26"/>
              <w:spacing w:before="0" w:beforeAutospacing="0" w:after="0" w:afterAutospacing="0"/>
              <w:ind w:firstLine="0" w:firstLineChars="0"/>
              <w:rPr>
                <w:rFonts w:hint="eastAsia" w:cs="宋体"/>
                <w:sz w:val="21"/>
                <w:szCs w:val="21"/>
                <w:highlight w:val="none"/>
              </w:rPr>
            </w:pPr>
          </w:p>
          <w:p w14:paraId="1DAC04D8">
            <w:pPr>
              <w:pStyle w:val="26"/>
              <w:spacing w:before="0" w:beforeAutospacing="0" w:after="0" w:afterAutospacing="0"/>
              <w:ind w:firstLine="0" w:firstLineChars="0"/>
              <w:rPr>
                <w:rFonts w:hint="eastAsia" w:cs="宋体"/>
                <w:sz w:val="21"/>
                <w:szCs w:val="21"/>
                <w:highlight w:val="none"/>
              </w:rPr>
            </w:pPr>
          </w:p>
          <w:p w14:paraId="6B42930E">
            <w:pPr>
              <w:pStyle w:val="26"/>
              <w:spacing w:before="0" w:beforeAutospacing="0" w:after="0" w:afterAutospacing="0"/>
              <w:ind w:firstLine="0" w:firstLineChars="0"/>
              <w:rPr>
                <w:rFonts w:hint="eastAsia" w:cs="宋体"/>
                <w:sz w:val="21"/>
                <w:szCs w:val="21"/>
                <w:highlight w:val="none"/>
              </w:rPr>
            </w:pPr>
          </w:p>
          <w:p w14:paraId="74106FF3">
            <w:pPr>
              <w:pStyle w:val="26"/>
              <w:spacing w:before="0" w:beforeAutospacing="0" w:after="0" w:afterAutospacing="0"/>
              <w:ind w:firstLine="0" w:firstLineChars="0"/>
              <w:rPr>
                <w:rFonts w:hint="eastAsia" w:cs="宋体"/>
                <w:sz w:val="21"/>
                <w:szCs w:val="21"/>
                <w:highlight w:val="none"/>
              </w:rPr>
            </w:pPr>
          </w:p>
          <w:p w14:paraId="35A3C4D3">
            <w:pPr>
              <w:pStyle w:val="26"/>
              <w:spacing w:before="0" w:beforeAutospacing="0" w:after="0" w:afterAutospacing="0"/>
              <w:ind w:firstLine="0" w:firstLineChars="0"/>
              <w:rPr>
                <w:rFonts w:hint="eastAsia" w:cs="宋体"/>
                <w:sz w:val="21"/>
                <w:szCs w:val="21"/>
                <w:highlight w:val="none"/>
              </w:rPr>
            </w:pPr>
          </w:p>
          <w:p w14:paraId="66C29CC1">
            <w:pPr>
              <w:pStyle w:val="56"/>
              <w:rPr>
                <w:highlight w:val="none"/>
              </w:rPr>
            </w:pPr>
          </w:p>
          <w:p w14:paraId="53048A9A">
            <w:pPr>
              <w:pStyle w:val="56"/>
              <w:rPr>
                <w:highlight w:val="none"/>
              </w:rPr>
            </w:pPr>
            <w:r>
              <w:rPr>
                <w:rFonts w:hint="eastAsia"/>
                <w:highlight w:val="none"/>
              </w:rPr>
              <w:t>工艺流程和产排污环节</w:t>
            </w:r>
          </w:p>
          <w:p w14:paraId="704624C3">
            <w:pPr>
              <w:pStyle w:val="26"/>
              <w:spacing w:before="0" w:beforeAutospacing="0" w:after="0" w:afterAutospacing="0"/>
              <w:ind w:firstLine="0" w:firstLineChars="0"/>
              <w:rPr>
                <w:rFonts w:hint="eastAsia" w:cs="宋体"/>
                <w:sz w:val="21"/>
                <w:szCs w:val="21"/>
                <w:highlight w:val="none"/>
              </w:rPr>
            </w:pPr>
          </w:p>
          <w:p w14:paraId="4DFD3F7B">
            <w:pPr>
              <w:pStyle w:val="26"/>
              <w:spacing w:before="0" w:beforeAutospacing="0" w:after="0" w:afterAutospacing="0"/>
              <w:ind w:firstLine="0" w:firstLineChars="0"/>
              <w:rPr>
                <w:rFonts w:hint="eastAsia" w:cs="宋体"/>
                <w:sz w:val="21"/>
                <w:szCs w:val="21"/>
                <w:highlight w:val="none"/>
              </w:rPr>
            </w:pPr>
          </w:p>
          <w:p w14:paraId="0779283B">
            <w:pPr>
              <w:pStyle w:val="26"/>
              <w:spacing w:before="0" w:beforeAutospacing="0" w:after="0" w:afterAutospacing="0"/>
              <w:ind w:firstLine="0" w:firstLineChars="0"/>
              <w:rPr>
                <w:rFonts w:hint="eastAsia" w:cs="宋体"/>
                <w:sz w:val="21"/>
                <w:szCs w:val="21"/>
                <w:highlight w:val="none"/>
              </w:rPr>
            </w:pPr>
          </w:p>
          <w:p w14:paraId="4E090B0B">
            <w:pPr>
              <w:pStyle w:val="26"/>
              <w:spacing w:before="0" w:beforeAutospacing="0" w:after="0" w:afterAutospacing="0"/>
              <w:ind w:firstLine="0" w:firstLineChars="0"/>
              <w:rPr>
                <w:rFonts w:hint="eastAsia" w:cs="宋体"/>
                <w:sz w:val="21"/>
                <w:szCs w:val="21"/>
                <w:highlight w:val="none"/>
              </w:rPr>
            </w:pPr>
          </w:p>
          <w:p w14:paraId="4BF973E5">
            <w:pPr>
              <w:pStyle w:val="26"/>
              <w:spacing w:before="0" w:beforeAutospacing="0" w:after="0" w:afterAutospacing="0"/>
              <w:ind w:firstLine="0" w:firstLineChars="0"/>
              <w:rPr>
                <w:rFonts w:hint="eastAsia" w:cs="宋体"/>
                <w:sz w:val="21"/>
                <w:szCs w:val="21"/>
                <w:highlight w:val="none"/>
              </w:rPr>
            </w:pPr>
          </w:p>
          <w:p w14:paraId="3BDFFC4C">
            <w:pPr>
              <w:pStyle w:val="26"/>
              <w:spacing w:before="0" w:beforeAutospacing="0" w:after="0" w:afterAutospacing="0"/>
              <w:ind w:firstLine="0" w:firstLineChars="0"/>
              <w:rPr>
                <w:rFonts w:hint="eastAsia" w:cs="宋体"/>
                <w:sz w:val="21"/>
                <w:szCs w:val="21"/>
                <w:highlight w:val="none"/>
              </w:rPr>
            </w:pPr>
          </w:p>
          <w:p w14:paraId="1ADEBCDD">
            <w:pPr>
              <w:pStyle w:val="26"/>
              <w:spacing w:before="0" w:beforeAutospacing="0" w:after="0" w:afterAutospacing="0"/>
              <w:ind w:firstLine="0" w:firstLineChars="0"/>
              <w:rPr>
                <w:rFonts w:hint="eastAsia" w:cs="宋体"/>
                <w:sz w:val="21"/>
                <w:szCs w:val="21"/>
                <w:highlight w:val="none"/>
              </w:rPr>
            </w:pPr>
          </w:p>
          <w:p w14:paraId="6E00282C">
            <w:pPr>
              <w:pStyle w:val="26"/>
              <w:spacing w:before="0" w:beforeAutospacing="0" w:after="0" w:afterAutospacing="0"/>
              <w:ind w:firstLine="0" w:firstLineChars="0"/>
              <w:rPr>
                <w:rFonts w:hint="eastAsia" w:cs="宋体"/>
                <w:sz w:val="21"/>
                <w:szCs w:val="21"/>
                <w:highlight w:val="none"/>
              </w:rPr>
            </w:pPr>
          </w:p>
          <w:p w14:paraId="1712218A">
            <w:pPr>
              <w:pStyle w:val="26"/>
              <w:spacing w:before="0" w:beforeAutospacing="0" w:after="0" w:afterAutospacing="0"/>
              <w:ind w:firstLine="0" w:firstLineChars="0"/>
              <w:rPr>
                <w:rFonts w:hint="eastAsia" w:cs="宋体"/>
                <w:sz w:val="21"/>
                <w:szCs w:val="21"/>
                <w:highlight w:val="none"/>
              </w:rPr>
            </w:pPr>
          </w:p>
          <w:p w14:paraId="2D9D60DC">
            <w:pPr>
              <w:pStyle w:val="26"/>
              <w:spacing w:before="0" w:beforeAutospacing="0" w:after="0" w:afterAutospacing="0"/>
              <w:ind w:firstLine="0" w:firstLineChars="0"/>
              <w:rPr>
                <w:rFonts w:hint="eastAsia" w:cs="宋体"/>
                <w:sz w:val="21"/>
                <w:szCs w:val="21"/>
                <w:highlight w:val="none"/>
              </w:rPr>
            </w:pPr>
          </w:p>
          <w:p w14:paraId="09999478">
            <w:pPr>
              <w:pStyle w:val="26"/>
              <w:spacing w:before="0" w:beforeAutospacing="0" w:after="0" w:afterAutospacing="0"/>
              <w:ind w:firstLine="0" w:firstLineChars="0"/>
              <w:rPr>
                <w:rFonts w:hint="eastAsia" w:cs="宋体"/>
                <w:sz w:val="21"/>
                <w:szCs w:val="21"/>
                <w:highlight w:val="none"/>
              </w:rPr>
            </w:pPr>
          </w:p>
          <w:p w14:paraId="63E16A14">
            <w:pPr>
              <w:pStyle w:val="26"/>
              <w:spacing w:before="0" w:beforeAutospacing="0" w:after="0" w:afterAutospacing="0"/>
              <w:ind w:firstLine="0" w:firstLineChars="0"/>
              <w:rPr>
                <w:rFonts w:hint="eastAsia" w:cs="宋体"/>
                <w:sz w:val="21"/>
                <w:szCs w:val="21"/>
                <w:highlight w:val="none"/>
              </w:rPr>
            </w:pPr>
          </w:p>
          <w:p w14:paraId="59AF5ABB">
            <w:pPr>
              <w:pStyle w:val="26"/>
              <w:spacing w:before="0" w:beforeAutospacing="0" w:after="0" w:afterAutospacing="0"/>
              <w:ind w:firstLine="0" w:firstLineChars="0"/>
              <w:rPr>
                <w:rFonts w:hint="eastAsia" w:cs="宋体"/>
                <w:sz w:val="21"/>
                <w:szCs w:val="21"/>
                <w:highlight w:val="none"/>
              </w:rPr>
            </w:pPr>
          </w:p>
          <w:p w14:paraId="37388D21">
            <w:pPr>
              <w:pStyle w:val="26"/>
              <w:spacing w:before="0" w:beforeAutospacing="0" w:after="0" w:afterAutospacing="0"/>
              <w:ind w:firstLine="0" w:firstLineChars="0"/>
              <w:rPr>
                <w:rFonts w:hint="eastAsia" w:cs="宋体"/>
                <w:sz w:val="21"/>
                <w:szCs w:val="21"/>
                <w:highlight w:val="none"/>
              </w:rPr>
            </w:pPr>
          </w:p>
          <w:p w14:paraId="0F8AF29F">
            <w:pPr>
              <w:pStyle w:val="26"/>
              <w:spacing w:before="0" w:beforeAutospacing="0" w:after="0" w:afterAutospacing="0"/>
              <w:ind w:firstLine="0" w:firstLineChars="0"/>
              <w:rPr>
                <w:rFonts w:hint="eastAsia" w:cs="宋体"/>
                <w:sz w:val="21"/>
                <w:szCs w:val="21"/>
                <w:highlight w:val="none"/>
              </w:rPr>
            </w:pPr>
          </w:p>
          <w:p w14:paraId="608A8A1D">
            <w:pPr>
              <w:pStyle w:val="26"/>
              <w:spacing w:before="0" w:beforeAutospacing="0" w:after="0" w:afterAutospacing="0"/>
              <w:ind w:firstLine="0" w:firstLineChars="0"/>
              <w:rPr>
                <w:rFonts w:hint="eastAsia" w:cs="宋体"/>
                <w:sz w:val="21"/>
                <w:szCs w:val="21"/>
                <w:highlight w:val="none"/>
              </w:rPr>
            </w:pPr>
          </w:p>
          <w:p w14:paraId="3DE157E5">
            <w:pPr>
              <w:pStyle w:val="26"/>
              <w:spacing w:before="0" w:beforeAutospacing="0" w:after="0" w:afterAutospacing="0"/>
              <w:ind w:firstLine="0" w:firstLineChars="0"/>
              <w:rPr>
                <w:rFonts w:hint="eastAsia" w:cs="宋体"/>
                <w:sz w:val="21"/>
                <w:szCs w:val="21"/>
                <w:highlight w:val="none"/>
              </w:rPr>
            </w:pPr>
          </w:p>
          <w:p w14:paraId="08F5D279">
            <w:pPr>
              <w:pStyle w:val="26"/>
              <w:spacing w:before="0" w:beforeAutospacing="0" w:after="0" w:afterAutospacing="0"/>
              <w:ind w:firstLine="0" w:firstLineChars="0"/>
              <w:rPr>
                <w:rFonts w:hint="eastAsia" w:cs="宋体"/>
                <w:sz w:val="21"/>
                <w:szCs w:val="21"/>
                <w:highlight w:val="none"/>
              </w:rPr>
            </w:pPr>
          </w:p>
          <w:p w14:paraId="59981D1C">
            <w:pPr>
              <w:pStyle w:val="26"/>
              <w:spacing w:before="0" w:beforeAutospacing="0" w:after="0" w:afterAutospacing="0"/>
              <w:ind w:firstLine="0" w:firstLineChars="0"/>
              <w:rPr>
                <w:rFonts w:hint="eastAsia" w:cs="宋体"/>
                <w:sz w:val="21"/>
                <w:szCs w:val="21"/>
                <w:highlight w:val="none"/>
              </w:rPr>
            </w:pPr>
          </w:p>
          <w:p w14:paraId="3BA19B01">
            <w:pPr>
              <w:pStyle w:val="26"/>
              <w:spacing w:before="0" w:beforeAutospacing="0" w:after="0" w:afterAutospacing="0"/>
              <w:ind w:firstLine="0" w:firstLineChars="0"/>
              <w:rPr>
                <w:rFonts w:hint="eastAsia" w:cs="宋体"/>
                <w:sz w:val="21"/>
                <w:szCs w:val="21"/>
                <w:highlight w:val="none"/>
              </w:rPr>
            </w:pPr>
          </w:p>
          <w:p w14:paraId="41C45B6A">
            <w:pPr>
              <w:pStyle w:val="26"/>
              <w:spacing w:before="0" w:beforeAutospacing="0" w:after="0" w:afterAutospacing="0"/>
              <w:ind w:firstLine="0" w:firstLineChars="0"/>
              <w:rPr>
                <w:rFonts w:hint="eastAsia" w:cs="宋体"/>
                <w:sz w:val="21"/>
                <w:szCs w:val="21"/>
                <w:highlight w:val="none"/>
              </w:rPr>
            </w:pPr>
          </w:p>
          <w:p w14:paraId="6CF7C747">
            <w:pPr>
              <w:pStyle w:val="26"/>
              <w:spacing w:before="0" w:beforeAutospacing="0" w:after="0" w:afterAutospacing="0"/>
              <w:ind w:firstLine="0" w:firstLineChars="0"/>
              <w:rPr>
                <w:rFonts w:hint="eastAsia" w:cs="宋体"/>
                <w:sz w:val="21"/>
                <w:szCs w:val="21"/>
                <w:highlight w:val="none"/>
              </w:rPr>
            </w:pPr>
          </w:p>
        </w:tc>
        <w:tc>
          <w:tcPr>
            <w:tcW w:w="8161" w:type="dxa"/>
          </w:tcPr>
          <w:p w14:paraId="52CFEC4D">
            <w:pPr>
              <w:pStyle w:val="3"/>
              <w:rPr>
                <w:highlight w:val="none"/>
              </w:rPr>
            </w:pPr>
            <w:r>
              <w:rPr>
                <w:rFonts w:hint="eastAsia" w:ascii="Times New Roman" w:hAnsi="Times New Roman" w:cs="Times New Roman"/>
                <w:highlight w:val="none"/>
              </w:rPr>
              <w:t>2.8</w:t>
            </w:r>
            <w:r>
              <w:rPr>
                <w:rFonts w:hint="eastAsia"/>
                <w:highlight w:val="none"/>
              </w:rPr>
              <w:t>施工期工艺流程简述及产污环节</w:t>
            </w:r>
          </w:p>
          <w:p w14:paraId="0DA92D74">
            <w:pPr>
              <w:pStyle w:val="22"/>
              <w:ind w:firstLine="480"/>
              <w:rPr>
                <w:rFonts w:ascii="Times New Roman" w:hAnsi="Times New Roman"/>
                <w:b w:val="0"/>
                <w:sz w:val="24"/>
                <w:szCs w:val="24"/>
                <w:highlight w:val="none"/>
              </w:rPr>
            </w:pPr>
            <w:r>
              <w:rPr>
                <w:rFonts w:hint="eastAsia"/>
                <w:b w:val="0"/>
                <w:sz w:val="24"/>
                <w:szCs w:val="24"/>
                <w:highlight w:val="none"/>
              </w:rPr>
              <w:t>施工期的污染主要为工程在建设过程中产生的扬尘、运输车辆及施工机械尾气、固体废弃物、废水及噪声，施工工艺流程及各阶段主要污染物产生情况见</w:t>
            </w:r>
            <w:r>
              <w:rPr>
                <w:rFonts w:ascii="Times New Roman" w:hAnsi="Times New Roman"/>
                <w:b w:val="0"/>
                <w:sz w:val="24"/>
                <w:szCs w:val="24"/>
                <w:highlight w:val="none"/>
              </w:rPr>
              <w:t>图2-</w:t>
            </w:r>
            <w:r>
              <w:rPr>
                <w:rFonts w:hint="eastAsia" w:ascii="Times New Roman" w:hAnsi="Times New Roman"/>
                <w:b w:val="0"/>
                <w:sz w:val="24"/>
                <w:szCs w:val="24"/>
                <w:highlight w:val="none"/>
                <w:lang w:val="en-US" w:eastAsia="zh-CN"/>
              </w:rPr>
              <w:t>2</w:t>
            </w:r>
            <w:r>
              <w:rPr>
                <w:rFonts w:ascii="Times New Roman" w:hAnsi="Times New Roman"/>
                <w:b w:val="0"/>
                <w:sz w:val="24"/>
                <w:szCs w:val="24"/>
                <w:highlight w:val="none"/>
              </w:rPr>
              <w:t>。</w:t>
            </w:r>
          </w:p>
          <w:p w14:paraId="2E4168B3">
            <w:pPr>
              <w:pStyle w:val="22"/>
              <w:ind w:firstLine="0" w:firstLineChars="0"/>
              <w:jc w:val="center"/>
              <w:rPr>
                <w:highlight w:val="none"/>
              </w:rPr>
            </w:pPr>
            <w:r>
              <w:rPr>
                <w:highlight w:val="none"/>
              </w:rPr>
              <w:drawing>
                <wp:inline distT="0" distB="0" distL="114300" distR="114300">
                  <wp:extent cx="4512945" cy="1890395"/>
                  <wp:effectExtent l="0" t="0" r="1905"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4512945" cy="1890395"/>
                          </a:xfrm>
                          <a:prstGeom prst="rect">
                            <a:avLst/>
                          </a:prstGeom>
                          <a:noFill/>
                          <a:ln>
                            <a:noFill/>
                          </a:ln>
                        </pic:spPr>
                      </pic:pic>
                    </a:graphicData>
                  </a:graphic>
                </wp:inline>
              </w:drawing>
            </w:r>
          </w:p>
          <w:p w14:paraId="1E5A5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图2-2  土建施工工艺流程图</w:t>
            </w:r>
          </w:p>
          <w:p w14:paraId="0C065F92">
            <w:pPr>
              <w:ind w:firstLine="480"/>
              <w:rPr>
                <w:highlight w:val="none"/>
              </w:rPr>
            </w:pPr>
            <w:r>
              <w:rPr>
                <w:highlight w:val="none"/>
              </w:rPr>
              <w:t>本项目场地平整及</w:t>
            </w:r>
            <w:r>
              <w:rPr>
                <w:rFonts w:hint="eastAsia"/>
                <w:color w:val="auto"/>
                <w:highlight w:val="none"/>
                <w:lang w:val="en-US" w:eastAsia="zh-CN"/>
              </w:rPr>
              <w:t>建筑</w:t>
            </w:r>
            <w:r>
              <w:rPr>
                <w:color w:val="auto"/>
                <w:highlight w:val="none"/>
              </w:rPr>
              <w:t>施工会产</w:t>
            </w:r>
            <w:r>
              <w:rPr>
                <w:highlight w:val="none"/>
              </w:rPr>
              <w:t>生废气、废水、噪声及大量的固体废弃物，同时项目施工会占用土地、妨碍景观，并对周边环境及景观产生一定程度影响</w:t>
            </w:r>
            <w:r>
              <w:rPr>
                <w:rFonts w:hint="eastAsia"/>
                <w:highlight w:val="none"/>
              </w:rPr>
              <w:t>。</w:t>
            </w:r>
          </w:p>
          <w:p w14:paraId="6B8D14AA">
            <w:pPr>
              <w:pStyle w:val="3"/>
              <w:rPr>
                <w:highlight w:val="none"/>
              </w:rPr>
            </w:pPr>
            <w:r>
              <w:rPr>
                <w:rFonts w:hint="eastAsia" w:ascii="Times New Roman" w:hAnsi="Times New Roman" w:cs="Times New Roman"/>
                <w:highlight w:val="none"/>
              </w:rPr>
              <w:t>2.9</w:t>
            </w:r>
            <w:r>
              <w:rPr>
                <w:rFonts w:hint="eastAsia"/>
                <w:highlight w:val="none"/>
              </w:rPr>
              <w:t>运营期工艺流程简述及产污环节</w:t>
            </w:r>
          </w:p>
          <w:p w14:paraId="1E5EB98B">
            <w:pPr>
              <w:ind w:firstLine="480"/>
              <w:rPr>
                <w:rFonts w:hint="eastAsia" w:eastAsia="宋体"/>
                <w:highlight w:val="none"/>
                <w:lang w:eastAsia="zh-CN"/>
              </w:rPr>
            </w:pPr>
            <w:r>
              <w:rPr>
                <w:rFonts w:hint="eastAsia"/>
                <w:highlight w:val="none"/>
              </w:rPr>
              <w:t>本项目生产工艺</w:t>
            </w:r>
            <w:r>
              <w:rPr>
                <w:rFonts w:hint="eastAsia"/>
                <w:highlight w:val="none"/>
                <w:lang w:val="en-US" w:eastAsia="zh-CN"/>
              </w:rPr>
              <w:t>粉煤灰</w:t>
            </w:r>
            <w:r>
              <w:rPr>
                <w:rFonts w:hint="eastAsia"/>
                <w:highlight w:val="none"/>
              </w:rPr>
              <w:t>生产线</w:t>
            </w:r>
            <w:r>
              <w:rPr>
                <w:rFonts w:hint="eastAsia"/>
                <w:highlight w:val="none"/>
                <w:lang w:eastAsia="zh-CN"/>
              </w:rPr>
              <w:t>。</w:t>
            </w:r>
          </w:p>
          <w:p w14:paraId="011ACA55">
            <w:pPr>
              <w:pStyle w:val="21"/>
              <w:ind w:left="0" w:firstLine="0" w:firstLineChars="0"/>
              <w:rPr>
                <w:highlight w:val="none"/>
              </w:rPr>
            </w:pPr>
            <w:r>
              <w:rPr>
                <w:rFonts w:hint="eastAsia" w:eastAsia="宋体"/>
                <w:color w:val="auto"/>
                <w:kern w:val="0"/>
                <w:highlight w:val="none"/>
                <w:lang w:eastAsia="zh-CN"/>
              </w:rPr>
              <w:object>
                <v:shape id="_x0000_i1026" o:spt="75" type="#_x0000_t75" style="height:258pt;width:390pt;" o:ole="t" filled="f" o:preferrelative="t" stroked="t" coordsize="21600,21600">
                  <v:path/>
                  <v:fill on="f" focussize="0,0"/>
                  <v:stroke color="#000000" joinstyle="miter"/>
                  <v:imagedata r:id="rId14" o:title=""/>
                  <o:lock v:ext="edit" aspectratio="f"/>
                  <w10:wrap type="none"/>
                  <w10:anchorlock/>
                </v:shape>
                <o:OLEObject Type="Embed" ProgID="Visio.Drawing.15" ShapeID="_x0000_i1026" DrawAspect="Content" ObjectID="_1468075726" r:id="rId13">
                  <o:LockedField>false</o:LockedField>
                </o:OLEObject>
              </w:object>
            </w:r>
          </w:p>
          <w:p w14:paraId="53600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kern w:val="0"/>
                <w:sz w:val="21"/>
                <w:szCs w:val="21"/>
                <w:highlight w:val="none"/>
              </w:rPr>
            </w:pPr>
            <w:r>
              <w:rPr>
                <w:rFonts w:hint="eastAsia"/>
                <w:b/>
                <w:bCs/>
                <w:color w:val="auto"/>
                <w:kern w:val="0"/>
                <w:sz w:val="21"/>
                <w:szCs w:val="21"/>
                <w:highlight w:val="none"/>
              </w:rPr>
              <w:t>图</w:t>
            </w:r>
            <w:r>
              <w:rPr>
                <w:rFonts w:hint="default"/>
                <w:b/>
                <w:bCs/>
                <w:color w:val="auto"/>
                <w:kern w:val="0"/>
                <w:sz w:val="21"/>
                <w:szCs w:val="21"/>
                <w:highlight w:val="none"/>
              </w:rPr>
              <w:t>2-3</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粉煤灰</w:t>
            </w:r>
            <w:r>
              <w:rPr>
                <w:rFonts w:hint="eastAsia"/>
                <w:b/>
                <w:bCs/>
                <w:color w:val="auto"/>
                <w:kern w:val="0"/>
                <w:sz w:val="21"/>
                <w:szCs w:val="21"/>
                <w:highlight w:val="none"/>
              </w:rPr>
              <w:t>生产工艺流程及产排污节点图</w:t>
            </w:r>
          </w:p>
          <w:p w14:paraId="0FCBC040">
            <w:pPr>
              <w:ind w:firstLine="480"/>
              <w:rPr>
                <w:rFonts w:hint="eastAsia" w:eastAsia="宋体"/>
                <w:color w:val="auto"/>
                <w:highlight w:val="none"/>
                <w:lang w:eastAsia="zh-CN"/>
              </w:rPr>
            </w:pPr>
            <w:r>
              <w:rPr>
                <w:rFonts w:hint="eastAsia"/>
                <w:color w:val="auto"/>
                <w:highlight w:val="none"/>
              </w:rPr>
              <w:t>工艺流程：炉渣经过空气斜槽连同</w:t>
            </w:r>
            <w:r>
              <w:rPr>
                <w:rFonts w:hint="eastAsia"/>
                <w:color w:val="auto"/>
                <w:highlight w:val="none"/>
                <w:lang w:val="en-US" w:eastAsia="zh-CN"/>
              </w:rPr>
              <w:t>选粉机中的</w:t>
            </w:r>
            <w:r>
              <w:rPr>
                <w:rFonts w:hint="eastAsia"/>
                <w:color w:val="auto"/>
                <w:highlight w:val="none"/>
              </w:rPr>
              <w:t>粗渣一同进入球磨机进行研磨，研磨后的产品经过空气斜槽输送到提升机在进行选粉分离，分离成合格粉煤灰和粗渣，合格</w:t>
            </w:r>
            <w:r>
              <w:rPr>
                <w:rFonts w:hint="eastAsia"/>
                <w:color w:val="auto"/>
                <w:highlight w:val="none"/>
                <w:lang w:eastAsia="zh-CN"/>
              </w:rPr>
              <w:t>粉煤灰</w:t>
            </w:r>
            <w:r>
              <w:rPr>
                <w:rFonts w:hint="eastAsia"/>
                <w:color w:val="auto"/>
                <w:highlight w:val="none"/>
              </w:rPr>
              <w:t>进入</w:t>
            </w:r>
            <w:r>
              <w:rPr>
                <w:rFonts w:hint="eastAsia"/>
                <w:color w:val="auto"/>
                <w:highlight w:val="none"/>
                <w:lang w:eastAsia="zh-CN"/>
              </w:rPr>
              <w:t>规划粉煤灰环保库</w:t>
            </w:r>
            <w:r>
              <w:rPr>
                <w:rFonts w:hint="eastAsia"/>
                <w:color w:val="auto"/>
                <w:highlight w:val="none"/>
                <w:lang w:val="en-US" w:eastAsia="zh-CN"/>
              </w:rPr>
              <w:t>采用粉料罐车</w:t>
            </w:r>
            <w:r>
              <w:rPr>
                <w:rFonts w:hint="eastAsia"/>
                <w:color w:val="auto"/>
                <w:highlight w:val="none"/>
              </w:rPr>
              <w:t>销售、粗渣进入</w:t>
            </w:r>
            <w:r>
              <w:rPr>
                <w:rFonts w:hint="eastAsia"/>
                <w:color w:val="auto"/>
                <w:highlight w:val="none"/>
                <w:lang w:val="en-US" w:eastAsia="zh-CN"/>
              </w:rPr>
              <w:t>球磨机</w:t>
            </w:r>
            <w:r>
              <w:rPr>
                <w:rFonts w:hint="eastAsia"/>
                <w:color w:val="auto"/>
                <w:highlight w:val="none"/>
              </w:rPr>
              <w:t>，炉灰</w:t>
            </w:r>
            <w:r>
              <w:rPr>
                <w:rFonts w:hint="eastAsia"/>
                <w:color w:val="auto"/>
                <w:highlight w:val="none"/>
                <w:lang w:val="en-US" w:eastAsia="zh-CN"/>
              </w:rPr>
              <w:t>进场后运送环保库进行储存</w:t>
            </w:r>
            <w:r>
              <w:rPr>
                <w:rFonts w:hint="eastAsia"/>
                <w:color w:val="auto"/>
                <w:highlight w:val="none"/>
                <w:lang w:eastAsia="zh-CN"/>
              </w:rPr>
              <w:t>，</w:t>
            </w:r>
            <w:r>
              <w:rPr>
                <w:rFonts w:hint="eastAsia"/>
                <w:color w:val="auto"/>
                <w:highlight w:val="none"/>
                <w:lang w:val="en-US" w:eastAsia="zh-CN"/>
              </w:rPr>
              <w:t>以此两段相互配合循环整个</w:t>
            </w:r>
            <w:r>
              <w:rPr>
                <w:rFonts w:hint="eastAsia"/>
                <w:color w:val="auto"/>
                <w:highlight w:val="none"/>
              </w:rPr>
              <w:t>生产环节都是在密封的管道及设备里面</w:t>
            </w:r>
            <w:r>
              <w:rPr>
                <w:rFonts w:hint="eastAsia"/>
                <w:color w:val="auto"/>
                <w:highlight w:val="none"/>
                <w:lang w:val="en-US" w:eastAsia="zh-CN"/>
              </w:rPr>
              <w:t>生产</w:t>
            </w:r>
            <w:r>
              <w:rPr>
                <w:color w:val="auto"/>
                <w:highlight w:val="none"/>
              </w:rPr>
              <w:t>。</w:t>
            </w:r>
            <w:r>
              <w:rPr>
                <w:rFonts w:hint="eastAsia"/>
                <w:color w:val="auto"/>
                <w:highlight w:val="none"/>
                <w:lang w:eastAsia="zh-CN"/>
              </w:rPr>
              <w:t>（</w:t>
            </w:r>
            <w:r>
              <w:rPr>
                <w:rFonts w:hint="eastAsia"/>
                <w:color w:val="auto"/>
                <w:highlight w:val="none"/>
                <w:lang w:val="en-US" w:eastAsia="zh-CN"/>
              </w:rPr>
              <w:t>物料在厂区内由车辆进行转运</w:t>
            </w:r>
            <w:r>
              <w:rPr>
                <w:rFonts w:hint="eastAsia"/>
                <w:color w:val="auto"/>
                <w:highlight w:val="none"/>
                <w:lang w:eastAsia="zh-CN"/>
              </w:rPr>
              <w:t>）</w:t>
            </w:r>
          </w:p>
          <w:p w14:paraId="0D0DB7F6">
            <w:pPr>
              <w:ind w:firstLine="480"/>
              <w:rPr>
                <w:highlight w:val="none"/>
              </w:rPr>
            </w:pPr>
            <w:r>
              <w:rPr>
                <w:rFonts w:hint="eastAsia"/>
                <w:highlight w:val="none"/>
              </w:rPr>
              <w:t>本项目生产线工艺流程以及污染物产生环节如下：</w:t>
            </w:r>
          </w:p>
          <w:p w14:paraId="6257052C">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表</w:t>
            </w:r>
            <w:r>
              <w:rPr>
                <w:rFonts w:hint="eastAsia" w:ascii="Times New Roman" w:hAnsi="Times New Roman" w:cs="Times New Roman"/>
                <w:sz w:val="21"/>
                <w:szCs w:val="21"/>
                <w:highlight w:val="none"/>
              </w:rPr>
              <w:t>2-</w:t>
            </w:r>
            <w:r>
              <w:rPr>
                <w:rFonts w:hint="eastAsia" w:ascii="Times New Roman" w:hAnsi="Times New Roman" w:cs="Times New Roman"/>
                <w:sz w:val="21"/>
                <w:szCs w:val="21"/>
                <w:highlight w:val="none"/>
                <w:lang w:val="en-US" w:eastAsia="zh-CN"/>
              </w:rPr>
              <w:t>7</w:t>
            </w:r>
            <w:r>
              <w:rPr>
                <w:sz w:val="21"/>
                <w:szCs w:val="21"/>
                <w:highlight w:val="none"/>
              </w:rPr>
              <w:t xml:space="preserve">  </w:t>
            </w:r>
            <w:r>
              <w:rPr>
                <w:rFonts w:hint="eastAsia"/>
                <w:sz w:val="21"/>
                <w:szCs w:val="21"/>
                <w:highlight w:val="none"/>
              </w:rPr>
              <w:t>本项目生产过程产污节点表</w:t>
            </w:r>
          </w:p>
          <w:tbl>
            <w:tblPr>
              <w:tblStyle w:val="30"/>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94"/>
              <w:gridCol w:w="130"/>
              <w:gridCol w:w="1174"/>
              <w:gridCol w:w="1077"/>
              <w:gridCol w:w="4105"/>
            </w:tblGrid>
            <w:tr w14:paraId="0DE7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Align w:val="center"/>
                </w:tcPr>
                <w:p w14:paraId="3F6E5AA7">
                  <w:pPr>
                    <w:pStyle w:val="55"/>
                    <w:jc w:val="center"/>
                    <w:rPr>
                      <w:highlight w:val="none"/>
                    </w:rPr>
                  </w:pPr>
                  <w:r>
                    <w:rPr>
                      <w:rFonts w:hint="eastAsia"/>
                      <w:highlight w:val="none"/>
                    </w:rPr>
                    <w:t>名称</w:t>
                  </w:r>
                </w:p>
              </w:tc>
              <w:tc>
                <w:tcPr>
                  <w:tcW w:w="1321" w:type="pct"/>
                  <w:gridSpan w:val="3"/>
                  <w:vAlign w:val="center"/>
                </w:tcPr>
                <w:p w14:paraId="07988134">
                  <w:pPr>
                    <w:pStyle w:val="55"/>
                    <w:jc w:val="center"/>
                    <w:rPr>
                      <w:highlight w:val="none"/>
                    </w:rPr>
                  </w:pPr>
                  <w:r>
                    <w:rPr>
                      <w:rFonts w:hint="eastAsia"/>
                      <w:highlight w:val="none"/>
                    </w:rPr>
                    <w:t>污染来源</w:t>
                  </w:r>
                </w:p>
              </w:tc>
              <w:tc>
                <w:tcPr>
                  <w:tcW w:w="678" w:type="pct"/>
                  <w:vAlign w:val="center"/>
                </w:tcPr>
                <w:p w14:paraId="00A154C7">
                  <w:pPr>
                    <w:pStyle w:val="55"/>
                    <w:jc w:val="center"/>
                    <w:rPr>
                      <w:highlight w:val="none"/>
                    </w:rPr>
                  </w:pPr>
                  <w:r>
                    <w:rPr>
                      <w:rFonts w:hint="eastAsia"/>
                      <w:highlight w:val="none"/>
                    </w:rPr>
                    <w:t>主要污染物</w:t>
                  </w:r>
                </w:p>
              </w:tc>
              <w:tc>
                <w:tcPr>
                  <w:tcW w:w="2585" w:type="pct"/>
                  <w:vAlign w:val="center"/>
                </w:tcPr>
                <w:p w14:paraId="483E0233">
                  <w:pPr>
                    <w:pStyle w:val="55"/>
                    <w:jc w:val="center"/>
                    <w:rPr>
                      <w:highlight w:val="none"/>
                    </w:rPr>
                  </w:pPr>
                  <w:r>
                    <w:rPr>
                      <w:rFonts w:hint="eastAsia"/>
                      <w:highlight w:val="none"/>
                    </w:rPr>
                    <w:t>排放去向及治理措施</w:t>
                  </w:r>
                </w:p>
              </w:tc>
            </w:tr>
            <w:tr w14:paraId="037F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Merge w:val="restart"/>
                  <w:vAlign w:val="center"/>
                </w:tcPr>
                <w:p w14:paraId="7CF3EE0E">
                  <w:pPr>
                    <w:pStyle w:val="55"/>
                    <w:jc w:val="center"/>
                    <w:rPr>
                      <w:highlight w:val="none"/>
                    </w:rPr>
                  </w:pPr>
                  <w:r>
                    <w:rPr>
                      <w:rFonts w:hint="eastAsia"/>
                      <w:highlight w:val="none"/>
                    </w:rPr>
                    <w:t>废气</w:t>
                  </w:r>
                </w:p>
              </w:tc>
              <w:tc>
                <w:tcPr>
                  <w:tcW w:w="500" w:type="pct"/>
                  <w:vAlign w:val="center"/>
                </w:tcPr>
                <w:p w14:paraId="35007C2F">
                  <w:pPr>
                    <w:pStyle w:val="55"/>
                    <w:jc w:val="center"/>
                    <w:rPr>
                      <w:highlight w:val="none"/>
                    </w:rPr>
                  </w:pPr>
                  <w:r>
                    <w:rPr>
                      <w:rFonts w:hint="eastAsia"/>
                      <w:highlight w:val="none"/>
                    </w:rPr>
                    <w:t>有组织</w:t>
                  </w:r>
                </w:p>
              </w:tc>
              <w:tc>
                <w:tcPr>
                  <w:tcW w:w="821" w:type="pct"/>
                  <w:gridSpan w:val="2"/>
                  <w:vAlign w:val="center"/>
                </w:tcPr>
                <w:p w14:paraId="6EA8DC88">
                  <w:pPr>
                    <w:pStyle w:val="55"/>
                    <w:jc w:val="center"/>
                    <w:rPr>
                      <w:rFonts w:hint="default" w:eastAsia="宋体"/>
                      <w:highlight w:val="none"/>
                      <w:lang w:val="en-US" w:eastAsia="zh-CN"/>
                    </w:rPr>
                  </w:pPr>
                  <w:r>
                    <w:rPr>
                      <w:rFonts w:hint="eastAsia"/>
                      <w:highlight w:val="none"/>
                      <w:lang w:val="en-US" w:eastAsia="zh-CN"/>
                    </w:rPr>
                    <w:t>选粉机、球磨机</w:t>
                  </w:r>
                </w:p>
              </w:tc>
              <w:tc>
                <w:tcPr>
                  <w:tcW w:w="678" w:type="pct"/>
                  <w:vAlign w:val="center"/>
                </w:tcPr>
                <w:p w14:paraId="5F2135DB">
                  <w:pPr>
                    <w:pStyle w:val="55"/>
                    <w:jc w:val="center"/>
                    <w:rPr>
                      <w:highlight w:val="none"/>
                    </w:rPr>
                  </w:pPr>
                  <w:r>
                    <w:rPr>
                      <w:rFonts w:hint="eastAsia"/>
                      <w:highlight w:val="none"/>
                    </w:rPr>
                    <w:t>颗粒物</w:t>
                  </w:r>
                </w:p>
              </w:tc>
              <w:tc>
                <w:tcPr>
                  <w:tcW w:w="2585" w:type="pct"/>
                  <w:vAlign w:val="center"/>
                </w:tcPr>
                <w:p w14:paraId="181BF47E">
                  <w:pPr>
                    <w:pStyle w:val="55"/>
                    <w:jc w:val="center"/>
                    <w:rPr>
                      <w:highlight w:val="none"/>
                    </w:rPr>
                  </w:pPr>
                  <w:r>
                    <w:rPr>
                      <w:rFonts w:hint="eastAsia"/>
                      <w:highlight w:val="none"/>
                    </w:rPr>
                    <w:t>经</w:t>
                  </w:r>
                  <w:r>
                    <w:rPr>
                      <w:rFonts w:hint="eastAsia"/>
                      <w:highlight w:val="none"/>
                      <w:lang w:val="en-US" w:eastAsia="zh-CN"/>
                    </w:rPr>
                    <w:t>集气罩</w:t>
                  </w:r>
                  <w:r>
                    <w:rPr>
                      <w:rFonts w:hint="eastAsia"/>
                      <w:highlight w:val="none"/>
                    </w:rPr>
                    <w:t>收集后通过</w:t>
                  </w:r>
                  <w:r>
                    <w:rPr>
                      <w:rFonts w:hint="eastAsia"/>
                      <w:highlight w:val="none"/>
                      <w:lang w:val="en-US" w:eastAsia="zh-CN"/>
                    </w:rPr>
                    <w:t>1</w:t>
                  </w:r>
                  <w:r>
                    <w:rPr>
                      <w:rFonts w:hint="eastAsia"/>
                      <w:highlight w:val="none"/>
                    </w:rPr>
                    <w:t>台布袋除尘器处理后由1根</w:t>
                  </w:r>
                  <w:r>
                    <w:rPr>
                      <w:rFonts w:hint="eastAsia"/>
                      <w:highlight w:val="none"/>
                      <w:lang w:eastAsia="zh-CN"/>
                    </w:rPr>
                    <w:t>2</w:t>
                  </w:r>
                  <w:r>
                    <w:rPr>
                      <w:rFonts w:hint="eastAsia"/>
                      <w:highlight w:val="none"/>
                      <w:lang w:val="en-US" w:eastAsia="zh-CN"/>
                    </w:rPr>
                    <w:t>2</w:t>
                  </w:r>
                  <w:r>
                    <w:rPr>
                      <w:rFonts w:hint="eastAsia"/>
                      <w:highlight w:val="none"/>
                      <w:lang w:eastAsia="zh-CN"/>
                    </w:rPr>
                    <w:t>m</w:t>
                  </w:r>
                  <w:r>
                    <w:rPr>
                      <w:rFonts w:hint="eastAsia"/>
                      <w:highlight w:val="none"/>
                    </w:rPr>
                    <w:t>高排气筒排放</w:t>
                  </w:r>
                </w:p>
              </w:tc>
            </w:tr>
            <w:tr w14:paraId="4AF3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continue"/>
                  <w:vAlign w:val="center"/>
                </w:tcPr>
                <w:p w14:paraId="77B772BC">
                  <w:pPr>
                    <w:pStyle w:val="55"/>
                    <w:jc w:val="center"/>
                    <w:rPr>
                      <w:highlight w:val="none"/>
                    </w:rPr>
                  </w:pPr>
                </w:p>
              </w:tc>
              <w:tc>
                <w:tcPr>
                  <w:tcW w:w="500" w:type="pct"/>
                  <w:vMerge w:val="restart"/>
                  <w:vAlign w:val="center"/>
                </w:tcPr>
                <w:p w14:paraId="1BD7A92D">
                  <w:pPr>
                    <w:pStyle w:val="55"/>
                    <w:jc w:val="center"/>
                    <w:rPr>
                      <w:highlight w:val="none"/>
                    </w:rPr>
                  </w:pPr>
                  <w:r>
                    <w:rPr>
                      <w:rFonts w:hint="eastAsia"/>
                      <w:highlight w:val="none"/>
                    </w:rPr>
                    <w:t>无组织</w:t>
                  </w:r>
                </w:p>
              </w:tc>
              <w:tc>
                <w:tcPr>
                  <w:tcW w:w="821" w:type="pct"/>
                  <w:gridSpan w:val="2"/>
                  <w:vAlign w:val="center"/>
                </w:tcPr>
                <w:p w14:paraId="7C52D97C">
                  <w:pPr>
                    <w:pStyle w:val="55"/>
                    <w:jc w:val="center"/>
                    <w:rPr>
                      <w:rFonts w:hint="eastAsia"/>
                      <w:highlight w:val="none"/>
                    </w:rPr>
                  </w:pPr>
                  <w:r>
                    <w:rPr>
                      <w:rFonts w:hint="eastAsia"/>
                      <w:highlight w:val="none"/>
                      <w:lang w:val="en-US" w:eastAsia="zh-CN"/>
                    </w:rPr>
                    <w:t>选粉机、球磨机</w:t>
                  </w:r>
                </w:p>
              </w:tc>
              <w:tc>
                <w:tcPr>
                  <w:tcW w:w="678" w:type="pct"/>
                  <w:vAlign w:val="center"/>
                </w:tcPr>
                <w:p w14:paraId="2EA399F1">
                  <w:pPr>
                    <w:pStyle w:val="55"/>
                    <w:jc w:val="center"/>
                    <w:rPr>
                      <w:rFonts w:hint="eastAsia"/>
                      <w:highlight w:val="none"/>
                    </w:rPr>
                  </w:pPr>
                  <w:r>
                    <w:rPr>
                      <w:rFonts w:hint="eastAsia"/>
                      <w:highlight w:val="none"/>
                    </w:rPr>
                    <w:t>颗粒物</w:t>
                  </w:r>
                </w:p>
              </w:tc>
              <w:tc>
                <w:tcPr>
                  <w:tcW w:w="2585" w:type="pct"/>
                  <w:vAlign w:val="center"/>
                </w:tcPr>
                <w:p w14:paraId="0A1C8EEF">
                  <w:pPr>
                    <w:pStyle w:val="55"/>
                    <w:jc w:val="center"/>
                    <w:rPr>
                      <w:rFonts w:hint="eastAsia"/>
                      <w:highlight w:val="none"/>
                    </w:rPr>
                  </w:pPr>
                  <w:r>
                    <w:rPr>
                      <w:rFonts w:hint="eastAsia"/>
                      <w:highlight w:val="none"/>
                    </w:rPr>
                    <w:t>生产线在密闭厂房内进行</w:t>
                  </w:r>
                  <w:r>
                    <w:rPr>
                      <w:highlight w:val="none"/>
                    </w:rPr>
                    <w:t>，</w:t>
                  </w:r>
                  <w:r>
                    <w:rPr>
                      <w:rFonts w:hint="eastAsia"/>
                      <w:highlight w:val="none"/>
                    </w:rPr>
                    <w:t>厂房内</w:t>
                  </w:r>
                  <w:r>
                    <w:rPr>
                      <w:highlight w:val="none"/>
                    </w:rPr>
                    <w:t>定期洒水降尘</w:t>
                  </w:r>
                  <w:r>
                    <w:rPr>
                      <w:rFonts w:hint="eastAsia"/>
                      <w:highlight w:val="none"/>
                    </w:rPr>
                    <w:t>、清扫</w:t>
                  </w:r>
                </w:p>
              </w:tc>
            </w:tr>
            <w:tr w14:paraId="5900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continue"/>
                  <w:vAlign w:val="center"/>
                </w:tcPr>
                <w:p w14:paraId="526FD0A2">
                  <w:pPr>
                    <w:pStyle w:val="55"/>
                    <w:jc w:val="center"/>
                    <w:rPr>
                      <w:highlight w:val="none"/>
                    </w:rPr>
                  </w:pPr>
                </w:p>
              </w:tc>
              <w:tc>
                <w:tcPr>
                  <w:tcW w:w="500" w:type="pct"/>
                  <w:vMerge w:val="continue"/>
                  <w:vAlign w:val="center"/>
                </w:tcPr>
                <w:p w14:paraId="17EBCF14">
                  <w:pPr>
                    <w:pStyle w:val="55"/>
                    <w:jc w:val="center"/>
                    <w:rPr>
                      <w:rFonts w:hint="eastAsia"/>
                      <w:highlight w:val="none"/>
                    </w:rPr>
                  </w:pPr>
                </w:p>
              </w:tc>
              <w:tc>
                <w:tcPr>
                  <w:tcW w:w="821" w:type="pct"/>
                  <w:gridSpan w:val="2"/>
                  <w:vAlign w:val="center"/>
                </w:tcPr>
                <w:p w14:paraId="4CBFF013">
                  <w:pPr>
                    <w:pStyle w:val="55"/>
                    <w:jc w:val="center"/>
                    <w:rPr>
                      <w:rFonts w:hint="default" w:eastAsia="宋体"/>
                      <w:highlight w:val="none"/>
                      <w:lang w:val="en-US" w:eastAsia="zh-CN"/>
                    </w:rPr>
                  </w:pPr>
                  <w:r>
                    <w:rPr>
                      <w:rFonts w:hint="eastAsia"/>
                      <w:highlight w:val="none"/>
                      <w:lang w:val="en-US" w:eastAsia="zh-CN"/>
                    </w:rPr>
                    <w:t>车辆运输过程</w:t>
                  </w:r>
                </w:p>
              </w:tc>
              <w:tc>
                <w:tcPr>
                  <w:tcW w:w="678" w:type="pct"/>
                  <w:vAlign w:val="center"/>
                </w:tcPr>
                <w:p w14:paraId="364BBEB1">
                  <w:pPr>
                    <w:pStyle w:val="55"/>
                    <w:jc w:val="center"/>
                    <w:rPr>
                      <w:rFonts w:hint="eastAsia"/>
                      <w:highlight w:val="none"/>
                    </w:rPr>
                  </w:pPr>
                  <w:r>
                    <w:rPr>
                      <w:rFonts w:hint="eastAsia"/>
                      <w:highlight w:val="none"/>
                    </w:rPr>
                    <w:t>颗粒物</w:t>
                  </w:r>
                </w:p>
              </w:tc>
              <w:tc>
                <w:tcPr>
                  <w:tcW w:w="2585" w:type="pct"/>
                  <w:vAlign w:val="center"/>
                </w:tcPr>
                <w:p w14:paraId="4F587298">
                  <w:pPr>
                    <w:pStyle w:val="55"/>
                    <w:jc w:val="center"/>
                    <w:rPr>
                      <w:rFonts w:hint="eastAsia"/>
                      <w:highlight w:val="none"/>
                    </w:rPr>
                  </w:pPr>
                  <w:r>
                    <w:rPr>
                      <w:rFonts w:hint="eastAsia"/>
                      <w:highlight w:val="none"/>
                    </w:rPr>
                    <w:t>运输道路</w:t>
                  </w:r>
                  <w:r>
                    <w:rPr>
                      <w:rFonts w:hint="eastAsia"/>
                      <w:highlight w:val="none"/>
                      <w:lang w:val="en-US" w:eastAsia="zh-CN"/>
                    </w:rPr>
                    <w:t>洒</w:t>
                  </w:r>
                  <w:r>
                    <w:rPr>
                      <w:rFonts w:hint="eastAsia"/>
                      <w:highlight w:val="none"/>
                    </w:rPr>
                    <w:t>水抑尘、篷布遮盖原料运输车辆、严禁超载、控制车速</w:t>
                  </w:r>
                </w:p>
              </w:tc>
            </w:tr>
            <w:tr w14:paraId="555D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continue"/>
                  <w:vAlign w:val="center"/>
                </w:tcPr>
                <w:p w14:paraId="129064EC">
                  <w:pPr>
                    <w:pStyle w:val="55"/>
                    <w:jc w:val="center"/>
                    <w:rPr>
                      <w:highlight w:val="none"/>
                    </w:rPr>
                  </w:pPr>
                </w:p>
              </w:tc>
              <w:tc>
                <w:tcPr>
                  <w:tcW w:w="500" w:type="pct"/>
                  <w:vMerge w:val="continue"/>
                  <w:vAlign w:val="center"/>
                </w:tcPr>
                <w:p w14:paraId="14DD3FF0">
                  <w:pPr>
                    <w:pStyle w:val="55"/>
                    <w:jc w:val="center"/>
                    <w:rPr>
                      <w:rFonts w:hint="eastAsia"/>
                      <w:highlight w:val="none"/>
                    </w:rPr>
                  </w:pPr>
                </w:p>
              </w:tc>
              <w:tc>
                <w:tcPr>
                  <w:tcW w:w="821" w:type="pct"/>
                  <w:gridSpan w:val="2"/>
                  <w:vAlign w:val="center"/>
                </w:tcPr>
                <w:p w14:paraId="5435CFD8">
                  <w:pPr>
                    <w:pStyle w:val="55"/>
                    <w:jc w:val="center"/>
                    <w:rPr>
                      <w:rFonts w:hint="default"/>
                      <w:highlight w:val="none"/>
                      <w:lang w:val="en-US" w:eastAsia="zh-CN"/>
                    </w:rPr>
                  </w:pPr>
                  <w:r>
                    <w:rPr>
                      <w:rFonts w:hint="eastAsia"/>
                      <w:highlight w:val="none"/>
                      <w:lang w:val="en-US" w:eastAsia="zh-CN"/>
                    </w:rPr>
                    <w:t>规划粉煤灰环保库</w:t>
                  </w:r>
                </w:p>
              </w:tc>
              <w:tc>
                <w:tcPr>
                  <w:tcW w:w="678" w:type="pct"/>
                  <w:vAlign w:val="center"/>
                </w:tcPr>
                <w:p w14:paraId="6582ECB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颗粒物</w:t>
                  </w:r>
                </w:p>
              </w:tc>
              <w:tc>
                <w:tcPr>
                  <w:tcW w:w="2585" w:type="pct"/>
                  <w:vAlign w:val="center"/>
                </w:tcPr>
                <w:p w14:paraId="4FE4ECD0">
                  <w:pPr>
                    <w:pStyle w:val="55"/>
                    <w:jc w:val="center"/>
                    <w:rPr>
                      <w:rFonts w:hint="eastAsia"/>
                      <w:color w:val="000000" w:themeColor="text1"/>
                      <w:sz w:val="21"/>
                      <w:szCs w:val="21"/>
                      <w:highlight w:val="none"/>
                      <w14:textFill>
                        <w14:solidFill>
                          <w14:schemeClr w14:val="tx1"/>
                        </w14:solidFill>
                      </w14:textFill>
                    </w:rPr>
                  </w:pPr>
                  <w:r>
                    <w:rPr>
                      <w:rFonts w:hint="eastAsia" w:cs="Times New Roman"/>
                      <w:highlight w:val="none"/>
                      <w:lang w:val="en-US" w:eastAsia="zh-CN"/>
                    </w:rPr>
                    <w:t>规划粉煤灰环保库</w:t>
                  </w:r>
                  <w:r>
                    <w:rPr>
                      <w:rFonts w:hint="eastAsia" w:cs="Times New Roman"/>
                      <w:color w:val="000000" w:themeColor="text1"/>
                      <w:kern w:val="2"/>
                      <w:sz w:val="21"/>
                      <w:szCs w:val="21"/>
                      <w:highlight w:val="none"/>
                      <w:lang w:val="en-US" w:eastAsia="zh-CN" w:bidi="ar-SA"/>
                      <w14:textFill>
                        <w14:solidFill>
                          <w14:schemeClr w14:val="tx1"/>
                        </w14:solidFill>
                      </w14:textFill>
                    </w:rPr>
                    <w:t>呼吸通过仓顶除尘器</w:t>
                  </w:r>
                </w:p>
              </w:tc>
            </w:tr>
            <w:tr w14:paraId="4057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13" w:type="pct"/>
                  <w:vMerge w:val="continue"/>
                  <w:vAlign w:val="center"/>
                </w:tcPr>
                <w:p w14:paraId="7AA6232A">
                  <w:pPr>
                    <w:pStyle w:val="55"/>
                    <w:jc w:val="center"/>
                    <w:rPr>
                      <w:highlight w:val="none"/>
                    </w:rPr>
                  </w:pPr>
                </w:p>
              </w:tc>
              <w:tc>
                <w:tcPr>
                  <w:tcW w:w="1321" w:type="pct"/>
                  <w:gridSpan w:val="3"/>
                  <w:vAlign w:val="center"/>
                </w:tcPr>
                <w:p w14:paraId="45D7A032">
                  <w:pPr>
                    <w:pStyle w:val="55"/>
                    <w:jc w:val="center"/>
                    <w:rPr>
                      <w:highlight w:val="none"/>
                    </w:rPr>
                  </w:pPr>
                  <w:r>
                    <w:rPr>
                      <w:rFonts w:hint="eastAsia"/>
                      <w:highlight w:val="none"/>
                    </w:rPr>
                    <w:t>食堂</w:t>
                  </w:r>
                </w:p>
              </w:tc>
              <w:tc>
                <w:tcPr>
                  <w:tcW w:w="678" w:type="pct"/>
                  <w:vAlign w:val="center"/>
                </w:tcPr>
                <w:p w14:paraId="7C2985C9">
                  <w:pPr>
                    <w:pStyle w:val="55"/>
                    <w:jc w:val="center"/>
                    <w:rPr>
                      <w:highlight w:val="none"/>
                    </w:rPr>
                  </w:pPr>
                  <w:r>
                    <w:rPr>
                      <w:rFonts w:hint="eastAsia"/>
                      <w:highlight w:val="none"/>
                    </w:rPr>
                    <w:t>厨房油烟</w:t>
                  </w:r>
                </w:p>
              </w:tc>
              <w:tc>
                <w:tcPr>
                  <w:tcW w:w="2585" w:type="pct"/>
                  <w:vAlign w:val="center"/>
                </w:tcPr>
                <w:p w14:paraId="5FFE783D">
                  <w:pPr>
                    <w:pStyle w:val="55"/>
                    <w:jc w:val="center"/>
                    <w:rPr>
                      <w:highlight w:val="none"/>
                    </w:rPr>
                  </w:pPr>
                  <w:r>
                    <w:rPr>
                      <w:rFonts w:hint="eastAsia"/>
                      <w:highlight w:val="none"/>
                    </w:rPr>
                    <w:t>经油烟净化器处理后通过专用烟道引至屋顶排放</w:t>
                  </w:r>
                </w:p>
              </w:tc>
            </w:tr>
            <w:tr w14:paraId="7136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3" w:type="pct"/>
                  <w:vMerge w:val="restart"/>
                  <w:vAlign w:val="center"/>
                </w:tcPr>
                <w:p w14:paraId="7C6FC0AB">
                  <w:pPr>
                    <w:pStyle w:val="55"/>
                    <w:jc w:val="center"/>
                    <w:rPr>
                      <w:highlight w:val="none"/>
                    </w:rPr>
                  </w:pPr>
                  <w:r>
                    <w:rPr>
                      <w:rFonts w:hint="eastAsia"/>
                      <w:highlight w:val="none"/>
                    </w:rPr>
                    <w:t>废水</w:t>
                  </w:r>
                </w:p>
              </w:tc>
              <w:tc>
                <w:tcPr>
                  <w:tcW w:w="1321" w:type="pct"/>
                  <w:gridSpan w:val="3"/>
                  <w:vAlign w:val="center"/>
                </w:tcPr>
                <w:p w14:paraId="663F4E30">
                  <w:pPr>
                    <w:pStyle w:val="55"/>
                    <w:jc w:val="center"/>
                    <w:rPr>
                      <w:highlight w:val="none"/>
                    </w:rPr>
                  </w:pPr>
                  <w:r>
                    <w:rPr>
                      <w:rFonts w:hint="eastAsia"/>
                      <w:highlight w:val="none"/>
                    </w:rPr>
                    <w:t>生产废水</w:t>
                  </w:r>
                </w:p>
              </w:tc>
              <w:tc>
                <w:tcPr>
                  <w:tcW w:w="678" w:type="pct"/>
                  <w:vAlign w:val="center"/>
                </w:tcPr>
                <w:p w14:paraId="25A78133">
                  <w:pPr>
                    <w:pStyle w:val="55"/>
                    <w:jc w:val="center"/>
                    <w:rPr>
                      <w:rFonts w:hint="default" w:ascii="Times New Roman" w:hAnsi="Times New Roman" w:cs="Times New Roman"/>
                      <w:highlight w:val="none"/>
                    </w:rPr>
                  </w:pPr>
                  <w:r>
                    <w:rPr>
                      <w:rFonts w:hint="default" w:ascii="Times New Roman" w:hAnsi="Times New Roman" w:cs="Times New Roman"/>
                      <w:highlight w:val="none"/>
                    </w:rPr>
                    <w:t>COD</w:t>
                  </w:r>
                  <w:r>
                    <w:rPr>
                      <w:rFonts w:hint="default" w:ascii="Times New Roman" w:hAnsi="Times New Roman" w:cs="Times New Roman"/>
                      <w:highlight w:val="none"/>
                      <w:vertAlign w:val="subscript"/>
                    </w:rPr>
                    <w:t>Cr</w:t>
                  </w:r>
                  <w:r>
                    <w:rPr>
                      <w:rFonts w:hint="default" w:ascii="Times New Roman" w:hAnsi="Times New Roman" w:cs="Times New Roman"/>
                      <w:highlight w:val="none"/>
                    </w:rPr>
                    <w:t>、BOD</w:t>
                  </w:r>
                  <w:r>
                    <w:rPr>
                      <w:rFonts w:hint="default" w:ascii="Times New Roman" w:hAnsi="Times New Roman" w:cs="Times New Roman"/>
                      <w:highlight w:val="none"/>
                      <w:vertAlign w:val="subscript"/>
                    </w:rPr>
                    <w:t>5</w:t>
                  </w:r>
                  <w:r>
                    <w:rPr>
                      <w:rFonts w:hint="default" w:ascii="Times New Roman" w:hAnsi="Times New Roman" w:cs="Times New Roman"/>
                      <w:highlight w:val="none"/>
                    </w:rPr>
                    <w:t>、SS</w:t>
                  </w:r>
                </w:p>
              </w:tc>
              <w:tc>
                <w:tcPr>
                  <w:tcW w:w="2585" w:type="pct"/>
                  <w:vAlign w:val="center"/>
                </w:tcPr>
                <w:p w14:paraId="3A45B158">
                  <w:pPr>
                    <w:pStyle w:val="55"/>
                    <w:jc w:val="center"/>
                    <w:rPr>
                      <w:rFonts w:hint="eastAsia"/>
                      <w:highlight w:val="none"/>
                    </w:rPr>
                  </w:pPr>
                  <w:r>
                    <w:rPr>
                      <w:rFonts w:hint="eastAsia"/>
                      <w:highlight w:val="none"/>
                    </w:rPr>
                    <w:t>经循环水池收集后循环使用，不外排</w:t>
                  </w:r>
                </w:p>
              </w:tc>
            </w:tr>
            <w:tr w14:paraId="08DE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3" w:type="pct"/>
                  <w:vMerge w:val="continue"/>
                  <w:vAlign w:val="center"/>
                </w:tcPr>
                <w:p w14:paraId="54F4105D">
                  <w:pPr>
                    <w:pStyle w:val="55"/>
                    <w:jc w:val="center"/>
                    <w:rPr>
                      <w:highlight w:val="none"/>
                    </w:rPr>
                  </w:pPr>
                </w:p>
              </w:tc>
              <w:tc>
                <w:tcPr>
                  <w:tcW w:w="1321" w:type="pct"/>
                  <w:gridSpan w:val="3"/>
                  <w:vAlign w:val="center"/>
                </w:tcPr>
                <w:p w14:paraId="3224AE01">
                  <w:pPr>
                    <w:pStyle w:val="55"/>
                    <w:jc w:val="center"/>
                    <w:rPr>
                      <w:highlight w:val="none"/>
                    </w:rPr>
                  </w:pPr>
                  <w:r>
                    <w:rPr>
                      <w:rFonts w:hint="eastAsia"/>
                      <w:highlight w:val="none"/>
                    </w:rPr>
                    <w:t>生活废水</w:t>
                  </w:r>
                </w:p>
              </w:tc>
              <w:tc>
                <w:tcPr>
                  <w:tcW w:w="678" w:type="pct"/>
                  <w:vAlign w:val="center"/>
                </w:tcPr>
                <w:p w14:paraId="44343D9F">
                  <w:pPr>
                    <w:pStyle w:val="55"/>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COD</w:t>
                  </w:r>
                  <w:r>
                    <w:rPr>
                      <w:rFonts w:hint="default" w:ascii="Times New Roman" w:hAnsi="Times New Roman" w:cs="Times New Roman"/>
                      <w:highlight w:val="none"/>
                      <w:vertAlign w:val="subscript"/>
                    </w:rPr>
                    <w:t>Cr</w:t>
                  </w:r>
                  <w:r>
                    <w:rPr>
                      <w:rFonts w:hint="default" w:ascii="Times New Roman" w:hAnsi="Times New Roman" w:cs="Times New Roman"/>
                      <w:highlight w:val="none"/>
                    </w:rPr>
                    <w:t>、BOD</w:t>
                  </w:r>
                  <w:r>
                    <w:rPr>
                      <w:rFonts w:hint="default" w:ascii="Times New Roman" w:hAnsi="Times New Roman" w:cs="Times New Roman"/>
                      <w:highlight w:val="none"/>
                      <w:vertAlign w:val="subscript"/>
                    </w:rPr>
                    <w:t>5</w:t>
                  </w:r>
                  <w:r>
                    <w:rPr>
                      <w:rFonts w:hint="default" w:ascii="Times New Roman" w:hAnsi="Times New Roman" w:cs="Times New Roman"/>
                      <w:highlight w:val="none"/>
                    </w:rPr>
                    <w:t>、SS</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氨氮</w:t>
                  </w:r>
                </w:p>
              </w:tc>
              <w:tc>
                <w:tcPr>
                  <w:tcW w:w="2585" w:type="pct"/>
                  <w:vAlign w:val="center"/>
                </w:tcPr>
                <w:p w14:paraId="232CCDC3">
                  <w:pPr>
                    <w:pStyle w:val="55"/>
                    <w:jc w:val="center"/>
                    <w:rPr>
                      <w:rFonts w:hint="eastAsia" w:eastAsia="宋体"/>
                      <w:highlight w:val="none"/>
                      <w:lang w:eastAsia="zh-CN"/>
                    </w:rPr>
                  </w:pP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b w:val="0"/>
                      <w:bCs w:val="0"/>
                      <w:color w:val="auto"/>
                      <w:highlight w:val="none"/>
                      <w:lang w:val="en-US" w:eastAsia="zh-CN"/>
                    </w:rPr>
                    <w:t>，待园区污水管网接通后排入管网</w:t>
                  </w:r>
                </w:p>
              </w:tc>
            </w:tr>
            <w:tr w14:paraId="0402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Align w:val="center"/>
                </w:tcPr>
                <w:p w14:paraId="58E9EEB0">
                  <w:pPr>
                    <w:pStyle w:val="55"/>
                    <w:jc w:val="center"/>
                    <w:rPr>
                      <w:highlight w:val="none"/>
                    </w:rPr>
                  </w:pPr>
                  <w:r>
                    <w:rPr>
                      <w:rFonts w:hint="eastAsia"/>
                      <w:highlight w:val="none"/>
                    </w:rPr>
                    <w:t>噪声</w:t>
                  </w:r>
                </w:p>
              </w:tc>
              <w:tc>
                <w:tcPr>
                  <w:tcW w:w="1321" w:type="pct"/>
                  <w:gridSpan w:val="3"/>
                  <w:vAlign w:val="center"/>
                </w:tcPr>
                <w:p w14:paraId="2176C4AF">
                  <w:pPr>
                    <w:pStyle w:val="55"/>
                    <w:jc w:val="center"/>
                    <w:rPr>
                      <w:highlight w:val="none"/>
                    </w:rPr>
                  </w:pPr>
                  <w:r>
                    <w:rPr>
                      <w:rFonts w:hint="eastAsia"/>
                      <w:highlight w:val="none"/>
                    </w:rPr>
                    <w:t>设备运行</w:t>
                  </w:r>
                </w:p>
              </w:tc>
              <w:tc>
                <w:tcPr>
                  <w:tcW w:w="678" w:type="pct"/>
                  <w:vAlign w:val="center"/>
                </w:tcPr>
                <w:p w14:paraId="646432E2">
                  <w:pPr>
                    <w:pStyle w:val="55"/>
                    <w:jc w:val="center"/>
                    <w:rPr>
                      <w:highlight w:val="none"/>
                    </w:rPr>
                  </w:pPr>
                  <w:r>
                    <w:rPr>
                      <w:highlight w:val="none"/>
                    </w:rPr>
                    <w:t>Leq(A)</w:t>
                  </w:r>
                </w:p>
              </w:tc>
              <w:tc>
                <w:tcPr>
                  <w:tcW w:w="2585" w:type="pct"/>
                  <w:vAlign w:val="center"/>
                </w:tcPr>
                <w:p w14:paraId="7300E29D">
                  <w:pPr>
                    <w:pStyle w:val="55"/>
                    <w:jc w:val="center"/>
                    <w:rPr>
                      <w:highlight w:val="none"/>
                    </w:rPr>
                  </w:pPr>
                  <w:r>
                    <w:rPr>
                      <w:rFonts w:hint="eastAsia"/>
                      <w:highlight w:val="none"/>
                    </w:rPr>
                    <w:t>选用低噪声设备</w:t>
                  </w:r>
                  <w:r>
                    <w:rPr>
                      <w:highlight w:val="none"/>
                    </w:rPr>
                    <w:t>，</w:t>
                  </w:r>
                  <w:r>
                    <w:rPr>
                      <w:rFonts w:hint="eastAsia"/>
                      <w:highlight w:val="none"/>
                    </w:rPr>
                    <w:t>基础减震、厂房隔声</w:t>
                  </w:r>
                  <w:r>
                    <w:rPr>
                      <w:highlight w:val="none"/>
                    </w:rPr>
                    <w:t>等减震降噪措施</w:t>
                  </w:r>
                </w:p>
              </w:tc>
            </w:tr>
            <w:tr w14:paraId="12C8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restart"/>
                  <w:vAlign w:val="center"/>
                </w:tcPr>
                <w:p w14:paraId="709D992F">
                  <w:pPr>
                    <w:pStyle w:val="55"/>
                    <w:jc w:val="center"/>
                    <w:rPr>
                      <w:highlight w:val="none"/>
                    </w:rPr>
                  </w:pPr>
                  <w:r>
                    <w:rPr>
                      <w:rFonts w:hint="eastAsia"/>
                      <w:highlight w:val="none"/>
                    </w:rPr>
                    <w:t>固废</w:t>
                  </w:r>
                </w:p>
              </w:tc>
              <w:tc>
                <w:tcPr>
                  <w:tcW w:w="582" w:type="pct"/>
                  <w:gridSpan w:val="2"/>
                  <w:vMerge w:val="restart"/>
                  <w:vAlign w:val="center"/>
                </w:tcPr>
                <w:p w14:paraId="690A9F00">
                  <w:pPr>
                    <w:pStyle w:val="55"/>
                    <w:jc w:val="center"/>
                    <w:rPr>
                      <w:highlight w:val="none"/>
                    </w:rPr>
                  </w:pPr>
                  <w:r>
                    <w:rPr>
                      <w:rFonts w:hint="eastAsia"/>
                      <w:highlight w:val="none"/>
                    </w:rPr>
                    <w:t>一般固废</w:t>
                  </w:r>
                </w:p>
              </w:tc>
              <w:tc>
                <w:tcPr>
                  <w:tcW w:w="739" w:type="pct"/>
                  <w:vMerge w:val="restart"/>
                  <w:vAlign w:val="center"/>
                </w:tcPr>
                <w:p w14:paraId="5782B7D0">
                  <w:pPr>
                    <w:pStyle w:val="55"/>
                    <w:jc w:val="center"/>
                    <w:rPr>
                      <w:highlight w:val="none"/>
                    </w:rPr>
                  </w:pPr>
                  <w:r>
                    <w:rPr>
                      <w:rFonts w:hint="eastAsia"/>
                      <w:highlight w:val="none"/>
                    </w:rPr>
                    <w:t>员工生活</w:t>
                  </w:r>
                </w:p>
              </w:tc>
              <w:tc>
                <w:tcPr>
                  <w:tcW w:w="678" w:type="pct"/>
                  <w:vAlign w:val="center"/>
                </w:tcPr>
                <w:p w14:paraId="4CD28738">
                  <w:pPr>
                    <w:pStyle w:val="55"/>
                    <w:jc w:val="center"/>
                    <w:rPr>
                      <w:highlight w:val="none"/>
                      <w:shd w:val="clear" w:color="auto" w:fill="FFFF00"/>
                    </w:rPr>
                  </w:pPr>
                  <w:r>
                    <w:rPr>
                      <w:rFonts w:hint="eastAsia"/>
                      <w:highlight w:val="none"/>
                    </w:rPr>
                    <w:t>生活垃圾</w:t>
                  </w:r>
                </w:p>
              </w:tc>
              <w:tc>
                <w:tcPr>
                  <w:tcW w:w="2585" w:type="pct"/>
                  <w:vAlign w:val="center"/>
                </w:tcPr>
                <w:p w14:paraId="439A5552">
                  <w:pPr>
                    <w:pStyle w:val="55"/>
                    <w:jc w:val="center"/>
                    <w:rPr>
                      <w:highlight w:val="none"/>
                    </w:rPr>
                  </w:pPr>
                  <w:r>
                    <w:rPr>
                      <w:highlight w:val="none"/>
                    </w:rPr>
                    <w:t>集中收集后交环卫部门</w:t>
                  </w:r>
                  <w:r>
                    <w:rPr>
                      <w:rFonts w:hint="eastAsia"/>
                      <w:highlight w:val="none"/>
                    </w:rPr>
                    <w:t>统一清运</w:t>
                  </w:r>
                </w:p>
              </w:tc>
            </w:tr>
            <w:tr w14:paraId="5B96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continue"/>
                  <w:vAlign w:val="center"/>
                </w:tcPr>
                <w:p w14:paraId="22D92805">
                  <w:pPr>
                    <w:pStyle w:val="55"/>
                    <w:jc w:val="center"/>
                    <w:rPr>
                      <w:rFonts w:hint="eastAsia"/>
                      <w:highlight w:val="none"/>
                    </w:rPr>
                  </w:pPr>
                </w:p>
              </w:tc>
              <w:tc>
                <w:tcPr>
                  <w:tcW w:w="582" w:type="pct"/>
                  <w:gridSpan w:val="2"/>
                  <w:vMerge w:val="continue"/>
                  <w:vAlign w:val="center"/>
                </w:tcPr>
                <w:p w14:paraId="0681D480">
                  <w:pPr>
                    <w:pStyle w:val="55"/>
                    <w:jc w:val="center"/>
                    <w:rPr>
                      <w:rFonts w:hint="eastAsia"/>
                      <w:highlight w:val="none"/>
                    </w:rPr>
                  </w:pPr>
                </w:p>
              </w:tc>
              <w:tc>
                <w:tcPr>
                  <w:tcW w:w="739" w:type="pct"/>
                  <w:vMerge w:val="continue"/>
                  <w:vAlign w:val="center"/>
                </w:tcPr>
                <w:p w14:paraId="23D3193A">
                  <w:pPr>
                    <w:pStyle w:val="55"/>
                    <w:jc w:val="center"/>
                    <w:rPr>
                      <w:rFonts w:hint="eastAsia"/>
                      <w:highlight w:val="none"/>
                    </w:rPr>
                  </w:pPr>
                </w:p>
              </w:tc>
              <w:tc>
                <w:tcPr>
                  <w:tcW w:w="678" w:type="pct"/>
                  <w:vAlign w:val="center"/>
                </w:tcPr>
                <w:p w14:paraId="1196043A">
                  <w:pPr>
                    <w:pStyle w:val="55"/>
                    <w:jc w:val="center"/>
                    <w:rPr>
                      <w:rFonts w:hint="default" w:eastAsia="宋体"/>
                      <w:highlight w:val="none"/>
                      <w:lang w:val="en-US" w:eastAsia="zh-CN"/>
                    </w:rPr>
                  </w:pPr>
                  <w:r>
                    <w:rPr>
                      <w:rFonts w:hint="eastAsia"/>
                      <w:highlight w:val="none"/>
                      <w:lang w:val="en-US" w:eastAsia="zh-CN"/>
                    </w:rPr>
                    <w:t>化粪池污泥</w:t>
                  </w:r>
                </w:p>
              </w:tc>
              <w:tc>
                <w:tcPr>
                  <w:tcW w:w="2585" w:type="pct"/>
                  <w:vAlign w:val="center"/>
                </w:tcPr>
                <w:p w14:paraId="07D68956">
                  <w:pPr>
                    <w:pStyle w:val="55"/>
                    <w:jc w:val="center"/>
                    <w:rPr>
                      <w:highlight w:val="none"/>
                    </w:rPr>
                  </w:pPr>
                  <w:r>
                    <w:rPr>
                      <w:highlight w:val="none"/>
                    </w:rPr>
                    <w:t>集中收集后交环卫部门</w:t>
                  </w:r>
                  <w:r>
                    <w:rPr>
                      <w:rFonts w:hint="eastAsia"/>
                      <w:highlight w:val="none"/>
                    </w:rPr>
                    <w:t>统一清运</w:t>
                  </w:r>
                </w:p>
              </w:tc>
            </w:tr>
            <w:tr w14:paraId="1190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13" w:type="pct"/>
                  <w:vMerge w:val="continue"/>
                  <w:vAlign w:val="center"/>
                </w:tcPr>
                <w:p w14:paraId="5045B403">
                  <w:pPr>
                    <w:pStyle w:val="55"/>
                    <w:jc w:val="center"/>
                    <w:rPr>
                      <w:highlight w:val="none"/>
                    </w:rPr>
                  </w:pPr>
                </w:p>
              </w:tc>
              <w:tc>
                <w:tcPr>
                  <w:tcW w:w="582" w:type="pct"/>
                  <w:gridSpan w:val="2"/>
                  <w:vMerge w:val="continue"/>
                  <w:vAlign w:val="center"/>
                </w:tcPr>
                <w:p w14:paraId="11328A7A">
                  <w:pPr>
                    <w:pStyle w:val="55"/>
                    <w:jc w:val="center"/>
                    <w:rPr>
                      <w:highlight w:val="none"/>
                    </w:rPr>
                  </w:pPr>
                </w:p>
              </w:tc>
              <w:tc>
                <w:tcPr>
                  <w:tcW w:w="739" w:type="pct"/>
                  <w:vAlign w:val="center"/>
                </w:tcPr>
                <w:p w14:paraId="3FF9A859">
                  <w:pPr>
                    <w:pStyle w:val="55"/>
                    <w:jc w:val="center"/>
                    <w:rPr>
                      <w:rFonts w:hint="default" w:eastAsia="宋体"/>
                      <w:color w:val="auto"/>
                      <w:highlight w:val="none"/>
                      <w:lang w:val="en-US" w:eastAsia="zh-CN"/>
                    </w:rPr>
                  </w:pPr>
                  <w:r>
                    <w:rPr>
                      <w:rFonts w:hint="eastAsia"/>
                      <w:color w:val="auto"/>
                      <w:highlight w:val="none"/>
                      <w:lang w:val="en-US" w:eastAsia="zh-CN"/>
                    </w:rPr>
                    <w:t>生产过程</w:t>
                  </w:r>
                </w:p>
              </w:tc>
              <w:tc>
                <w:tcPr>
                  <w:tcW w:w="678" w:type="pct"/>
                  <w:vAlign w:val="center"/>
                </w:tcPr>
                <w:p w14:paraId="2DA78CA2">
                  <w:pPr>
                    <w:pStyle w:val="55"/>
                    <w:jc w:val="center"/>
                    <w:rPr>
                      <w:rFonts w:hint="eastAsia" w:eastAsia="宋体"/>
                      <w:color w:val="auto"/>
                      <w:highlight w:val="none"/>
                      <w:lang w:val="en-US" w:eastAsia="zh-CN"/>
                    </w:rPr>
                  </w:pPr>
                  <w:r>
                    <w:rPr>
                      <w:rFonts w:hint="eastAsia"/>
                      <w:color w:val="auto"/>
                      <w:highlight w:val="none"/>
                      <w:lang w:val="en-US" w:eastAsia="zh-CN"/>
                    </w:rPr>
                    <w:t>粗渣</w:t>
                  </w:r>
                </w:p>
              </w:tc>
              <w:tc>
                <w:tcPr>
                  <w:tcW w:w="2585" w:type="pct"/>
                  <w:vAlign w:val="center"/>
                </w:tcPr>
                <w:p w14:paraId="5A135C32">
                  <w:pPr>
                    <w:pStyle w:val="55"/>
                    <w:jc w:val="center"/>
                    <w:rPr>
                      <w:rFonts w:hint="eastAsia"/>
                      <w:color w:val="auto"/>
                      <w:highlight w:val="none"/>
                    </w:rPr>
                  </w:pPr>
                  <w:r>
                    <w:rPr>
                      <w:rFonts w:hint="eastAsia"/>
                      <w:color w:val="auto"/>
                      <w:highlight w:val="none"/>
                      <w:lang w:val="en-US" w:eastAsia="zh-CN"/>
                    </w:rPr>
                    <w:t>作为原料</w:t>
                  </w:r>
                  <w:r>
                    <w:rPr>
                      <w:rFonts w:hint="eastAsia"/>
                      <w:color w:val="auto"/>
                      <w:highlight w:val="none"/>
                    </w:rPr>
                    <w:t>回用于</w:t>
                  </w:r>
                  <w:r>
                    <w:rPr>
                      <w:rFonts w:hint="eastAsia"/>
                      <w:color w:val="auto"/>
                      <w:highlight w:val="none"/>
                      <w:lang w:val="en-US" w:eastAsia="zh-CN"/>
                    </w:rPr>
                    <w:t>原</w:t>
                  </w:r>
                  <w:r>
                    <w:rPr>
                      <w:rFonts w:hint="eastAsia"/>
                      <w:color w:val="auto"/>
                      <w:highlight w:val="none"/>
                    </w:rPr>
                    <w:t>生产线，进入产品</w:t>
                  </w:r>
                </w:p>
              </w:tc>
            </w:tr>
            <w:tr w14:paraId="2099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13" w:type="pct"/>
                  <w:vMerge w:val="continue"/>
                  <w:vAlign w:val="center"/>
                </w:tcPr>
                <w:p w14:paraId="7D1FA9F7">
                  <w:pPr>
                    <w:pStyle w:val="55"/>
                    <w:jc w:val="center"/>
                    <w:rPr>
                      <w:highlight w:val="none"/>
                    </w:rPr>
                  </w:pPr>
                </w:p>
              </w:tc>
              <w:tc>
                <w:tcPr>
                  <w:tcW w:w="582" w:type="pct"/>
                  <w:gridSpan w:val="2"/>
                  <w:vMerge w:val="continue"/>
                  <w:vAlign w:val="center"/>
                </w:tcPr>
                <w:p w14:paraId="4D65225E">
                  <w:pPr>
                    <w:pStyle w:val="55"/>
                    <w:jc w:val="center"/>
                    <w:rPr>
                      <w:highlight w:val="none"/>
                    </w:rPr>
                  </w:pPr>
                </w:p>
              </w:tc>
              <w:tc>
                <w:tcPr>
                  <w:tcW w:w="739" w:type="pct"/>
                  <w:vMerge w:val="restart"/>
                  <w:vAlign w:val="center"/>
                </w:tcPr>
                <w:p w14:paraId="3BE440D9">
                  <w:pPr>
                    <w:pStyle w:val="55"/>
                    <w:jc w:val="center"/>
                    <w:rPr>
                      <w:color w:val="auto"/>
                      <w:highlight w:val="none"/>
                    </w:rPr>
                  </w:pPr>
                  <w:r>
                    <w:rPr>
                      <w:color w:val="auto"/>
                      <w:highlight w:val="none"/>
                    </w:rPr>
                    <w:t>废气处理</w:t>
                  </w:r>
                  <w:r>
                    <w:rPr>
                      <w:rFonts w:hint="eastAsia"/>
                      <w:color w:val="auto"/>
                      <w:highlight w:val="none"/>
                    </w:rPr>
                    <w:t>过程</w:t>
                  </w:r>
                </w:p>
              </w:tc>
              <w:tc>
                <w:tcPr>
                  <w:tcW w:w="678" w:type="pct"/>
                  <w:vAlign w:val="center"/>
                </w:tcPr>
                <w:p w14:paraId="3E98905C">
                  <w:pPr>
                    <w:pStyle w:val="55"/>
                    <w:jc w:val="center"/>
                    <w:rPr>
                      <w:color w:val="auto"/>
                      <w:highlight w:val="none"/>
                    </w:rPr>
                  </w:pPr>
                  <w:r>
                    <w:rPr>
                      <w:rFonts w:hint="eastAsia"/>
                      <w:color w:val="auto"/>
                      <w:highlight w:val="none"/>
                    </w:rPr>
                    <w:t>废旧布袋</w:t>
                  </w:r>
                </w:p>
              </w:tc>
              <w:tc>
                <w:tcPr>
                  <w:tcW w:w="2585" w:type="pct"/>
                  <w:vAlign w:val="center"/>
                </w:tcPr>
                <w:p w14:paraId="7DE6F6DB">
                  <w:pPr>
                    <w:pStyle w:val="55"/>
                    <w:jc w:val="center"/>
                    <w:rPr>
                      <w:color w:val="auto"/>
                      <w:highlight w:val="none"/>
                    </w:rPr>
                  </w:pPr>
                  <w:r>
                    <w:rPr>
                      <w:rFonts w:hint="eastAsia"/>
                      <w:color w:val="auto"/>
                      <w:highlight w:val="none"/>
                    </w:rPr>
                    <w:t>废旧布袋集中收集后</w:t>
                  </w:r>
                  <w:r>
                    <w:rPr>
                      <w:rFonts w:hint="eastAsia"/>
                      <w:color w:val="auto"/>
                      <w:highlight w:val="none"/>
                      <w:lang w:val="en-US" w:eastAsia="zh-CN"/>
                    </w:rPr>
                    <w:t>由生产厂家回收处理</w:t>
                  </w:r>
                </w:p>
              </w:tc>
            </w:tr>
            <w:tr w14:paraId="6177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13" w:type="pct"/>
                  <w:vMerge w:val="continue"/>
                  <w:vAlign w:val="center"/>
                </w:tcPr>
                <w:p w14:paraId="2CF2DE62">
                  <w:pPr>
                    <w:pStyle w:val="55"/>
                    <w:jc w:val="center"/>
                    <w:rPr>
                      <w:highlight w:val="none"/>
                    </w:rPr>
                  </w:pPr>
                </w:p>
              </w:tc>
              <w:tc>
                <w:tcPr>
                  <w:tcW w:w="582" w:type="pct"/>
                  <w:gridSpan w:val="2"/>
                  <w:vMerge w:val="continue"/>
                  <w:vAlign w:val="center"/>
                </w:tcPr>
                <w:p w14:paraId="7C4A1D61">
                  <w:pPr>
                    <w:pStyle w:val="55"/>
                    <w:jc w:val="center"/>
                    <w:rPr>
                      <w:highlight w:val="none"/>
                    </w:rPr>
                  </w:pPr>
                </w:p>
              </w:tc>
              <w:tc>
                <w:tcPr>
                  <w:tcW w:w="739" w:type="pct"/>
                  <w:vMerge w:val="continue"/>
                  <w:vAlign w:val="center"/>
                </w:tcPr>
                <w:p w14:paraId="425612E4">
                  <w:pPr>
                    <w:pStyle w:val="55"/>
                    <w:jc w:val="center"/>
                    <w:rPr>
                      <w:color w:val="auto"/>
                      <w:highlight w:val="none"/>
                    </w:rPr>
                  </w:pPr>
                </w:p>
              </w:tc>
              <w:tc>
                <w:tcPr>
                  <w:tcW w:w="678" w:type="pct"/>
                  <w:vAlign w:val="center"/>
                </w:tcPr>
                <w:p w14:paraId="7B1F8A05">
                  <w:pPr>
                    <w:pStyle w:val="55"/>
                    <w:jc w:val="center"/>
                    <w:rPr>
                      <w:rFonts w:hint="default" w:eastAsia="宋体"/>
                      <w:color w:val="auto"/>
                      <w:highlight w:val="none"/>
                      <w:lang w:val="en-US" w:eastAsia="zh-CN"/>
                    </w:rPr>
                  </w:pPr>
                  <w:r>
                    <w:rPr>
                      <w:rFonts w:hint="eastAsia"/>
                      <w:color w:val="auto"/>
                      <w:highlight w:val="none"/>
                      <w:lang w:val="en-US" w:eastAsia="zh-CN"/>
                    </w:rPr>
                    <w:t>除尘器收集粉尘</w:t>
                  </w:r>
                </w:p>
              </w:tc>
              <w:tc>
                <w:tcPr>
                  <w:tcW w:w="2585" w:type="pct"/>
                  <w:vAlign w:val="center"/>
                </w:tcPr>
                <w:p w14:paraId="03FECFD1">
                  <w:pPr>
                    <w:pStyle w:val="55"/>
                    <w:jc w:val="center"/>
                    <w:rPr>
                      <w:color w:val="auto"/>
                      <w:highlight w:val="none"/>
                    </w:rPr>
                  </w:pPr>
                  <w:r>
                    <w:rPr>
                      <w:rFonts w:hint="eastAsia"/>
                      <w:color w:val="auto"/>
                      <w:highlight w:val="none"/>
                      <w:lang w:val="en-US" w:eastAsia="zh-CN"/>
                    </w:rPr>
                    <w:t>作为原料</w:t>
                  </w:r>
                  <w:r>
                    <w:rPr>
                      <w:rFonts w:hint="eastAsia"/>
                      <w:color w:val="auto"/>
                      <w:highlight w:val="none"/>
                    </w:rPr>
                    <w:t>回用于</w:t>
                  </w:r>
                  <w:r>
                    <w:rPr>
                      <w:rFonts w:hint="eastAsia"/>
                      <w:color w:val="auto"/>
                      <w:highlight w:val="none"/>
                      <w:lang w:val="en-US" w:eastAsia="zh-CN"/>
                    </w:rPr>
                    <w:t>原</w:t>
                  </w:r>
                  <w:r>
                    <w:rPr>
                      <w:rFonts w:hint="eastAsia"/>
                      <w:color w:val="auto"/>
                      <w:highlight w:val="none"/>
                    </w:rPr>
                    <w:t>生产线，进入产品</w:t>
                  </w:r>
                </w:p>
              </w:tc>
            </w:tr>
            <w:tr w14:paraId="4CE5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Merge w:val="continue"/>
                  <w:vAlign w:val="center"/>
                </w:tcPr>
                <w:p w14:paraId="762143AF">
                  <w:pPr>
                    <w:pStyle w:val="55"/>
                    <w:jc w:val="center"/>
                    <w:rPr>
                      <w:highlight w:val="none"/>
                    </w:rPr>
                  </w:pPr>
                </w:p>
              </w:tc>
              <w:tc>
                <w:tcPr>
                  <w:tcW w:w="582" w:type="pct"/>
                  <w:gridSpan w:val="2"/>
                  <w:vAlign w:val="center"/>
                </w:tcPr>
                <w:p w14:paraId="45199198">
                  <w:pPr>
                    <w:pStyle w:val="55"/>
                    <w:jc w:val="center"/>
                    <w:rPr>
                      <w:highlight w:val="none"/>
                    </w:rPr>
                  </w:pPr>
                  <w:r>
                    <w:rPr>
                      <w:rFonts w:hint="eastAsia"/>
                      <w:highlight w:val="none"/>
                    </w:rPr>
                    <w:t>危险废物</w:t>
                  </w:r>
                </w:p>
              </w:tc>
              <w:tc>
                <w:tcPr>
                  <w:tcW w:w="739" w:type="pct"/>
                  <w:vAlign w:val="center"/>
                </w:tcPr>
                <w:p w14:paraId="00F34166">
                  <w:pPr>
                    <w:pStyle w:val="55"/>
                    <w:jc w:val="center"/>
                    <w:rPr>
                      <w:highlight w:val="none"/>
                    </w:rPr>
                  </w:pPr>
                  <w:r>
                    <w:rPr>
                      <w:rFonts w:hint="eastAsia"/>
                      <w:highlight w:val="none"/>
                    </w:rPr>
                    <w:t>设备养护</w:t>
                  </w:r>
                </w:p>
              </w:tc>
              <w:tc>
                <w:tcPr>
                  <w:tcW w:w="678" w:type="pct"/>
                  <w:vAlign w:val="center"/>
                </w:tcPr>
                <w:p w14:paraId="0F209CFB">
                  <w:pPr>
                    <w:pStyle w:val="55"/>
                    <w:jc w:val="center"/>
                    <w:rPr>
                      <w:rFonts w:hint="default"/>
                      <w:highlight w:val="none"/>
                      <w:lang w:val="en-US"/>
                    </w:rPr>
                  </w:pPr>
                  <w:r>
                    <w:rPr>
                      <w:rFonts w:hint="eastAsia"/>
                      <w:highlight w:val="none"/>
                      <w:lang w:eastAsia="zh-CN"/>
                    </w:rPr>
                    <w:t>废润滑油、</w:t>
                  </w:r>
                  <w:r>
                    <w:rPr>
                      <w:rFonts w:hint="eastAsia"/>
                      <w:highlight w:val="none"/>
                      <w:lang w:val="en-US" w:eastAsia="zh-CN"/>
                    </w:rPr>
                    <w:t>废油桶</w:t>
                  </w:r>
                </w:p>
              </w:tc>
              <w:tc>
                <w:tcPr>
                  <w:tcW w:w="2585" w:type="pct"/>
                  <w:vAlign w:val="center"/>
                </w:tcPr>
                <w:p w14:paraId="71330221">
                  <w:pPr>
                    <w:pStyle w:val="55"/>
                    <w:jc w:val="center"/>
                    <w:rPr>
                      <w:highlight w:val="none"/>
                    </w:rPr>
                  </w:pPr>
                  <w:r>
                    <w:rPr>
                      <w:rFonts w:hint="eastAsia"/>
                      <w:highlight w:val="none"/>
                    </w:rPr>
                    <w:t>暂存至危险废物</w:t>
                  </w:r>
                  <w:r>
                    <w:rPr>
                      <w:rFonts w:hint="eastAsia"/>
                      <w:highlight w:val="none"/>
                      <w:lang w:val="en-US" w:eastAsia="zh-CN"/>
                    </w:rPr>
                    <w:t>贮存库</w:t>
                  </w:r>
                  <w:r>
                    <w:rPr>
                      <w:rFonts w:hint="eastAsia"/>
                      <w:highlight w:val="none"/>
                    </w:rPr>
                    <w:t>，交由有资质的单位定期拉运处置</w:t>
                  </w:r>
                </w:p>
              </w:tc>
            </w:tr>
          </w:tbl>
          <w:p w14:paraId="1E4A20D9">
            <w:pPr>
              <w:ind w:firstLine="0" w:firstLineChars="0"/>
              <w:rPr>
                <w:highlight w:val="none"/>
              </w:rPr>
            </w:pPr>
          </w:p>
        </w:tc>
      </w:tr>
      <w:tr w14:paraId="5F0E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9" w:hRule="atLeast"/>
          <w:jc w:val="center"/>
        </w:trPr>
        <w:tc>
          <w:tcPr>
            <w:tcW w:w="823" w:type="dxa"/>
            <w:vAlign w:val="center"/>
          </w:tcPr>
          <w:p w14:paraId="13C5B392">
            <w:pPr>
              <w:pStyle w:val="26"/>
              <w:spacing w:before="0" w:beforeAutospacing="0" w:after="0" w:afterAutospacing="0"/>
              <w:ind w:firstLine="0" w:firstLineChars="0"/>
              <w:rPr>
                <w:rFonts w:hint="eastAsia" w:cs="宋体"/>
                <w:bCs/>
                <w:kern w:val="2"/>
                <w:sz w:val="21"/>
                <w:szCs w:val="21"/>
                <w:highlight w:val="none"/>
              </w:rPr>
            </w:pPr>
            <w:r>
              <w:rPr>
                <w:rFonts w:hint="eastAsia" w:cs="宋体"/>
                <w:sz w:val="21"/>
                <w:szCs w:val="21"/>
                <w:highlight w:val="none"/>
              </w:rPr>
              <w:t>与项目有关的原有环境污染问题</w:t>
            </w:r>
          </w:p>
        </w:tc>
        <w:tc>
          <w:tcPr>
            <w:tcW w:w="8161" w:type="dxa"/>
          </w:tcPr>
          <w:p w14:paraId="2286A914">
            <w:pPr>
              <w:ind w:firstLine="0" w:firstLineChars="0"/>
              <w:rPr>
                <w:rFonts w:hint="eastAsia" w:ascii="宋体" w:hAnsi="宋体"/>
                <w:bCs/>
                <w:highlight w:val="none"/>
              </w:rPr>
            </w:pPr>
          </w:p>
          <w:p w14:paraId="23113138">
            <w:pPr>
              <w:ind w:firstLine="0" w:firstLineChars="0"/>
              <w:rPr>
                <w:rFonts w:hint="eastAsia" w:ascii="宋体" w:hAnsi="宋体"/>
                <w:bCs/>
                <w:highlight w:val="none"/>
              </w:rPr>
            </w:pPr>
          </w:p>
          <w:p w14:paraId="6599F9B9">
            <w:pPr>
              <w:ind w:firstLine="480"/>
              <w:rPr>
                <w:rFonts w:hint="eastAsia" w:eastAsia="宋体"/>
                <w:highlight w:val="none"/>
                <w:lang w:val="en-US" w:eastAsia="zh-CN"/>
              </w:rPr>
            </w:pPr>
            <w:r>
              <w:rPr>
                <w:rFonts w:hint="eastAsia" w:ascii="宋体" w:hAnsi="宋体"/>
                <w:bCs/>
                <w:highlight w:val="none"/>
              </w:rPr>
              <w:t>本项目为新建项目，不存在与项目有关的原有环境污染问题。</w:t>
            </w:r>
            <w:r>
              <w:rPr>
                <w:rFonts w:hint="eastAsia" w:ascii="宋体" w:hAnsi="宋体"/>
                <w:bCs/>
                <w:highlight w:val="none"/>
                <w:lang w:val="en-US" w:eastAsia="zh-CN"/>
              </w:rPr>
              <w:t>本项目位于</w:t>
            </w:r>
            <w:r>
              <w:rPr>
                <w:rFonts w:hint="eastAsia"/>
                <w:color w:val="auto"/>
                <w:highlight w:val="none"/>
              </w:rPr>
              <w:t>若羌县工业园区</w:t>
            </w:r>
            <w:r>
              <w:rPr>
                <w:rFonts w:hint="eastAsia"/>
                <w:color w:val="auto"/>
                <w:highlight w:val="none"/>
                <w:lang w:val="en-US" w:eastAsia="zh-CN"/>
              </w:rPr>
              <w:t>固废填埋中心的东侧。</w:t>
            </w:r>
          </w:p>
        </w:tc>
      </w:tr>
    </w:tbl>
    <w:p w14:paraId="3B03A741">
      <w:pPr>
        <w:pStyle w:val="26"/>
        <w:spacing w:before="0" w:beforeAutospacing="0" w:after="0" w:afterAutospacing="0" w:line="14" w:lineRule="auto"/>
        <w:ind w:firstLine="600"/>
        <w:jc w:val="center"/>
        <w:rPr>
          <w:rFonts w:hint="eastAsia" w:ascii="黑体" w:hAnsi="黑体" w:eastAsia="黑体"/>
          <w:snapToGrid w:val="0"/>
          <w:sz w:val="30"/>
          <w:szCs w:val="30"/>
        </w:rPr>
      </w:pPr>
    </w:p>
    <w:p w14:paraId="16342C47">
      <w:pPr>
        <w:pStyle w:val="2"/>
        <w:ind w:firstLine="602"/>
        <w:rPr>
          <w:color w:val="auto"/>
        </w:rPr>
      </w:pPr>
      <w:bookmarkStart w:id="5" w:name="_Toc27466"/>
      <w:r>
        <w:rPr>
          <w:rFonts w:hint="eastAsia"/>
          <w:color w:val="auto"/>
        </w:rPr>
        <w:t>三、区域环境质量现状、环境保护目标及评价标准</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gridCol w:w="36"/>
      </w:tblGrid>
      <w:tr w14:paraId="06FF4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 w:type="dxa"/>
          <w:trHeight w:val="8854" w:hRule="atLeast"/>
          <w:jc w:val="center"/>
        </w:trPr>
        <w:tc>
          <w:tcPr>
            <w:tcW w:w="800" w:type="dxa"/>
            <w:vAlign w:val="center"/>
          </w:tcPr>
          <w:p w14:paraId="6A935417">
            <w:pPr>
              <w:ind w:firstLine="0" w:firstLineChars="0"/>
              <w:jc w:val="left"/>
              <w:rPr>
                <w:highlight w:val="none"/>
              </w:rPr>
            </w:pPr>
          </w:p>
          <w:p w14:paraId="310DEE51">
            <w:pPr>
              <w:ind w:firstLine="0" w:firstLineChars="0"/>
              <w:jc w:val="left"/>
              <w:rPr>
                <w:highlight w:val="none"/>
              </w:rPr>
            </w:pPr>
          </w:p>
          <w:p w14:paraId="7E7C6BD8">
            <w:pPr>
              <w:ind w:firstLine="0" w:firstLineChars="0"/>
              <w:jc w:val="left"/>
              <w:rPr>
                <w:highlight w:val="none"/>
              </w:rPr>
            </w:pPr>
          </w:p>
          <w:p w14:paraId="0642362F">
            <w:pPr>
              <w:ind w:firstLine="0" w:firstLineChars="0"/>
              <w:jc w:val="left"/>
              <w:rPr>
                <w:highlight w:val="none"/>
              </w:rPr>
            </w:pPr>
          </w:p>
          <w:p w14:paraId="35254E2A">
            <w:pPr>
              <w:ind w:firstLine="0" w:firstLineChars="0"/>
              <w:jc w:val="left"/>
              <w:rPr>
                <w:highlight w:val="none"/>
              </w:rPr>
            </w:pPr>
          </w:p>
          <w:p w14:paraId="733477B9">
            <w:pPr>
              <w:ind w:firstLine="0" w:firstLineChars="0"/>
              <w:jc w:val="left"/>
              <w:rPr>
                <w:highlight w:val="none"/>
              </w:rPr>
            </w:pPr>
          </w:p>
          <w:p w14:paraId="3EE1E593">
            <w:pPr>
              <w:ind w:firstLine="0" w:firstLineChars="0"/>
              <w:jc w:val="left"/>
              <w:rPr>
                <w:highlight w:val="none"/>
              </w:rPr>
            </w:pPr>
          </w:p>
          <w:p w14:paraId="7B310B7F">
            <w:pPr>
              <w:ind w:firstLine="0" w:firstLineChars="0"/>
              <w:jc w:val="left"/>
              <w:rPr>
                <w:highlight w:val="none"/>
              </w:rPr>
            </w:pPr>
          </w:p>
          <w:p w14:paraId="2392F1D6">
            <w:pPr>
              <w:ind w:firstLine="0" w:firstLineChars="0"/>
              <w:jc w:val="left"/>
              <w:rPr>
                <w:highlight w:val="none"/>
              </w:rPr>
            </w:pPr>
          </w:p>
          <w:p w14:paraId="57546B65">
            <w:pPr>
              <w:ind w:firstLine="0" w:firstLineChars="0"/>
              <w:jc w:val="left"/>
              <w:rPr>
                <w:highlight w:val="none"/>
              </w:rPr>
            </w:pPr>
          </w:p>
          <w:p w14:paraId="5CA8D490">
            <w:pPr>
              <w:ind w:firstLine="0" w:firstLineChars="0"/>
              <w:jc w:val="left"/>
              <w:rPr>
                <w:highlight w:val="none"/>
              </w:rPr>
            </w:pPr>
          </w:p>
          <w:p w14:paraId="53EF6E1B">
            <w:pPr>
              <w:ind w:firstLine="0" w:firstLineChars="0"/>
              <w:jc w:val="left"/>
              <w:rPr>
                <w:highlight w:val="none"/>
              </w:rPr>
            </w:pPr>
          </w:p>
          <w:p w14:paraId="235FDAD3">
            <w:pPr>
              <w:pStyle w:val="26"/>
              <w:spacing w:before="0" w:beforeAutospacing="0" w:after="0" w:afterAutospacing="0"/>
              <w:ind w:firstLine="0" w:firstLineChars="0"/>
              <w:rPr>
                <w:rFonts w:hint="eastAsia" w:cs="宋体"/>
                <w:sz w:val="21"/>
                <w:szCs w:val="21"/>
                <w:highlight w:val="none"/>
              </w:rPr>
            </w:pPr>
            <w:r>
              <w:rPr>
                <w:rFonts w:hint="eastAsia" w:cs="宋体"/>
                <w:sz w:val="21"/>
                <w:szCs w:val="21"/>
                <w:highlight w:val="none"/>
              </w:rPr>
              <w:t>区域环境质量现状</w:t>
            </w:r>
          </w:p>
          <w:p w14:paraId="2F5AA267">
            <w:pPr>
              <w:pStyle w:val="9"/>
              <w:ind w:firstLine="360"/>
              <w:rPr>
                <w:rFonts w:hint="eastAsia" w:ascii="宋体" w:hAnsi="宋体" w:cs="宋体"/>
                <w:szCs w:val="21"/>
                <w:highlight w:val="none"/>
              </w:rPr>
            </w:pPr>
          </w:p>
          <w:p w14:paraId="4315036A">
            <w:pPr>
              <w:pStyle w:val="9"/>
              <w:ind w:firstLine="360"/>
              <w:rPr>
                <w:rFonts w:hint="eastAsia" w:ascii="宋体" w:hAnsi="宋体" w:cs="宋体"/>
                <w:szCs w:val="21"/>
                <w:highlight w:val="none"/>
              </w:rPr>
            </w:pPr>
          </w:p>
          <w:p w14:paraId="1830C39D">
            <w:pPr>
              <w:pStyle w:val="9"/>
              <w:ind w:firstLine="360"/>
              <w:rPr>
                <w:rFonts w:hint="eastAsia" w:ascii="宋体" w:hAnsi="宋体" w:cs="宋体"/>
                <w:szCs w:val="21"/>
                <w:highlight w:val="none"/>
              </w:rPr>
            </w:pPr>
          </w:p>
          <w:p w14:paraId="21CD2A2A">
            <w:pPr>
              <w:pStyle w:val="9"/>
              <w:ind w:firstLine="360"/>
              <w:rPr>
                <w:rFonts w:hint="eastAsia" w:ascii="宋体" w:hAnsi="宋体" w:cs="宋体"/>
                <w:szCs w:val="21"/>
                <w:highlight w:val="none"/>
              </w:rPr>
            </w:pPr>
          </w:p>
          <w:p w14:paraId="56D755B6">
            <w:pPr>
              <w:pStyle w:val="9"/>
              <w:ind w:firstLine="360"/>
              <w:rPr>
                <w:rFonts w:hint="eastAsia" w:ascii="宋体" w:hAnsi="宋体" w:cs="宋体"/>
                <w:szCs w:val="21"/>
                <w:highlight w:val="none"/>
              </w:rPr>
            </w:pPr>
          </w:p>
          <w:p w14:paraId="1E0019C3">
            <w:pPr>
              <w:pStyle w:val="9"/>
              <w:ind w:firstLine="360"/>
              <w:rPr>
                <w:rFonts w:hint="eastAsia" w:ascii="宋体" w:hAnsi="宋体" w:cs="宋体"/>
                <w:szCs w:val="21"/>
                <w:highlight w:val="none"/>
              </w:rPr>
            </w:pPr>
          </w:p>
          <w:p w14:paraId="04E8FDDF">
            <w:pPr>
              <w:pStyle w:val="9"/>
              <w:ind w:firstLine="360"/>
              <w:rPr>
                <w:rFonts w:hint="eastAsia" w:ascii="宋体" w:hAnsi="宋体" w:cs="宋体"/>
                <w:szCs w:val="21"/>
                <w:highlight w:val="none"/>
              </w:rPr>
            </w:pPr>
          </w:p>
          <w:p w14:paraId="7960180B">
            <w:pPr>
              <w:pStyle w:val="9"/>
              <w:ind w:firstLine="360"/>
              <w:rPr>
                <w:rFonts w:hint="eastAsia" w:ascii="宋体" w:hAnsi="宋体" w:cs="宋体"/>
                <w:szCs w:val="21"/>
                <w:highlight w:val="none"/>
              </w:rPr>
            </w:pPr>
          </w:p>
          <w:p w14:paraId="76875B7F">
            <w:pPr>
              <w:pStyle w:val="9"/>
              <w:ind w:firstLine="360"/>
              <w:rPr>
                <w:rFonts w:hint="eastAsia" w:ascii="宋体" w:hAnsi="宋体" w:cs="宋体"/>
                <w:szCs w:val="21"/>
                <w:highlight w:val="none"/>
              </w:rPr>
            </w:pPr>
          </w:p>
          <w:p w14:paraId="41CE20EE">
            <w:pPr>
              <w:pStyle w:val="9"/>
              <w:ind w:firstLine="360"/>
              <w:rPr>
                <w:rFonts w:hint="eastAsia" w:ascii="宋体" w:hAnsi="宋体" w:cs="宋体"/>
                <w:szCs w:val="21"/>
                <w:highlight w:val="none"/>
              </w:rPr>
            </w:pPr>
          </w:p>
          <w:p w14:paraId="1BD225CD">
            <w:pPr>
              <w:pStyle w:val="9"/>
              <w:ind w:firstLine="360"/>
              <w:rPr>
                <w:rFonts w:hint="eastAsia" w:ascii="宋体" w:hAnsi="宋体" w:cs="宋体"/>
                <w:szCs w:val="21"/>
                <w:highlight w:val="none"/>
              </w:rPr>
            </w:pPr>
          </w:p>
          <w:p w14:paraId="6800ED0E">
            <w:pPr>
              <w:pStyle w:val="9"/>
              <w:ind w:firstLine="360"/>
              <w:rPr>
                <w:rFonts w:hint="eastAsia" w:ascii="宋体" w:hAnsi="宋体" w:cs="宋体"/>
                <w:szCs w:val="21"/>
                <w:highlight w:val="none"/>
              </w:rPr>
            </w:pPr>
          </w:p>
          <w:p w14:paraId="06932C26">
            <w:pPr>
              <w:pStyle w:val="9"/>
              <w:ind w:firstLine="360"/>
              <w:rPr>
                <w:rFonts w:hint="eastAsia" w:ascii="宋体" w:hAnsi="宋体" w:cs="宋体"/>
                <w:szCs w:val="21"/>
                <w:highlight w:val="none"/>
              </w:rPr>
            </w:pPr>
          </w:p>
          <w:p w14:paraId="57115D29">
            <w:pPr>
              <w:pStyle w:val="9"/>
              <w:ind w:firstLine="360"/>
              <w:rPr>
                <w:rFonts w:hint="eastAsia" w:ascii="宋体" w:hAnsi="宋体" w:cs="宋体"/>
                <w:szCs w:val="21"/>
                <w:highlight w:val="none"/>
              </w:rPr>
            </w:pPr>
          </w:p>
          <w:p w14:paraId="502FBFF1">
            <w:pPr>
              <w:pStyle w:val="9"/>
              <w:ind w:firstLine="360"/>
              <w:rPr>
                <w:rFonts w:hint="eastAsia" w:ascii="宋体" w:hAnsi="宋体" w:cs="宋体"/>
                <w:szCs w:val="21"/>
                <w:highlight w:val="none"/>
              </w:rPr>
            </w:pPr>
          </w:p>
          <w:p w14:paraId="52E3566B">
            <w:pPr>
              <w:pStyle w:val="9"/>
              <w:ind w:firstLine="360"/>
              <w:rPr>
                <w:rFonts w:hint="eastAsia" w:ascii="宋体" w:hAnsi="宋体" w:cs="宋体"/>
                <w:szCs w:val="21"/>
                <w:highlight w:val="none"/>
              </w:rPr>
            </w:pPr>
          </w:p>
          <w:p w14:paraId="767726DA">
            <w:pPr>
              <w:pStyle w:val="9"/>
              <w:ind w:firstLine="360"/>
              <w:rPr>
                <w:rFonts w:hint="eastAsia" w:ascii="宋体" w:hAnsi="宋体" w:cs="宋体"/>
                <w:szCs w:val="21"/>
                <w:highlight w:val="none"/>
              </w:rPr>
            </w:pPr>
          </w:p>
          <w:p w14:paraId="541A6D2F">
            <w:pPr>
              <w:pStyle w:val="9"/>
              <w:ind w:firstLine="360"/>
              <w:rPr>
                <w:rFonts w:hint="eastAsia" w:ascii="宋体" w:hAnsi="宋体" w:cs="宋体"/>
                <w:szCs w:val="21"/>
                <w:highlight w:val="none"/>
              </w:rPr>
            </w:pPr>
          </w:p>
          <w:p w14:paraId="14DB84CF">
            <w:pPr>
              <w:pStyle w:val="9"/>
              <w:ind w:firstLine="360"/>
              <w:rPr>
                <w:rFonts w:hint="eastAsia" w:ascii="宋体" w:hAnsi="宋体" w:cs="宋体"/>
                <w:szCs w:val="21"/>
                <w:highlight w:val="none"/>
              </w:rPr>
            </w:pPr>
          </w:p>
          <w:p w14:paraId="4482BFC8">
            <w:pPr>
              <w:pStyle w:val="9"/>
              <w:ind w:firstLine="360"/>
              <w:rPr>
                <w:rFonts w:hint="eastAsia" w:ascii="宋体" w:hAnsi="宋体" w:cs="宋体"/>
                <w:szCs w:val="21"/>
                <w:highlight w:val="none"/>
              </w:rPr>
            </w:pPr>
          </w:p>
          <w:p w14:paraId="6704398A">
            <w:pPr>
              <w:pStyle w:val="9"/>
              <w:ind w:firstLine="360"/>
              <w:rPr>
                <w:rFonts w:hint="eastAsia" w:ascii="宋体" w:hAnsi="宋体" w:cs="宋体"/>
                <w:szCs w:val="21"/>
                <w:highlight w:val="none"/>
              </w:rPr>
            </w:pPr>
          </w:p>
          <w:p w14:paraId="282053D4">
            <w:pPr>
              <w:pStyle w:val="9"/>
              <w:ind w:firstLine="360"/>
              <w:rPr>
                <w:rFonts w:hint="eastAsia" w:ascii="宋体" w:hAnsi="宋体" w:cs="宋体"/>
                <w:szCs w:val="21"/>
                <w:highlight w:val="none"/>
              </w:rPr>
            </w:pPr>
          </w:p>
          <w:p w14:paraId="7B3CA6AE">
            <w:pPr>
              <w:pStyle w:val="9"/>
              <w:ind w:firstLine="360"/>
              <w:rPr>
                <w:rFonts w:hint="eastAsia" w:ascii="宋体" w:hAnsi="宋体" w:cs="宋体"/>
                <w:szCs w:val="21"/>
                <w:highlight w:val="none"/>
              </w:rPr>
            </w:pPr>
          </w:p>
          <w:p w14:paraId="60D36A07">
            <w:pPr>
              <w:pStyle w:val="9"/>
              <w:ind w:firstLine="360"/>
              <w:rPr>
                <w:rFonts w:hint="eastAsia" w:ascii="宋体" w:hAnsi="宋体" w:cs="宋体"/>
                <w:szCs w:val="21"/>
                <w:highlight w:val="none"/>
              </w:rPr>
            </w:pPr>
          </w:p>
          <w:p w14:paraId="29978275">
            <w:pPr>
              <w:pStyle w:val="9"/>
              <w:ind w:firstLine="360"/>
              <w:rPr>
                <w:rFonts w:hint="eastAsia" w:ascii="宋体" w:hAnsi="宋体" w:cs="宋体"/>
                <w:szCs w:val="21"/>
                <w:highlight w:val="none"/>
              </w:rPr>
            </w:pPr>
          </w:p>
          <w:p w14:paraId="34749C45">
            <w:pPr>
              <w:pStyle w:val="9"/>
              <w:ind w:firstLine="360"/>
              <w:rPr>
                <w:rFonts w:hint="eastAsia" w:ascii="宋体" w:hAnsi="宋体" w:cs="宋体"/>
                <w:szCs w:val="21"/>
                <w:highlight w:val="none"/>
              </w:rPr>
            </w:pPr>
          </w:p>
          <w:p w14:paraId="789BCDC4">
            <w:pPr>
              <w:pStyle w:val="9"/>
              <w:ind w:firstLine="360"/>
              <w:rPr>
                <w:rFonts w:hint="eastAsia" w:ascii="宋体" w:hAnsi="宋体" w:cs="宋体"/>
                <w:szCs w:val="21"/>
                <w:highlight w:val="none"/>
              </w:rPr>
            </w:pPr>
          </w:p>
          <w:p w14:paraId="0C31DC15">
            <w:pPr>
              <w:pStyle w:val="9"/>
              <w:ind w:firstLine="360"/>
              <w:rPr>
                <w:rFonts w:hint="eastAsia" w:ascii="宋体" w:hAnsi="宋体" w:cs="宋体"/>
                <w:szCs w:val="21"/>
                <w:highlight w:val="none"/>
              </w:rPr>
            </w:pPr>
          </w:p>
          <w:p w14:paraId="6FD4B91D">
            <w:pPr>
              <w:pStyle w:val="26"/>
              <w:spacing w:before="0" w:beforeAutospacing="0" w:after="0" w:afterAutospacing="0"/>
              <w:ind w:firstLine="0" w:firstLineChars="0"/>
              <w:rPr>
                <w:rFonts w:hint="eastAsia" w:cs="宋体"/>
                <w:sz w:val="21"/>
                <w:szCs w:val="21"/>
                <w:highlight w:val="none"/>
              </w:rPr>
            </w:pPr>
            <w:r>
              <w:rPr>
                <w:rFonts w:hint="eastAsia" w:cs="宋体"/>
                <w:sz w:val="21"/>
                <w:szCs w:val="21"/>
                <w:highlight w:val="none"/>
              </w:rPr>
              <w:t>区域环境质量现状</w:t>
            </w:r>
          </w:p>
          <w:p w14:paraId="4ECE832C">
            <w:pPr>
              <w:pStyle w:val="9"/>
              <w:ind w:firstLine="360"/>
              <w:rPr>
                <w:rFonts w:hint="eastAsia" w:ascii="宋体" w:hAnsi="宋体" w:cs="宋体"/>
                <w:szCs w:val="21"/>
                <w:highlight w:val="none"/>
              </w:rPr>
            </w:pPr>
          </w:p>
          <w:p w14:paraId="638B0FB7">
            <w:pPr>
              <w:pStyle w:val="9"/>
              <w:ind w:firstLine="360"/>
              <w:rPr>
                <w:rFonts w:hint="eastAsia" w:ascii="宋体" w:hAnsi="宋体" w:cs="宋体"/>
                <w:szCs w:val="21"/>
                <w:highlight w:val="none"/>
              </w:rPr>
            </w:pPr>
          </w:p>
          <w:p w14:paraId="68E6CC6D">
            <w:pPr>
              <w:pStyle w:val="9"/>
              <w:ind w:firstLine="360"/>
              <w:rPr>
                <w:rFonts w:hint="eastAsia" w:ascii="宋体" w:hAnsi="宋体" w:cs="宋体"/>
                <w:szCs w:val="21"/>
                <w:highlight w:val="none"/>
              </w:rPr>
            </w:pPr>
          </w:p>
          <w:p w14:paraId="793D4F7B">
            <w:pPr>
              <w:pStyle w:val="9"/>
              <w:ind w:firstLine="360"/>
              <w:rPr>
                <w:rFonts w:hint="eastAsia" w:ascii="宋体" w:hAnsi="宋体" w:cs="宋体"/>
                <w:szCs w:val="21"/>
                <w:highlight w:val="none"/>
              </w:rPr>
            </w:pPr>
          </w:p>
          <w:p w14:paraId="401F1260">
            <w:pPr>
              <w:pStyle w:val="9"/>
              <w:ind w:firstLine="360"/>
              <w:rPr>
                <w:rFonts w:hint="eastAsia" w:ascii="宋体" w:hAnsi="宋体" w:cs="宋体"/>
                <w:szCs w:val="21"/>
                <w:highlight w:val="none"/>
              </w:rPr>
            </w:pPr>
          </w:p>
          <w:p w14:paraId="0310CDE9">
            <w:pPr>
              <w:pStyle w:val="9"/>
              <w:ind w:firstLine="360"/>
              <w:rPr>
                <w:rFonts w:hint="eastAsia" w:ascii="宋体" w:hAnsi="宋体" w:cs="宋体"/>
                <w:szCs w:val="21"/>
                <w:highlight w:val="none"/>
              </w:rPr>
            </w:pPr>
          </w:p>
          <w:p w14:paraId="36B81FBD">
            <w:pPr>
              <w:pStyle w:val="9"/>
              <w:ind w:firstLine="360"/>
              <w:rPr>
                <w:rFonts w:hint="eastAsia" w:ascii="宋体" w:hAnsi="宋体" w:cs="宋体"/>
                <w:szCs w:val="21"/>
                <w:highlight w:val="none"/>
              </w:rPr>
            </w:pPr>
          </w:p>
          <w:p w14:paraId="50A66310">
            <w:pPr>
              <w:pStyle w:val="9"/>
              <w:ind w:firstLine="360"/>
              <w:rPr>
                <w:rFonts w:hint="eastAsia" w:ascii="宋体" w:hAnsi="宋体" w:cs="宋体"/>
                <w:szCs w:val="21"/>
                <w:highlight w:val="none"/>
              </w:rPr>
            </w:pPr>
          </w:p>
          <w:p w14:paraId="1A333FA5">
            <w:pPr>
              <w:pStyle w:val="9"/>
              <w:ind w:firstLine="360"/>
              <w:rPr>
                <w:rFonts w:hint="eastAsia" w:ascii="宋体" w:hAnsi="宋体" w:cs="宋体"/>
                <w:szCs w:val="21"/>
                <w:highlight w:val="none"/>
              </w:rPr>
            </w:pPr>
          </w:p>
          <w:p w14:paraId="3B1D66D2">
            <w:pPr>
              <w:pStyle w:val="9"/>
              <w:ind w:firstLine="360"/>
              <w:rPr>
                <w:rFonts w:hint="eastAsia" w:ascii="宋体" w:hAnsi="宋体" w:cs="宋体"/>
                <w:szCs w:val="21"/>
                <w:highlight w:val="none"/>
              </w:rPr>
            </w:pPr>
          </w:p>
          <w:p w14:paraId="71FE63DF">
            <w:pPr>
              <w:pStyle w:val="9"/>
              <w:ind w:firstLine="360"/>
              <w:rPr>
                <w:rFonts w:hint="eastAsia" w:ascii="宋体" w:hAnsi="宋体" w:cs="宋体"/>
                <w:szCs w:val="21"/>
                <w:highlight w:val="none"/>
              </w:rPr>
            </w:pPr>
          </w:p>
          <w:p w14:paraId="474A5D32">
            <w:pPr>
              <w:pStyle w:val="9"/>
              <w:ind w:firstLine="360"/>
              <w:rPr>
                <w:rFonts w:hint="eastAsia" w:ascii="宋体" w:hAnsi="宋体" w:cs="宋体"/>
                <w:szCs w:val="21"/>
                <w:highlight w:val="none"/>
              </w:rPr>
            </w:pPr>
          </w:p>
          <w:p w14:paraId="0AE61252">
            <w:pPr>
              <w:pStyle w:val="9"/>
              <w:ind w:firstLine="360"/>
              <w:rPr>
                <w:rFonts w:hint="eastAsia" w:ascii="宋体" w:hAnsi="宋体" w:cs="宋体"/>
                <w:szCs w:val="21"/>
                <w:highlight w:val="none"/>
              </w:rPr>
            </w:pPr>
          </w:p>
          <w:p w14:paraId="37598E62">
            <w:pPr>
              <w:pStyle w:val="9"/>
              <w:ind w:firstLine="360"/>
              <w:rPr>
                <w:rFonts w:hint="eastAsia" w:ascii="宋体" w:hAnsi="宋体" w:cs="宋体"/>
                <w:szCs w:val="21"/>
                <w:highlight w:val="none"/>
              </w:rPr>
            </w:pPr>
          </w:p>
          <w:p w14:paraId="01B82118">
            <w:pPr>
              <w:pStyle w:val="9"/>
              <w:ind w:firstLine="360"/>
              <w:rPr>
                <w:rFonts w:hint="eastAsia" w:ascii="宋体" w:hAnsi="宋体" w:cs="宋体"/>
                <w:szCs w:val="21"/>
                <w:highlight w:val="none"/>
              </w:rPr>
            </w:pPr>
          </w:p>
          <w:p w14:paraId="0FDA40E1">
            <w:pPr>
              <w:pStyle w:val="9"/>
              <w:ind w:firstLine="360"/>
              <w:rPr>
                <w:rFonts w:hint="eastAsia" w:ascii="宋体" w:hAnsi="宋体" w:cs="宋体"/>
                <w:szCs w:val="21"/>
                <w:highlight w:val="none"/>
              </w:rPr>
            </w:pPr>
          </w:p>
          <w:p w14:paraId="42F7C332">
            <w:pPr>
              <w:pStyle w:val="9"/>
              <w:ind w:firstLine="360"/>
              <w:rPr>
                <w:rFonts w:hint="eastAsia" w:ascii="宋体" w:hAnsi="宋体" w:cs="宋体"/>
                <w:szCs w:val="21"/>
                <w:highlight w:val="none"/>
              </w:rPr>
            </w:pPr>
          </w:p>
          <w:p w14:paraId="36081C46">
            <w:pPr>
              <w:pStyle w:val="9"/>
              <w:ind w:firstLine="360"/>
              <w:rPr>
                <w:rFonts w:hint="eastAsia" w:ascii="宋体" w:hAnsi="宋体" w:cs="宋体"/>
                <w:szCs w:val="21"/>
                <w:highlight w:val="none"/>
              </w:rPr>
            </w:pPr>
          </w:p>
          <w:p w14:paraId="70316B5D">
            <w:pPr>
              <w:pStyle w:val="9"/>
              <w:ind w:firstLine="360"/>
              <w:rPr>
                <w:rFonts w:hint="eastAsia" w:ascii="宋体" w:hAnsi="宋体" w:cs="宋体"/>
                <w:szCs w:val="21"/>
                <w:highlight w:val="none"/>
              </w:rPr>
            </w:pPr>
          </w:p>
          <w:p w14:paraId="32F0C8FF">
            <w:pPr>
              <w:pStyle w:val="9"/>
              <w:ind w:firstLine="360"/>
              <w:rPr>
                <w:rFonts w:hint="eastAsia" w:ascii="宋体" w:hAnsi="宋体" w:cs="宋体"/>
                <w:szCs w:val="21"/>
                <w:highlight w:val="none"/>
              </w:rPr>
            </w:pPr>
          </w:p>
          <w:p w14:paraId="5A5B9C00">
            <w:pPr>
              <w:pStyle w:val="9"/>
              <w:ind w:firstLine="360"/>
              <w:rPr>
                <w:rFonts w:hint="eastAsia" w:ascii="宋体" w:hAnsi="宋体" w:cs="宋体"/>
                <w:szCs w:val="21"/>
                <w:highlight w:val="none"/>
              </w:rPr>
            </w:pPr>
          </w:p>
          <w:p w14:paraId="077CA324">
            <w:pPr>
              <w:pStyle w:val="9"/>
              <w:ind w:firstLine="360"/>
              <w:rPr>
                <w:rFonts w:hint="eastAsia" w:ascii="宋体" w:hAnsi="宋体" w:cs="宋体"/>
                <w:szCs w:val="21"/>
                <w:highlight w:val="none"/>
              </w:rPr>
            </w:pPr>
          </w:p>
          <w:p w14:paraId="538B4836">
            <w:pPr>
              <w:pStyle w:val="9"/>
              <w:ind w:firstLine="360"/>
              <w:rPr>
                <w:rFonts w:hint="eastAsia" w:ascii="宋体" w:hAnsi="宋体" w:cs="宋体"/>
                <w:szCs w:val="21"/>
                <w:highlight w:val="none"/>
              </w:rPr>
            </w:pPr>
          </w:p>
          <w:p w14:paraId="215E18EF">
            <w:pPr>
              <w:ind w:firstLine="480"/>
              <w:rPr>
                <w:rFonts w:hint="eastAsia" w:ascii="宋体" w:hAnsi="宋体" w:cs="宋体"/>
                <w:szCs w:val="21"/>
                <w:highlight w:val="none"/>
              </w:rPr>
            </w:pPr>
          </w:p>
          <w:p w14:paraId="31EF5015">
            <w:pPr>
              <w:pStyle w:val="29"/>
              <w:ind w:left="480"/>
              <w:rPr>
                <w:highlight w:val="none"/>
              </w:rPr>
            </w:pPr>
          </w:p>
          <w:p w14:paraId="44E00581">
            <w:pPr>
              <w:pStyle w:val="9"/>
              <w:ind w:firstLine="360"/>
              <w:rPr>
                <w:rFonts w:hint="eastAsia" w:ascii="宋体" w:hAnsi="宋体" w:cs="宋体"/>
                <w:szCs w:val="21"/>
                <w:highlight w:val="none"/>
              </w:rPr>
            </w:pPr>
          </w:p>
          <w:p w14:paraId="613FF177">
            <w:pPr>
              <w:pStyle w:val="56"/>
              <w:rPr>
                <w:highlight w:val="none"/>
              </w:rPr>
            </w:pPr>
            <w:r>
              <w:rPr>
                <w:rFonts w:hint="eastAsia"/>
                <w:highlight w:val="none"/>
              </w:rPr>
              <w:t>区域环境质量现状</w:t>
            </w:r>
          </w:p>
          <w:p w14:paraId="6D1F46A2">
            <w:pPr>
              <w:pStyle w:val="9"/>
              <w:ind w:firstLine="360"/>
              <w:rPr>
                <w:rFonts w:hint="eastAsia" w:ascii="宋体" w:hAnsi="宋体" w:cs="宋体"/>
                <w:szCs w:val="21"/>
                <w:highlight w:val="none"/>
              </w:rPr>
            </w:pPr>
          </w:p>
          <w:p w14:paraId="63E59DF9">
            <w:pPr>
              <w:pStyle w:val="9"/>
              <w:ind w:firstLine="360"/>
              <w:rPr>
                <w:rFonts w:hint="eastAsia" w:ascii="宋体" w:hAnsi="宋体" w:cs="宋体"/>
                <w:szCs w:val="21"/>
                <w:highlight w:val="none"/>
              </w:rPr>
            </w:pPr>
          </w:p>
          <w:p w14:paraId="60C8C19C">
            <w:pPr>
              <w:pStyle w:val="10"/>
              <w:widowControl w:val="0"/>
              <w:numPr>
                <w:ilvl w:val="0"/>
                <w:numId w:val="0"/>
              </w:numPr>
              <w:adjustRightInd w:val="0"/>
              <w:snapToGrid w:val="0"/>
              <w:spacing w:line="360" w:lineRule="auto"/>
              <w:jc w:val="both"/>
              <w:rPr>
                <w:rFonts w:hint="eastAsia" w:ascii="宋体" w:hAnsi="宋体" w:cs="宋体"/>
                <w:szCs w:val="21"/>
                <w:highlight w:val="none"/>
              </w:rPr>
            </w:pPr>
          </w:p>
        </w:tc>
        <w:tc>
          <w:tcPr>
            <w:tcW w:w="8190" w:type="dxa"/>
            <w:vAlign w:val="center"/>
          </w:tcPr>
          <w:p w14:paraId="52A4628F">
            <w:pPr>
              <w:pStyle w:val="3"/>
              <w:keepNext/>
              <w:keepLines/>
              <w:pageBreakBefore w:val="0"/>
              <w:widowControl w:val="0"/>
              <w:kinsoku/>
              <w:wordWrap/>
              <w:overflowPunct/>
              <w:topLinePunct w:val="0"/>
              <w:autoSpaceDE/>
              <w:autoSpaceDN/>
              <w:bidi w:val="0"/>
              <w:adjustRightInd w:val="0"/>
              <w:snapToGrid w:val="0"/>
              <w:spacing w:line="500" w:lineRule="exact"/>
              <w:textAlignment w:val="auto"/>
              <w:rPr>
                <w:highlight w:val="none"/>
              </w:rPr>
            </w:pPr>
            <w:r>
              <w:rPr>
                <w:rFonts w:hint="eastAsia" w:ascii="Times New Roman" w:hAnsi="Times New Roman" w:cs="Times New Roman"/>
                <w:highlight w:val="none"/>
              </w:rPr>
              <w:t>1</w:t>
            </w:r>
            <w:r>
              <w:rPr>
                <w:rFonts w:hint="eastAsia"/>
                <w:highlight w:val="none"/>
              </w:rPr>
              <w:t>环境空气质量评价</w:t>
            </w:r>
          </w:p>
          <w:p w14:paraId="2FB7BA67">
            <w:pPr>
              <w:keepNext w:val="0"/>
              <w:keepLines w:val="0"/>
              <w:pageBreakBefore w:val="0"/>
              <w:widowControl w:val="0"/>
              <w:kinsoku/>
              <w:wordWrap/>
              <w:overflowPunct/>
              <w:topLinePunct w:val="0"/>
              <w:autoSpaceDE/>
              <w:autoSpaceDN/>
              <w:bidi w:val="0"/>
              <w:spacing w:line="500" w:lineRule="exact"/>
              <w:ind w:firstLine="482" w:firstLineChars="200"/>
              <w:textAlignment w:val="auto"/>
              <w:rPr>
                <w:rFonts w:hint="eastAsia"/>
                <w:b/>
                <w:bCs/>
                <w:color w:val="auto"/>
                <w:highlight w:val="none"/>
              </w:rPr>
            </w:pPr>
            <w:bookmarkStart w:id="6" w:name="_Toc29722417"/>
            <w:bookmarkStart w:id="7" w:name="_Toc240865444"/>
            <w:r>
              <w:rPr>
                <w:rFonts w:hint="eastAsia"/>
                <w:b/>
                <w:bCs/>
                <w:color w:val="auto"/>
                <w:highlight w:val="none"/>
              </w:rPr>
              <w:t>1.1达标区判定</w:t>
            </w:r>
          </w:p>
          <w:p w14:paraId="5A790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要求。本次环境空气质量现状采用</w:t>
            </w:r>
            <w:r>
              <w:rPr>
                <w:rFonts w:hint="eastAsia"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若羌县</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、CO、O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、PM</w:t>
            </w:r>
            <w:r>
              <w:rPr>
                <w:rFonts w:hint="eastAsia" w:ascii="Times New Roman" w:hAnsi="Times New Roman" w:eastAsia="宋体" w:cs="Times New Roman"/>
                <w:color w:val="auto"/>
                <w:sz w:val="24"/>
                <w:highlight w:val="none"/>
                <w:vertAlign w:val="subscript"/>
                <w:lang w:val="en-US" w:eastAsia="zh-CN"/>
              </w:rPr>
              <w:t>2.5</w:t>
            </w:r>
            <w:r>
              <w:rPr>
                <w:rFonts w:hint="eastAsia"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lang w:val="en-US" w:eastAsia="zh-CN"/>
              </w:rPr>
              <w:t>六项基本污染物环境空气质量现状数据</w:t>
            </w:r>
            <w:r>
              <w:rPr>
                <w:rFonts w:hint="eastAsia" w:ascii="Times New Roman" w:hAnsi="Times New Roman" w:eastAsia="宋体" w:cs="Times New Roman"/>
                <w:color w:val="auto"/>
                <w:sz w:val="24"/>
                <w:highlight w:val="none"/>
                <w:lang w:val="en-US" w:eastAsia="zh-CN"/>
              </w:rPr>
              <w:t>，详见下表</w:t>
            </w:r>
            <w:r>
              <w:rPr>
                <w:rFonts w:hint="default" w:ascii="Times New Roman" w:hAnsi="Times New Roman" w:eastAsia="宋体" w:cs="Times New Roman"/>
                <w:color w:val="auto"/>
                <w:sz w:val="24"/>
                <w:highlight w:val="none"/>
                <w:lang w:val="en-US" w:eastAsia="zh-CN"/>
              </w:rPr>
              <w:t>。</w:t>
            </w:r>
          </w:p>
          <w:p w14:paraId="21813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outlineLvl w:val="3"/>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表3-1    </w:t>
            </w:r>
            <w:r>
              <w:rPr>
                <w:rFonts w:hint="eastAsia" w:cs="Times New Roman"/>
                <w:b/>
                <w:bCs/>
                <w:color w:val="auto"/>
                <w:kern w:val="2"/>
                <w:sz w:val="21"/>
                <w:szCs w:val="21"/>
                <w:highlight w:val="none"/>
                <w:lang w:val="en-US" w:eastAsia="zh-CN" w:bidi="ar-SA"/>
              </w:rPr>
              <w:t>若羌</w:t>
            </w:r>
            <w:r>
              <w:rPr>
                <w:rFonts w:hint="eastAsia" w:ascii="Times New Roman" w:hAnsi="Times New Roman" w:eastAsia="宋体" w:cs="Times New Roman"/>
                <w:b/>
                <w:bCs/>
                <w:color w:val="auto"/>
                <w:kern w:val="2"/>
                <w:sz w:val="21"/>
                <w:szCs w:val="21"/>
                <w:highlight w:val="none"/>
                <w:lang w:val="en-US" w:eastAsia="zh-CN" w:bidi="ar-SA"/>
              </w:rPr>
              <w:t>县2023年环境空气质量数据       单位：</w:t>
            </w:r>
            <w:r>
              <w:rPr>
                <w:rFonts w:ascii="Times New Roman" w:hAnsi="Times New Roman" w:eastAsia="宋体" w:cs="Times New Roman"/>
                <w:b/>
                <w:bCs/>
                <w:color w:val="auto"/>
                <w:kern w:val="2"/>
                <w:sz w:val="21"/>
                <w:szCs w:val="28"/>
                <w:highlight w:val="none"/>
                <w:lang w:val="en-US" w:eastAsia="zh-CN" w:bidi="ar-SA"/>
              </w:rPr>
              <w:t>μ</w:t>
            </w:r>
            <w:r>
              <w:rPr>
                <w:rFonts w:hint="eastAsia" w:ascii="Times New Roman" w:hAnsi="Times New Roman" w:eastAsia="宋体" w:cs="Times New Roman"/>
                <w:b/>
                <w:bCs/>
                <w:color w:val="auto"/>
                <w:kern w:val="2"/>
                <w:sz w:val="21"/>
                <w:szCs w:val="28"/>
                <w:highlight w:val="none"/>
                <w:lang w:val="en-US" w:eastAsia="zh-CN" w:bidi="ar-SA"/>
              </w:rPr>
              <w:t>g</w:t>
            </w:r>
            <w:r>
              <w:rPr>
                <w:rFonts w:ascii="Times New Roman" w:hAnsi="Times New Roman" w:eastAsia="宋体" w:cs="Times New Roman"/>
                <w:b/>
                <w:bCs/>
                <w:color w:val="auto"/>
                <w:kern w:val="2"/>
                <w:sz w:val="21"/>
                <w:szCs w:val="28"/>
                <w:highlight w:val="none"/>
                <w:lang w:val="en-US" w:eastAsia="zh-CN" w:bidi="ar-SA"/>
              </w:rPr>
              <w:t>/m</w:t>
            </w:r>
            <w:r>
              <w:rPr>
                <w:rFonts w:ascii="Times New Roman" w:hAnsi="Times New Roman" w:eastAsia="宋体" w:cs="Times New Roman"/>
                <w:b/>
                <w:bCs/>
                <w:color w:val="auto"/>
                <w:kern w:val="2"/>
                <w:sz w:val="21"/>
                <w:szCs w:val="28"/>
                <w:highlight w:val="none"/>
                <w:vertAlign w:val="superscript"/>
                <w:lang w:val="en-US" w:eastAsia="zh-CN" w:bidi="ar-SA"/>
              </w:rPr>
              <w:t>3</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31"/>
              <w:gridCol w:w="1101"/>
              <w:gridCol w:w="1111"/>
              <w:gridCol w:w="1071"/>
              <w:gridCol w:w="1004"/>
            </w:tblGrid>
            <w:tr w14:paraId="3D4CC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17" w:type="pct"/>
                  <w:vMerge w:val="restart"/>
                  <w:tcBorders>
                    <w:tl2br w:val="nil"/>
                    <w:tr2bl w:val="nil"/>
                  </w:tcBorders>
                  <w:noWrap w:val="0"/>
                  <w:vAlign w:val="center"/>
                </w:tcPr>
                <w:p w14:paraId="2BA3684D">
                  <w:pPr>
                    <w:spacing w:line="240" w:lineRule="auto"/>
                    <w:ind w:firstLine="0" w:firstLineChars="0"/>
                    <w:jc w:val="center"/>
                    <w:rPr>
                      <w:b/>
                      <w:bCs/>
                      <w:color w:val="auto"/>
                      <w:sz w:val="21"/>
                      <w:highlight w:val="none"/>
                    </w:rPr>
                  </w:pPr>
                  <w:r>
                    <w:rPr>
                      <w:b/>
                      <w:bCs/>
                      <w:color w:val="auto"/>
                      <w:sz w:val="21"/>
                      <w:highlight w:val="none"/>
                    </w:rPr>
                    <w:t>评价因子</w:t>
                  </w:r>
                </w:p>
              </w:tc>
              <w:tc>
                <w:tcPr>
                  <w:tcW w:w="1782" w:type="pct"/>
                  <w:vMerge w:val="restart"/>
                  <w:tcBorders>
                    <w:tl2br w:val="nil"/>
                    <w:tr2bl w:val="nil"/>
                  </w:tcBorders>
                  <w:noWrap w:val="0"/>
                  <w:vAlign w:val="center"/>
                </w:tcPr>
                <w:p w14:paraId="6972C31F">
                  <w:pPr>
                    <w:spacing w:line="240" w:lineRule="auto"/>
                    <w:ind w:firstLine="0" w:firstLineChars="0"/>
                    <w:jc w:val="center"/>
                    <w:rPr>
                      <w:b/>
                      <w:bCs/>
                      <w:color w:val="auto"/>
                      <w:sz w:val="21"/>
                      <w:highlight w:val="none"/>
                    </w:rPr>
                  </w:pPr>
                  <w:r>
                    <w:rPr>
                      <w:b/>
                      <w:bCs/>
                      <w:color w:val="auto"/>
                      <w:sz w:val="21"/>
                      <w:highlight w:val="none"/>
                    </w:rPr>
                    <w:t>年评价指标</w:t>
                  </w:r>
                </w:p>
              </w:tc>
              <w:tc>
                <w:tcPr>
                  <w:tcW w:w="693" w:type="pct"/>
                  <w:vMerge w:val="restart"/>
                  <w:tcBorders>
                    <w:tl2br w:val="nil"/>
                    <w:tr2bl w:val="nil"/>
                  </w:tcBorders>
                  <w:noWrap w:val="0"/>
                  <w:vAlign w:val="center"/>
                </w:tcPr>
                <w:p w14:paraId="4BD7D1B5">
                  <w:pPr>
                    <w:spacing w:line="240" w:lineRule="auto"/>
                    <w:ind w:firstLine="0" w:firstLineChars="0"/>
                    <w:jc w:val="center"/>
                    <w:rPr>
                      <w:b/>
                      <w:bCs/>
                      <w:color w:val="auto"/>
                      <w:sz w:val="21"/>
                      <w:highlight w:val="none"/>
                    </w:rPr>
                  </w:pPr>
                  <w:r>
                    <w:rPr>
                      <w:b/>
                      <w:bCs/>
                      <w:color w:val="auto"/>
                      <w:sz w:val="21"/>
                      <w:highlight w:val="none"/>
                    </w:rPr>
                    <w:t>现状浓度</w:t>
                  </w:r>
                </w:p>
                <w:p w14:paraId="78322C8C">
                  <w:pPr>
                    <w:spacing w:line="240" w:lineRule="auto"/>
                    <w:ind w:firstLine="0" w:firstLineChars="0"/>
                    <w:jc w:val="center"/>
                    <w:rPr>
                      <w:b/>
                      <w:bCs/>
                      <w:color w:val="auto"/>
                      <w:sz w:val="21"/>
                      <w:highlight w:val="none"/>
                    </w:rPr>
                  </w:pPr>
                  <w:r>
                    <w:rPr>
                      <w:b/>
                      <w:bCs/>
                      <w:color w:val="auto"/>
                      <w:sz w:val="21"/>
                      <w:highlight w:val="none"/>
                    </w:rPr>
                    <w:t>µg/m</w:t>
                  </w:r>
                  <w:r>
                    <w:rPr>
                      <w:b/>
                      <w:bCs/>
                      <w:color w:val="auto"/>
                      <w:sz w:val="21"/>
                      <w:highlight w:val="none"/>
                      <w:vertAlign w:val="superscript"/>
                    </w:rPr>
                    <w:t>3</w:t>
                  </w:r>
                </w:p>
              </w:tc>
              <w:tc>
                <w:tcPr>
                  <w:tcW w:w="699" w:type="pct"/>
                  <w:tcBorders>
                    <w:tl2br w:val="nil"/>
                    <w:tr2bl w:val="nil"/>
                  </w:tcBorders>
                  <w:noWrap w:val="0"/>
                  <w:vAlign w:val="center"/>
                </w:tcPr>
                <w:p w14:paraId="627E1C9F">
                  <w:pPr>
                    <w:spacing w:line="240" w:lineRule="auto"/>
                    <w:ind w:firstLine="0" w:firstLineChars="0"/>
                    <w:jc w:val="center"/>
                    <w:rPr>
                      <w:b/>
                      <w:bCs/>
                      <w:color w:val="auto"/>
                      <w:sz w:val="21"/>
                      <w:highlight w:val="none"/>
                    </w:rPr>
                  </w:pPr>
                  <w:r>
                    <w:rPr>
                      <w:b/>
                      <w:bCs/>
                      <w:color w:val="auto"/>
                      <w:sz w:val="21"/>
                      <w:highlight w:val="none"/>
                    </w:rPr>
                    <w:t>标准限值</w:t>
                  </w:r>
                </w:p>
              </w:tc>
              <w:tc>
                <w:tcPr>
                  <w:tcW w:w="674" w:type="pct"/>
                  <w:vMerge w:val="restart"/>
                  <w:tcBorders>
                    <w:tl2br w:val="nil"/>
                    <w:tr2bl w:val="nil"/>
                  </w:tcBorders>
                  <w:noWrap w:val="0"/>
                  <w:vAlign w:val="center"/>
                </w:tcPr>
                <w:p w14:paraId="272B62C4">
                  <w:pPr>
                    <w:spacing w:line="240" w:lineRule="auto"/>
                    <w:ind w:firstLine="0" w:firstLineChars="0"/>
                    <w:jc w:val="center"/>
                    <w:rPr>
                      <w:rFonts w:hint="default" w:eastAsia="宋体"/>
                      <w:b/>
                      <w:bCs/>
                      <w:color w:val="auto"/>
                      <w:sz w:val="21"/>
                      <w:highlight w:val="none"/>
                      <w:lang w:val="en-US" w:eastAsia="zh-CN"/>
                    </w:rPr>
                  </w:pPr>
                  <w:r>
                    <w:rPr>
                      <w:b/>
                      <w:bCs/>
                      <w:color w:val="auto"/>
                      <w:sz w:val="21"/>
                      <w:highlight w:val="none"/>
                    </w:rPr>
                    <w:t>占标率</w:t>
                  </w:r>
                  <w:r>
                    <w:rPr>
                      <w:rFonts w:hint="eastAsia"/>
                      <w:b/>
                      <w:bCs/>
                      <w:color w:val="auto"/>
                      <w:sz w:val="21"/>
                      <w:highlight w:val="none"/>
                      <w:lang w:val="en-US" w:eastAsia="zh-CN"/>
                    </w:rPr>
                    <w:t>/%</w:t>
                  </w:r>
                </w:p>
              </w:tc>
              <w:tc>
                <w:tcPr>
                  <w:tcW w:w="632" w:type="pct"/>
                  <w:vMerge w:val="restart"/>
                  <w:tcBorders>
                    <w:tl2br w:val="nil"/>
                    <w:tr2bl w:val="nil"/>
                  </w:tcBorders>
                  <w:noWrap w:val="0"/>
                  <w:vAlign w:val="center"/>
                </w:tcPr>
                <w:p w14:paraId="12C3EB3A">
                  <w:pPr>
                    <w:spacing w:line="240" w:lineRule="auto"/>
                    <w:ind w:firstLine="0" w:firstLineChars="0"/>
                    <w:jc w:val="center"/>
                    <w:rPr>
                      <w:b/>
                      <w:bCs/>
                      <w:color w:val="auto"/>
                      <w:sz w:val="21"/>
                      <w:highlight w:val="none"/>
                    </w:rPr>
                  </w:pPr>
                  <w:r>
                    <w:rPr>
                      <w:b/>
                      <w:bCs/>
                      <w:color w:val="auto"/>
                      <w:sz w:val="21"/>
                      <w:highlight w:val="none"/>
                    </w:rPr>
                    <w:t>达标情况</w:t>
                  </w:r>
                </w:p>
              </w:tc>
            </w:tr>
            <w:tr w14:paraId="5252D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17" w:type="pct"/>
                  <w:vMerge w:val="continue"/>
                  <w:tcBorders>
                    <w:tl2br w:val="nil"/>
                    <w:tr2bl w:val="nil"/>
                  </w:tcBorders>
                  <w:noWrap w:val="0"/>
                  <w:vAlign w:val="center"/>
                </w:tcPr>
                <w:p w14:paraId="4B9E676A">
                  <w:pPr>
                    <w:spacing w:line="240" w:lineRule="auto"/>
                    <w:ind w:firstLine="0" w:firstLineChars="0"/>
                    <w:jc w:val="center"/>
                    <w:rPr>
                      <w:color w:val="auto"/>
                      <w:sz w:val="21"/>
                      <w:highlight w:val="none"/>
                    </w:rPr>
                  </w:pPr>
                </w:p>
              </w:tc>
              <w:tc>
                <w:tcPr>
                  <w:tcW w:w="1782" w:type="pct"/>
                  <w:vMerge w:val="continue"/>
                  <w:tcBorders>
                    <w:tl2br w:val="nil"/>
                    <w:tr2bl w:val="nil"/>
                  </w:tcBorders>
                  <w:noWrap w:val="0"/>
                  <w:vAlign w:val="center"/>
                </w:tcPr>
                <w:p w14:paraId="5E6F2A50">
                  <w:pPr>
                    <w:spacing w:line="240" w:lineRule="auto"/>
                    <w:ind w:firstLine="0" w:firstLineChars="0"/>
                    <w:jc w:val="center"/>
                    <w:rPr>
                      <w:color w:val="auto"/>
                      <w:sz w:val="21"/>
                      <w:highlight w:val="none"/>
                    </w:rPr>
                  </w:pPr>
                </w:p>
              </w:tc>
              <w:tc>
                <w:tcPr>
                  <w:tcW w:w="693" w:type="pct"/>
                  <w:vMerge w:val="continue"/>
                  <w:tcBorders>
                    <w:tl2br w:val="nil"/>
                    <w:tr2bl w:val="nil"/>
                  </w:tcBorders>
                  <w:noWrap w:val="0"/>
                  <w:vAlign w:val="center"/>
                </w:tcPr>
                <w:p w14:paraId="61C73F52">
                  <w:pPr>
                    <w:spacing w:line="240" w:lineRule="auto"/>
                    <w:ind w:firstLine="0" w:firstLineChars="0"/>
                    <w:jc w:val="center"/>
                    <w:rPr>
                      <w:color w:val="auto"/>
                      <w:sz w:val="21"/>
                      <w:highlight w:val="none"/>
                    </w:rPr>
                  </w:pPr>
                </w:p>
              </w:tc>
              <w:tc>
                <w:tcPr>
                  <w:tcW w:w="699" w:type="pct"/>
                  <w:tcBorders>
                    <w:tl2br w:val="nil"/>
                    <w:tr2bl w:val="nil"/>
                  </w:tcBorders>
                  <w:noWrap w:val="0"/>
                  <w:vAlign w:val="center"/>
                </w:tcPr>
                <w:p w14:paraId="63908743">
                  <w:pPr>
                    <w:spacing w:line="240" w:lineRule="auto"/>
                    <w:ind w:firstLine="0" w:firstLineChars="0"/>
                    <w:jc w:val="center"/>
                    <w:rPr>
                      <w:color w:val="auto"/>
                      <w:sz w:val="21"/>
                      <w:highlight w:val="none"/>
                    </w:rPr>
                  </w:pPr>
                  <w:r>
                    <w:rPr>
                      <w:b/>
                      <w:bCs/>
                      <w:color w:val="auto"/>
                      <w:sz w:val="21"/>
                      <w:highlight w:val="none"/>
                    </w:rPr>
                    <w:t>µg/m</w:t>
                  </w:r>
                  <w:r>
                    <w:rPr>
                      <w:b/>
                      <w:bCs/>
                      <w:color w:val="auto"/>
                      <w:sz w:val="21"/>
                      <w:highlight w:val="none"/>
                      <w:vertAlign w:val="superscript"/>
                    </w:rPr>
                    <w:t>3</w:t>
                  </w:r>
                </w:p>
              </w:tc>
              <w:tc>
                <w:tcPr>
                  <w:tcW w:w="674" w:type="pct"/>
                  <w:vMerge w:val="continue"/>
                  <w:tcBorders>
                    <w:tl2br w:val="nil"/>
                    <w:tr2bl w:val="nil"/>
                  </w:tcBorders>
                  <w:noWrap w:val="0"/>
                  <w:vAlign w:val="center"/>
                </w:tcPr>
                <w:p w14:paraId="0CC84938">
                  <w:pPr>
                    <w:spacing w:line="240" w:lineRule="auto"/>
                    <w:ind w:firstLine="0" w:firstLineChars="0"/>
                    <w:jc w:val="center"/>
                    <w:rPr>
                      <w:color w:val="auto"/>
                      <w:sz w:val="21"/>
                      <w:highlight w:val="none"/>
                    </w:rPr>
                  </w:pPr>
                </w:p>
              </w:tc>
              <w:tc>
                <w:tcPr>
                  <w:tcW w:w="632" w:type="pct"/>
                  <w:vMerge w:val="continue"/>
                  <w:tcBorders>
                    <w:tl2br w:val="nil"/>
                    <w:tr2bl w:val="nil"/>
                  </w:tcBorders>
                  <w:noWrap w:val="0"/>
                  <w:vAlign w:val="center"/>
                </w:tcPr>
                <w:p w14:paraId="374231A1">
                  <w:pPr>
                    <w:spacing w:line="240" w:lineRule="auto"/>
                    <w:ind w:firstLine="0" w:firstLineChars="0"/>
                    <w:jc w:val="center"/>
                    <w:rPr>
                      <w:color w:val="auto"/>
                      <w:sz w:val="21"/>
                      <w:highlight w:val="none"/>
                    </w:rPr>
                  </w:pPr>
                </w:p>
              </w:tc>
            </w:tr>
            <w:tr w14:paraId="3F05A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4178A9D7">
                  <w:pPr>
                    <w:spacing w:line="240" w:lineRule="auto"/>
                    <w:ind w:firstLine="0" w:firstLineChars="0"/>
                    <w:jc w:val="center"/>
                    <w:rPr>
                      <w:color w:val="auto"/>
                      <w:sz w:val="21"/>
                      <w:highlight w:val="none"/>
                    </w:rPr>
                  </w:pPr>
                  <w:r>
                    <w:rPr>
                      <w:color w:val="auto"/>
                      <w:sz w:val="21"/>
                      <w:highlight w:val="none"/>
                    </w:rPr>
                    <w:t>SO</w:t>
                  </w:r>
                  <w:r>
                    <w:rPr>
                      <w:color w:val="auto"/>
                      <w:sz w:val="21"/>
                      <w:highlight w:val="none"/>
                      <w:vertAlign w:val="subscript"/>
                    </w:rPr>
                    <w:t>2</w:t>
                  </w:r>
                </w:p>
              </w:tc>
              <w:tc>
                <w:tcPr>
                  <w:tcW w:w="1782" w:type="pct"/>
                  <w:tcBorders>
                    <w:tl2br w:val="nil"/>
                    <w:tr2bl w:val="nil"/>
                  </w:tcBorders>
                  <w:noWrap w:val="0"/>
                  <w:vAlign w:val="center"/>
                </w:tcPr>
                <w:p w14:paraId="4429860B">
                  <w:pPr>
                    <w:spacing w:line="240" w:lineRule="auto"/>
                    <w:ind w:firstLine="0" w:firstLineChars="0"/>
                    <w:jc w:val="center"/>
                    <w:rPr>
                      <w:color w:val="auto"/>
                      <w:sz w:val="21"/>
                      <w:highlight w:val="none"/>
                    </w:rPr>
                  </w:pPr>
                  <w:r>
                    <w:rPr>
                      <w:color w:val="auto"/>
                      <w:sz w:val="21"/>
                      <w:highlight w:val="none"/>
                    </w:rPr>
                    <w:t>年平均</w:t>
                  </w:r>
                </w:p>
              </w:tc>
              <w:tc>
                <w:tcPr>
                  <w:tcW w:w="693" w:type="pct"/>
                  <w:tcBorders>
                    <w:tl2br w:val="nil"/>
                    <w:tr2bl w:val="nil"/>
                  </w:tcBorders>
                  <w:noWrap w:val="0"/>
                  <w:vAlign w:val="center"/>
                </w:tcPr>
                <w:p w14:paraId="052B0FD6">
                  <w:pPr>
                    <w:spacing w:line="240" w:lineRule="auto"/>
                    <w:ind w:firstLine="0" w:firstLineChars="0"/>
                    <w:jc w:val="center"/>
                    <w:rPr>
                      <w:rFonts w:hint="eastAsia" w:eastAsia="宋体"/>
                      <w:color w:val="auto"/>
                      <w:sz w:val="21"/>
                      <w:highlight w:val="none"/>
                      <w:lang w:val="en-US" w:eastAsia="zh-CN"/>
                    </w:rPr>
                  </w:pPr>
                  <w:r>
                    <w:rPr>
                      <w:rFonts w:hint="eastAsia"/>
                      <w:color w:val="auto"/>
                      <w:sz w:val="21"/>
                      <w:highlight w:val="none"/>
                      <w:lang w:val="en-US" w:eastAsia="zh-CN"/>
                    </w:rPr>
                    <w:t>6</w:t>
                  </w:r>
                </w:p>
              </w:tc>
              <w:tc>
                <w:tcPr>
                  <w:tcW w:w="699" w:type="pct"/>
                  <w:tcBorders>
                    <w:tl2br w:val="nil"/>
                    <w:tr2bl w:val="nil"/>
                  </w:tcBorders>
                  <w:noWrap w:val="0"/>
                  <w:vAlign w:val="center"/>
                </w:tcPr>
                <w:p w14:paraId="6E63C804">
                  <w:pPr>
                    <w:spacing w:line="240" w:lineRule="auto"/>
                    <w:ind w:firstLine="0" w:firstLineChars="0"/>
                    <w:jc w:val="center"/>
                    <w:rPr>
                      <w:color w:val="auto"/>
                      <w:sz w:val="21"/>
                      <w:highlight w:val="none"/>
                    </w:rPr>
                  </w:pPr>
                  <w:r>
                    <w:rPr>
                      <w:color w:val="auto"/>
                      <w:sz w:val="21"/>
                      <w:highlight w:val="none"/>
                    </w:rPr>
                    <w:t>60</w:t>
                  </w:r>
                </w:p>
              </w:tc>
              <w:tc>
                <w:tcPr>
                  <w:tcW w:w="674" w:type="pct"/>
                  <w:tcBorders>
                    <w:tl2br w:val="nil"/>
                    <w:tr2bl w:val="nil"/>
                  </w:tcBorders>
                  <w:noWrap w:val="0"/>
                  <w:vAlign w:val="center"/>
                </w:tcPr>
                <w:p w14:paraId="2ADE8293">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10</w:t>
                  </w:r>
                </w:p>
              </w:tc>
              <w:tc>
                <w:tcPr>
                  <w:tcW w:w="632" w:type="pct"/>
                  <w:tcBorders>
                    <w:tl2br w:val="nil"/>
                    <w:tr2bl w:val="nil"/>
                  </w:tcBorders>
                  <w:noWrap w:val="0"/>
                  <w:vAlign w:val="center"/>
                </w:tcPr>
                <w:p w14:paraId="3CCCFFAD">
                  <w:pPr>
                    <w:spacing w:line="240" w:lineRule="auto"/>
                    <w:ind w:firstLine="0" w:firstLineChars="0"/>
                    <w:jc w:val="center"/>
                    <w:rPr>
                      <w:color w:val="auto"/>
                      <w:sz w:val="21"/>
                      <w:highlight w:val="none"/>
                    </w:rPr>
                  </w:pPr>
                  <w:r>
                    <w:rPr>
                      <w:color w:val="auto"/>
                      <w:sz w:val="21"/>
                      <w:highlight w:val="none"/>
                    </w:rPr>
                    <w:t>达标</w:t>
                  </w:r>
                </w:p>
              </w:tc>
            </w:tr>
            <w:tr w14:paraId="0BE70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1CC6A649">
                  <w:pPr>
                    <w:spacing w:line="240" w:lineRule="auto"/>
                    <w:ind w:firstLine="0" w:firstLineChars="0"/>
                    <w:jc w:val="center"/>
                    <w:rPr>
                      <w:color w:val="auto"/>
                      <w:sz w:val="21"/>
                      <w:highlight w:val="none"/>
                    </w:rPr>
                  </w:pPr>
                  <w:r>
                    <w:rPr>
                      <w:color w:val="auto"/>
                      <w:sz w:val="21"/>
                      <w:highlight w:val="none"/>
                    </w:rPr>
                    <w:t>NO</w:t>
                  </w:r>
                  <w:r>
                    <w:rPr>
                      <w:color w:val="auto"/>
                      <w:sz w:val="21"/>
                      <w:highlight w:val="none"/>
                      <w:vertAlign w:val="subscript"/>
                    </w:rPr>
                    <w:t>2</w:t>
                  </w:r>
                </w:p>
              </w:tc>
              <w:tc>
                <w:tcPr>
                  <w:tcW w:w="1782" w:type="pct"/>
                  <w:tcBorders>
                    <w:tl2br w:val="nil"/>
                    <w:tr2bl w:val="nil"/>
                  </w:tcBorders>
                  <w:noWrap w:val="0"/>
                  <w:vAlign w:val="center"/>
                </w:tcPr>
                <w:p w14:paraId="15213C63">
                  <w:pPr>
                    <w:spacing w:line="240" w:lineRule="auto"/>
                    <w:ind w:firstLine="0" w:firstLineChars="0"/>
                    <w:jc w:val="center"/>
                    <w:rPr>
                      <w:color w:val="auto"/>
                      <w:sz w:val="21"/>
                      <w:highlight w:val="none"/>
                    </w:rPr>
                  </w:pPr>
                  <w:r>
                    <w:rPr>
                      <w:color w:val="auto"/>
                      <w:sz w:val="21"/>
                      <w:highlight w:val="none"/>
                    </w:rPr>
                    <w:t>年平均</w:t>
                  </w:r>
                </w:p>
              </w:tc>
              <w:tc>
                <w:tcPr>
                  <w:tcW w:w="693" w:type="pct"/>
                  <w:tcBorders>
                    <w:tl2br w:val="nil"/>
                    <w:tr2bl w:val="nil"/>
                  </w:tcBorders>
                  <w:noWrap w:val="0"/>
                  <w:vAlign w:val="center"/>
                </w:tcPr>
                <w:p w14:paraId="75C3A981">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8</w:t>
                  </w:r>
                </w:p>
              </w:tc>
              <w:tc>
                <w:tcPr>
                  <w:tcW w:w="699" w:type="pct"/>
                  <w:tcBorders>
                    <w:tl2br w:val="nil"/>
                    <w:tr2bl w:val="nil"/>
                  </w:tcBorders>
                  <w:noWrap w:val="0"/>
                  <w:vAlign w:val="center"/>
                </w:tcPr>
                <w:p w14:paraId="01844113">
                  <w:pPr>
                    <w:spacing w:line="240" w:lineRule="auto"/>
                    <w:ind w:firstLine="0" w:firstLineChars="0"/>
                    <w:jc w:val="center"/>
                    <w:rPr>
                      <w:color w:val="auto"/>
                      <w:sz w:val="21"/>
                      <w:highlight w:val="none"/>
                    </w:rPr>
                  </w:pPr>
                  <w:r>
                    <w:rPr>
                      <w:color w:val="auto"/>
                      <w:sz w:val="21"/>
                      <w:highlight w:val="none"/>
                    </w:rPr>
                    <w:t>40</w:t>
                  </w:r>
                </w:p>
              </w:tc>
              <w:tc>
                <w:tcPr>
                  <w:tcW w:w="674" w:type="pct"/>
                  <w:tcBorders>
                    <w:tl2br w:val="nil"/>
                    <w:tr2bl w:val="nil"/>
                  </w:tcBorders>
                  <w:noWrap w:val="0"/>
                  <w:vAlign w:val="center"/>
                </w:tcPr>
                <w:p w14:paraId="72B5054A">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20</w:t>
                  </w:r>
                </w:p>
              </w:tc>
              <w:tc>
                <w:tcPr>
                  <w:tcW w:w="632" w:type="pct"/>
                  <w:tcBorders>
                    <w:tl2br w:val="nil"/>
                    <w:tr2bl w:val="nil"/>
                  </w:tcBorders>
                  <w:noWrap w:val="0"/>
                  <w:vAlign w:val="center"/>
                </w:tcPr>
                <w:p w14:paraId="1B1FD0A4">
                  <w:pPr>
                    <w:spacing w:line="240" w:lineRule="auto"/>
                    <w:ind w:firstLine="0" w:firstLineChars="0"/>
                    <w:jc w:val="center"/>
                    <w:rPr>
                      <w:color w:val="auto"/>
                      <w:sz w:val="21"/>
                      <w:highlight w:val="none"/>
                    </w:rPr>
                  </w:pPr>
                  <w:r>
                    <w:rPr>
                      <w:color w:val="auto"/>
                      <w:sz w:val="21"/>
                      <w:highlight w:val="none"/>
                    </w:rPr>
                    <w:t>达标</w:t>
                  </w:r>
                </w:p>
              </w:tc>
            </w:tr>
            <w:tr w14:paraId="35EF3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5816771E">
                  <w:pPr>
                    <w:spacing w:line="240" w:lineRule="auto"/>
                    <w:ind w:firstLine="0" w:firstLineChars="0"/>
                    <w:jc w:val="center"/>
                    <w:rPr>
                      <w:color w:val="auto"/>
                      <w:sz w:val="21"/>
                      <w:highlight w:val="none"/>
                    </w:rPr>
                  </w:pPr>
                  <w:r>
                    <w:rPr>
                      <w:color w:val="auto"/>
                      <w:sz w:val="21"/>
                      <w:highlight w:val="none"/>
                    </w:rPr>
                    <w:t>CO</w:t>
                  </w:r>
                </w:p>
              </w:tc>
              <w:tc>
                <w:tcPr>
                  <w:tcW w:w="1782" w:type="pct"/>
                  <w:tcBorders>
                    <w:tl2br w:val="nil"/>
                    <w:tr2bl w:val="nil"/>
                  </w:tcBorders>
                  <w:noWrap w:val="0"/>
                  <w:vAlign w:val="center"/>
                </w:tcPr>
                <w:p w14:paraId="3B9056CC">
                  <w:pPr>
                    <w:spacing w:line="240" w:lineRule="auto"/>
                    <w:ind w:firstLine="0" w:firstLineChars="0"/>
                    <w:jc w:val="center"/>
                    <w:rPr>
                      <w:color w:val="auto"/>
                      <w:sz w:val="21"/>
                      <w:highlight w:val="none"/>
                    </w:rPr>
                  </w:pPr>
                  <w:r>
                    <w:rPr>
                      <w:color w:val="auto"/>
                      <w:sz w:val="21"/>
                      <w:highlight w:val="none"/>
                    </w:rPr>
                    <w:t>24小时平均第95百分位数</w:t>
                  </w:r>
                </w:p>
              </w:tc>
              <w:tc>
                <w:tcPr>
                  <w:tcW w:w="693" w:type="pct"/>
                  <w:tcBorders>
                    <w:tl2br w:val="nil"/>
                    <w:tr2bl w:val="nil"/>
                  </w:tcBorders>
                  <w:noWrap w:val="0"/>
                  <w:vAlign w:val="center"/>
                </w:tcPr>
                <w:p w14:paraId="1BC45CF7">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500</w:t>
                  </w:r>
                </w:p>
              </w:tc>
              <w:tc>
                <w:tcPr>
                  <w:tcW w:w="699" w:type="pct"/>
                  <w:tcBorders>
                    <w:tl2br w:val="nil"/>
                    <w:tr2bl w:val="nil"/>
                  </w:tcBorders>
                  <w:noWrap w:val="0"/>
                  <w:vAlign w:val="center"/>
                </w:tcPr>
                <w:p w14:paraId="0C00120A">
                  <w:pPr>
                    <w:spacing w:line="240" w:lineRule="auto"/>
                    <w:ind w:firstLine="0" w:firstLineChars="0"/>
                    <w:jc w:val="center"/>
                    <w:rPr>
                      <w:rFonts w:hint="default" w:eastAsia="宋体"/>
                      <w:color w:val="auto"/>
                      <w:sz w:val="21"/>
                      <w:highlight w:val="none"/>
                      <w:lang w:val="en-US" w:eastAsia="zh-CN"/>
                    </w:rPr>
                  </w:pPr>
                  <w:r>
                    <w:rPr>
                      <w:color w:val="auto"/>
                      <w:sz w:val="21"/>
                      <w:highlight w:val="none"/>
                    </w:rPr>
                    <w:t>4</w:t>
                  </w:r>
                  <w:r>
                    <w:rPr>
                      <w:rFonts w:hint="eastAsia"/>
                      <w:color w:val="auto"/>
                      <w:sz w:val="21"/>
                      <w:highlight w:val="none"/>
                      <w:lang w:val="en-US" w:eastAsia="zh-CN"/>
                    </w:rPr>
                    <w:t>000</w:t>
                  </w:r>
                </w:p>
              </w:tc>
              <w:tc>
                <w:tcPr>
                  <w:tcW w:w="674" w:type="pct"/>
                  <w:tcBorders>
                    <w:tl2br w:val="nil"/>
                    <w:tr2bl w:val="nil"/>
                  </w:tcBorders>
                  <w:noWrap w:val="0"/>
                  <w:vAlign w:val="center"/>
                </w:tcPr>
                <w:p w14:paraId="740A782F">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12.5</w:t>
                  </w:r>
                </w:p>
              </w:tc>
              <w:tc>
                <w:tcPr>
                  <w:tcW w:w="632" w:type="pct"/>
                  <w:tcBorders>
                    <w:tl2br w:val="nil"/>
                    <w:tr2bl w:val="nil"/>
                  </w:tcBorders>
                  <w:noWrap w:val="0"/>
                  <w:vAlign w:val="center"/>
                </w:tcPr>
                <w:p w14:paraId="1C535C5E">
                  <w:pPr>
                    <w:spacing w:line="240" w:lineRule="auto"/>
                    <w:ind w:firstLine="0" w:firstLineChars="0"/>
                    <w:jc w:val="center"/>
                    <w:rPr>
                      <w:color w:val="auto"/>
                      <w:sz w:val="21"/>
                      <w:highlight w:val="none"/>
                    </w:rPr>
                  </w:pPr>
                  <w:r>
                    <w:rPr>
                      <w:color w:val="auto"/>
                      <w:sz w:val="21"/>
                      <w:highlight w:val="none"/>
                    </w:rPr>
                    <w:t>达标</w:t>
                  </w:r>
                </w:p>
              </w:tc>
            </w:tr>
            <w:tr w14:paraId="20156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520B3EB5">
                  <w:pPr>
                    <w:spacing w:line="240" w:lineRule="auto"/>
                    <w:ind w:firstLine="0" w:firstLineChars="0"/>
                    <w:jc w:val="center"/>
                    <w:rPr>
                      <w:color w:val="auto"/>
                      <w:sz w:val="21"/>
                      <w:highlight w:val="none"/>
                    </w:rPr>
                  </w:pPr>
                  <w:r>
                    <w:rPr>
                      <w:color w:val="auto"/>
                      <w:sz w:val="21"/>
                      <w:highlight w:val="none"/>
                    </w:rPr>
                    <w:t>O</w:t>
                  </w:r>
                  <w:r>
                    <w:rPr>
                      <w:color w:val="auto"/>
                      <w:sz w:val="21"/>
                      <w:highlight w:val="none"/>
                      <w:vertAlign w:val="subscript"/>
                    </w:rPr>
                    <w:t>3</w:t>
                  </w:r>
                </w:p>
              </w:tc>
              <w:tc>
                <w:tcPr>
                  <w:tcW w:w="1782" w:type="pct"/>
                  <w:tcBorders>
                    <w:tl2br w:val="nil"/>
                    <w:tr2bl w:val="nil"/>
                  </w:tcBorders>
                  <w:noWrap w:val="0"/>
                  <w:vAlign w:val="center"/>
                </w:tcPr>
                <w:p w14:paraId="30DB25EF">
                  <w:pPr>
                    <w:spacing w:line="240" w:lineRule="auto"/>
                    <w:ind w:firstLine="0" w:firstLineChars="0"/>
                    <w:jc w:val="center"/>
                    <w:rPr>
                      <w:color w:val="auto"/>
                      <w:sz w:val="21"/>
                      <w:highlight w:val="none"/>
                    </w:rPr>
                  </w:pPr>
                  <w:r>
                    <w:rPr>
                      <w:color w:val="auto"/>
                      <w:sz w:val="21"/>
                      <w:highlight w:val="none"/>
                    </w:rPr>
                    <w:t>最大8小时平均第90百分位数日平均</w:t>
                  </w:r>
                </w:p>
              </w:tc>
              <w:tc>
                <w:tcPr>
                  <w:tcW w:w="693" w:type="pct"/>
                  <w:tcBorders>
                    <w:tl2br w:val="nil"/>
                    <w:tr2bl w:val="nil"/>
                  </w:tcBorders>
                  <w:noWrap w:val="0"/>
                  <w:vAlign w:val="center"/>
                </w:tcPr>
                <w:p w14:paraId="238587A1">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131</w:t>
                  </w:r>
                </w:p>
              </w:tc>
              <w:tc>
                <w:tcPr>
                  <w:tcW w:w="699" w:type="pct"/>
                  <w:tcBorders>
                    <w:tl2br w:val="nil"/>
                    <w:tr2bl w:val="nil"/>
                  </w:tcBorders>
                  <w:noWrap w:val="0"/>
                  <w:vAlign w:val="center"/>
                </w:tcPr>
                <w:p w14:paraId="37476410">
                  <w:pPr>
                    <w:spacing w:line="240" w:lineRule="auto"/>
                    <w:ind w:firstLine="0" w:firstLineChars="0"/>
                    <w:jc w:val="center"/>
                    <w:rPr>
                      <w:color w:val="auto"/>
                      <w:sz w:val="21"/>
                      <w:highlight w:val="none"/>
                    </w:rPr>
                  </w:pPr>
                  <w:r>
                    <w:rPr>
                      <w:color w:val="auto"/>
                      <w:sz w:val="21"/>
                      <w:highlight w:val="none"/>
                    </w:rPr>
                    <w:t>160</w:t>
                  </w:r>
                </w:p>
              </w:tc>
              <w:tc>
                <w:tcPr>
                  <w:tcW w:w="674" w:type="pct"/>
                  <w:tcBorders>
                    <w:tl2br w:val="nil"/>
                    <w:tr2bl w:val="nil"/>
                  </w:tcBorders>
                  <w:noWrap w:val="0"/>
                  <w:vAlign w:val="center"/>
                </w:tcPr>
                <w:p w14:paraId="0EB128DD">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81.9</w:t>
                  </w:r>
                </w:p>
              </w:tc>
              <w:tc>
                <w:tcPr>
                  <w:tcW w:w="632" w:type="pct"/>
                  <w:tcBorders>
                    <w:tl2br w:val="nil"/>
                    <w:tr2bl w:val="nil"/>
                  </w:tcBorders>
                  <w:noWrap w:val="0"/>
                  <w:vAlign w:val="center"/>
                </w:tcPr>
                <w:p w14:paraId="4FDA3FB5">
                  <w:pPr>
                    <w:spacing w:line="240" w:lineRule="auto"/>
                    <w:ind w:firstLine="0" w:firstLineChars="0"/>
                    <w:jc w:val="center"/>
                    <w:rPr>
                      <w:color w:val="auto"/>
                      <w:sz w:val="21"/>
                      <w:highlight w:val="none"/>
                    </w:rPr>
                  </w:pPr>
                  <w:r>
                    <w:rPr>
                      <w:color w:val="auto"/>
                      <w:sz w:val="21"/>
                      <w:highlight w:val="none"/>
                    </w:rPr>
                    <w:t xml:space="preserve">达标 </w:t>
                  </w:r>
                </w:p>
              </w:tc>
            </w:tr>
            <w:tr w14:paraId="2C8C9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3E5A7E68">
                  <w:pPr>
                    <w:spacing w:line="240" w:lineRule="auto"/>
                    <w:ind w:firstLine="0" w:firstLineChars="0"/>
                    <w:jc w:val="center"/>
                    <w:rPr>
                      <w:color w:val="auto"/>
                      <w:sz w:val="21"/>
                      <w:highlight w:val="none"/>
                    </w:rPr>
                  </w:pPr>
                  <w:r>
                    <w:rPr>
                      <w:color w:val="auto"/>
                      <w:sz w:val="21"/>
                      <w:highlight w:val="none"/>
                    </w:rPr>
                    <w:t>PM</w:t>
                  </w:r>
                  <w:r>
                    <w:rPr>
                      <w:color w:val="auto"/>
                      <w:sz w:val="21"/>
                      <w:highlight w:val="none"/>
                      <w:vertAlign w:val="subscript"/>
                    </w:rPr>
                    <w:t>10</w:t>
                  </w:r>
                </w:p>
              </w:tc>
              <w:tc>
                <w:tcPr>
                  <w:tcW w:w="1782" w:type="pct"/>
                  <w:tcBorders>
                    <w:tl2br w:val="nil"/>
                    <w:tr2bl w:val="nil"/>
                  </w:tcBorders>
                  <w:noWrap w:val="0"/>
                  <w:vAlign w:val="center"/>
                </w:tcPr>
                <w:p w14:paraId="79BEB6A7">
                  <w:pPr>
                    <w:spacing w:line="240" w:lineRule="auto"/>
                    <w:ind w:firstLine="0" w:firstLineChars="0"/>
                    <w:jc w:val="center"/>
                    <w:rPr>
                      <w:color w:val="auto"/>
                      <w:sz w:val="21"/>
                      <w:highlight w:val="none"/>
                    </w:rPr>
                  </w:pPr>
                  <w:r>
                    <w:rPr>
                      <w:color w:val="auto"/>
                      <w:sz w:val="21"/>
                      <w:highlight w:val="none"/>
                    </w:rPr>
                    <w:t>年平均</w:t>
                  </w:r>
                </w:p>
              </w:tc>
              <w:tc>
                <w:tcPr>
                  <w:tcW w:w="693" w:type="pct"/>
                  <w:tcBorders>
                    <w:tl2br w:val="nil"/>
                    <w:tr2bl w:val="nil"/>
                  </w:tcBorders>
                  <w:noWrap w:val="0"/>
                  <w:vAlign w:val="center"/>
                </w:tcPr>
                <w:p w14:paraId="100E7A07">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274</w:t>
                  </w:r>
                </w:p>
              </w:tc>
              <w:tc>
                <w:tcPr>
                  <w:tcW w:w="699" w:type="pct"/>
                  <w:tcBorders>
                    <w:tl2br w:val="nil"/>
                    <w:tr2bl w:val="nil"/>
                  </w:tcBorders>
                  <w:noWrap w:val="0"/>
                  <w:vAlign w:val="center"/>
                </w:tcPr>
                <w:p w14:paraId="3CBF7208">
                  <w:pPr>
                    <w:spacing w:line="240" w:lineRule="auto"/>
                    <w:ind w:firstLine="0" w:firstLineChars="0"/>
                    <w:jc w:val="center"/>
                    <w:rPr>
                      <w:color w:val="auto"/>
                      <w:sz w:val="21"/>
                      <w:highlight w:val="none"/>
                    </w:rPr>
                  </w:pPr>
                  <w:r>
                    <w:rPr>
                      <w:color w:val="auto"/>
                      <w:sz w:val="21"/>
                      <w:highlight w:val="none"/>
                    </w:rPr>
                    <w:t>70</w:t>
                  </w:r>
                </w:p>
              </w:tc>
              <w:tc>
                <w:tcPr>
                  <w:tcW w:w="674" w:type="pct"/>
                  <w:tcBorders>
                    <w:tl2br w:val="nil"/>
                    <w:tr2bl w:val="nil"/>
                  </w:tcBorders>
                  <w:noWrap w:val="0"/>
                  <w:vAlign w:val="center"/>
                </w:tcPr>
                <w:p w14:paraId="7AA735C4">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391.4</w:t>
                  </w:r>
                </w:p>
              </w:tc>
              <w:tc>
                <w:tcPr>
                  <w:tcW w:w="632" w:type="pct"/>
                  <w:tcBorders>
                    <w:tl2br w:val="nil"/>
                    <w:tr2bl w:val="nil"/>
                  </w:tcBorders>
                  <w:noWrap w:val="0"/>
                  <w:vAlign w:val="center"/>
                </w:tcPr>
                <w:p w14:paraId="34B39375">
                  <w:pPr>
                    <w:spacing w:line="240" w:lineRule="auto"/>
                    <w:ind w:firstLine="0" w:firstLineChars="0"/>
                    <w:jc w:val="center"/>
                    <w:rPr>
                      <w:color w:val="auto"/>
                      <w:sz w:val="21"/>
                      <w:highlight w:val="none"/>
                    </w:rPr>
                  </w:pPr>
                  <w:r>
                    <w:rPr>
                      <w:color w:val="auto"/>
                      <w:sz w:val="21"/>
                      <w:highlight w:val="none"/>
                    </w:rPr>
                    <w:t>超标</w:t>
                  </w:r>
                </w:p>
              </w:tc>
            </w:tr>
            <w:tr w14:paraId="17BFF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tcBorders>
                    <w:tl2br w:val="nil"/>
                    <w:tr2bl w:val="nil"/>
                  </w:tcBorders>
                  <w:noWrap w:val="0"/>
                  <w:vAlign w:val="center"/>
                </w:tcPr>
                <w:p w14:paraId="6E9EC56D">
                  <w:pPr>
                    <w:spacing w:line="240" w:lineRule="auto"/>
                    <w:ind w:firstLine="0" w:firstLineChars="0"/>
                    <w:jc w:val="center"/>
                    <w:rPr>
                      <w:color w:val="auto"/>
                      <w:sz w:val="21"/>
                      <w:highlight w:val="none"/>
                    </w:rPr>
                  </w:pPr>
                  <w:r>
                    <w:rPr>
                      <w:color w:val="auto"/>
                      <w:sz w:val="21"/>
                      <w:highlight w:val="none"/>
                    </w:rPr>
                    <w:t>PM</w:t>
                  </w:r>
                  <w:r>
                    <w:rPr>
                      <w:color w:val="auto"/>
                      <w:sz w:val="21"/>
                      <w:highlight w:val="none"/>
                      <w:vertAlign w:val="subscript"/>
                    </w:rPr>
                    <w:t>2.5</w:t>
                  </w:r>
                </w:p>
              </w:tc>
              <w:tc>
                <w:tcPr>
                  <w:tcW w:w="1782" w:type="pct"/>
                  <w:tcBorders>
                    <w:tl2br w:val="nil"/>
                    <w:tr2bl w:val="nil"/>
                  </w:tcBorders>
                  <w:noWrap w:val="0"/>
                  <w:vAlign w:val="center"/>
                </w:tcPr>
                <w:p w14:paraId="54670D8B">
                  <w:pPr>
                    <w:spacing w:line="240" w:lineRule="auto"/>
                    <w:ind w:firstLine="0" w:firstLineChars="0"/>
                    <w:jc w:val="center"/>
                    <w:rPr>
                      <w:color w:val="auto"/>
                      <w:sz w:val="21"/>
                      <w:highlight w:val="none"/>
                    </w:rPr>
                  </w:pPr>
                  <w:r>
                    <w:rPr>
                      <w:color w:val="auto"/>
                      <w:sz w:val="21"/>
                      <w:highlight w:val="none"/>
                    </w:rPr>
                    <w:t>年平均</w:t>
                  </w:r>
                </w:p>
              </w:tc>
              <w:tc>
                <w:tcPr>
                  <w:tcW w:w="693" w:type="pct"/>
                  <w:tcBorders>
                    <w:tl2br w:val="nil"/>
                    <w:tr2bl w:val="nil"/>
                  </w:tcBorders>
                  <w:noWrap w:val="0"/>
                  <w:vAlign w:val="center"/>
                </w:tcPr>
                <w:p w14:paraId="3070A65A">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91</w:t>
                  </w:r>
                </w:p>
              </w:tc>
              <w:tc>
                <w:tcPr>
                  <w:tcW w:w="699" w:type="pct"/>
                  <w:tcBorders>
                    <w:tl2br w:val="nil"/>
                    <w:tr2bl w:val="nil"/>
                  </w:tcBorders>
                  <w:noWrap w:val="0"/>
                  <w:vAlign w:val="center"/>
                </w:tcPr>
                <w:p w14:paraId="751FC553">
                  <w:pPr>
                    <w:spacing w:line="240" w:lineRule="auto"/>
                    <w:ind w:firstLine="0" w:firstLineChars="0"/>
                    <w:jc w:val="center"/>
                    <w:rPr>
                      <w:color w:val="auto"/>
                      <w:sz w:val="21"/>
                      <w:highlight w:val="none"/>
                    </w:rPr>
                  </w:pPr>
                  <w:r>
                    <w:rPr>
                      <w:color w:val="auto"/>
                      <w:sz w:val="21"/>
                      <w:highlight w:val="none"/>
                    </w:rPr>
                    <w:t>35</w:t>
                  </w:r>
                </w:p>
              </w:tc>
              <w:tc>
                <w:tcPr>
                  <w:tcW w:w="674" w:type="pct"/>
                  <w:tcBorders>
                    <w:tl2br w:val="nil"/>
                    <w:tr2bl w:val="nil"/>
                  </w:tcBorders>
                  <w:noWrap w:val="0"/>
                  <w:vAlign w:val="center"/>
                </w:tcPr>
                <w:p w14:paraId="5BE7DB81">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260</w:t>
                  </w:r>
                </w:p>
              </w:tc>
              <w:tc>
                <w:tcPr>
                  <w:tcW w:w="632" w:type="pct"/>
                  <w:tcBorders>
                    <w:tl2br w:val="nil"/>
                    <w:tr2bl w:val="nil"/>
                  </w:tcBorders>
                  <w:noWrap w:val="0"/>
                  <w:vAlign w:val="center"/>
                </w:tcPr>
                <w:p w14:paraId="3FFEA030">
                  <w:pPr>
                    <w:spacing w:line="240" w:lineRule="auto"/>
                    <w:ind w:firstLine="0" w:firstLineChars="0"/>
                    <w:jc w:val="center"/>
                    <w:rPr>
                      <w:color w:val="auto"/>
                      <w:sz w:val="21"/>
                      <w:highlight w:val="none"/>
                    </w:rPr>
                  </w:pPr>
                  <w:r>
                    <w:rPr>
                      <w:color w:val="auto"/>
                      <w:sz w:val="21"/>
                      <w:highlight w:val="none"/>
                    </w:rPr>
                    <w:t>超标</w:t>
                  </w:r>
                </w:p>
              </w:tc>
            </w:tr>
          </w:tbl>
          <w:p w14:paraId="3EE9067A">
            <w:pPr>
              <w:pageBreakBefore w:val="0"/>
              <w:widowControl w:val="0"/>
              <w:kinsoku/>
              <w:wordWrap/>
              <w:overflowPunct/>
              <w:topLinePunct w:val="0"/>
              <w:autoSpaceDE/>
              <w:autoSpaceDN/>
              <w:bidi w:val="0"/>
              <w:spacing w:line="360" w:lineRule="auto"/>
              <w:ind w:firstLine="480" w:firstLineChars="200"/>
              <w:textAlignment w:val="auto"/>
              <w:rPr>
                <w:kern w:val="0"/>
                <w:highlight w:val="none"/>
              </w:rPr>
            </w:pPr>
            <w:r>
              <w:rPr>
                <w:rFonts w:hint="eastAsia" w:ascii="Times New Roman" w:hAnsi="Times New Roman" w:cs="Times New Roman"/>
                <w:b w:val="0"/>
                <w:bCs w:val="0"/>
                <w:color w:val="auto"/>
                <w:sz w:val="24"/>
                <w:highlight w:val="none"/>
                <w:lang w:val="en-US" w:eastAsia="zh-CN"/>
              </w:rPr>
              <w:t>2024</w:t>
            </w:r>
            <w:r>
              <w:rPr>
                <w:rFonts w:hint="default" w:ascii="Times New Roman" w:hAnsi="Times New Roman" w:eastAsia="宋体" w:cs="Times New Roman"/>
                <w:b w:val="0"/>
                <w:bCs w:val="0"/>
                <w:color w:val="auto"/>
                <w:sz w:val="24"/>
                <w:highlight w:val="none"/>
                <w:lang w:val="en-US" w:eastAsia="zh-CN"/>
              </w:rPr>
              <w:t>年，项目所在区域SO</w:t>
            </w:r>
            <w:r>
              <w:rPr>
                <w:rFonts w:hint="eastAsia" w:ascii="Times New Roman" w:hAnsi="Times New Roman"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、NO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年平均，CO第95百分位数24h平均，O</w:t>
            </w:r>
            <w:r>
              <w:rPr>
                <w:rFonts w:hint="default" w:ascii="Times New Roman" w:hAnsi="Times New Roman" w:eastAsia="宋体" w:cs="Times New Roman"/>
                <w:b w:val="0"/>
                <w:bCs w:val="0"/>
                <w:color w:val="auto"/>
                <w:sz w:val="24"/>
                <w:highlight w:val="none"/>
                <w:vertAlign w:val="subscript"/>
                <w:lang w:val="en-US" w:eastAsia="zh-CN"/>
              </w:rPr>
              <w:t>3</w:t>
            </w:r>
            <w:r>
              <w:rPr>
                <w:rFonts w:hint="default" w:ascii="Times New Roman" w:hAnsi="Times New Roman" w:eastAsia="宋体" w:cs="Times New Roman"/>
                <w:b w:val="0"/>
                <w:bCs w:val="0"/>
                <w:color w:val="auto"/>
                <w:sz w:val="24"/>
                <w:highlight w:val="none"/>
                <w:lang w:val="en-US" w:eastAsia="zh-CN"/>
              </w:rPr>
              <w:t>第90百分位数日最大8小时平均浓度均满足《环境空气质量标准》（GB3095-2012）及修改单的二级标准要求；PM</w:t>
            </w:r>
            <w:r>
              <w:rPr>
                <w:rFonts w:hint="default" w:ascii="Times New Roman" w:hAnsi="Times New Roman" w:eastAsia="宋体" w:cs="Times New Roman"/>
                <w:b w:val="0"/>
                <w:bCs w:val="0"/>
                <w:color w:val="auto"/>
                <w:sz w:val="24"/>
                <w:highlight w:val="none"/>
                <w:vertAlign w:val="subscript"/>
                <w:lang w:val="en-US" w:eastAsia="zh-CN"/>
              </w:rPr>
              <w:t>10</w:t>
            </w:r>
            <w:r>
              <w:rPr>
                <w:rFonts w:hint="default" w:ascii="Times New Roman" w:hAnsi="Times New Roman" w:eastAsia="宋体" w:cs="Times New Roman"/>
                <w:b w:val="0"/>
                <w:bCs w:val="0"/>
                <w:color w:val="auto"/>
                <w:sz w:val="24"/>
                <w:highlight w:val="none"/>
                <w:lang w:val="en-US" w:eastAsia="zh-CN"/>
              </w:rPr>
              <w:t>、PM</w:t>
            </w:r>
            <w:r>
              <w:rPr>
                <w:rFonts w:hint="default" w:ascii="Times New Roman" w:hAnsi="Times New Roman" w:eastAsia="宋体" w:cs="Times New Roman"/>
                <w:b w:val="0"/>
                <w:bCs w:val="0"/>
                <w:color w:val="auto"/>
                <w:sz w:val="24"/>
                <w:highlight w:val="none"/>
                <w:vertAlign w:val="subscript"/>
                <w:lang w:val="en-US" w:eastAsia="zh-CN"/>
              </w:rPr>
              <w:t>2.5</w:t>
            </w:r>
            <w:r>
              <w:rPr>
                <w:rFonts w:hint="default" w:ascii="Times New Roman" w:hAnsi="Times New Roman" w:eastAsia="宋体" w:cs="Times New Roman"/>
                <w:b w:val="0"/>
                <w:bCs w:val="0"/>
                <w:color w:val="auto"/>
                <w:sz w:val="24"/>
                <w:highlight w:val="none"/>
                <w:lang w:val="en-US" w:eastAsia="zh-CN"/>
              </w:rPr>
              <w:t>年均值均超过《环境空气质量标准》（GB3095-2012）及修改单的二级标准，</w:t>
            </w:r>
            <w:r>
              <w:rPr>
                <w:rFonts w:hint="default" w:ascii="Times New Roman" w:hAnsi="Times New Roman" w:cs="Times New Roman"/>
                <w:color w:val="auto"/>
                <w:szCs w:val="24"/>
                <w:highlight w:val="none"/>
              </w:rPr>
              <w:t>由此判断，所在区域为</w:t>
            </w:r>
            <w:r>
              <w:rPr>
                <w:rFonts w:hint="eastAsia" w:ascii="Times New Roman" w:hAnsi="Times New Roman" w:cs="Times New Roman"/>
                <w:color w:val="auto"/>
                <w:szCs w:val="24"/>
                <w:highlight w:val="none"/>
                <w:lang w:val="en-US" w:eastAsia="zh-CN"/>
              </w:rPr>
              <w:t>不</w:t>
            </w:r>
            <w:r>
              <w:rPr>
                <w:rFonts w:hint="default" w:ascii="Times New Roman" w:hAnsi="Times New Roman" w:cs="Times New Roman"/>
                <w:color w:val="auto"/>
                <w:szCs w:val="24"/>
                <w:highlight w:val="none"/>
              </w:rPr>
              <w:t>达标区域。PM</w:t>
            </w:r>
            <w:r>
              <w:rPr>
                <w:rFonts w:hint="default" w:ascii="Times New Roman" w:hAnsi="Times New Roman" w:cs="Times New Roman"/>
                <w:color w:val="auto"/>
                <w:szCs w:val="24"/>
                <w:highlight w:val="none"/>
                <w:vertAlign w:val="subscript"/>
              </w:rPr>
              <w:t>10</w:t>
            </w:r>
            <w:r>
              <w:rPr>
                <w:rFonts w:hint="default" w:ascii="Times New Roman" w:hAnsi="Times New Roman" w:cs="Times New Roman"/>
                <w:color w:val="auto"/>
                <w:szCs w:val="24"/>
                <w:highlight w:val="none"/>
              </w:rPr>
              <w:t>、PM</w:t>
            </w:r>
            <w:r>
              <w:rPr>
                <w:rFonts w:hint="default" w:ascii="Times New Roman" w:hAnsi="Times New Roman" w:cs="Times New Roman"/>
                <w:color w:val="auto"/>
                <w:szCs w:val="24"/>
                <w:highlight w:val="none"/>
                <w:vertAlign w:val="subscript"/>
              </w:rPr>
              <w:t>2.5</w:t>
            </w:r>
            <w:r>
              <w:rPr>
                <w:rFonts w:hint="default" w:ascii="Times New Roman" w:hAnsi="Times New Roman" w:cs="Times New Roman"/>
                <w:color w:val="auto"/>
                <w:szCs w:val="24"/>
                <w:highlight w:val="none"/>
              </w:rPr>
              <w:t>超标主要为</w:t>
            </w:r>
            <w:r>
              <w:rPr>
                <w:rFonts w:hint="eastAsia" w:ascii="Times New Roman" w:hAnsi="Times New Roman" w:cs="Times New Roman"/>
                <w:color w:val="auto"/>
                <w:szCs w:val="24"/>
                <w:highlight w:val="none"/>
                <w:lang w:val="en-US" w:eastAsia="zh-CN"/>
              </w:rPr>
              <w:t>若羌县气候</w:t>
            </w:r>
            <w:r>
              <w:rPr>
                <w:rFonts w:hint="default" w:ascii="Times New Roman" w:hAnsi="Times New Roman" w:cs="Times New Roman"/>
                <w:color w:val="auto"/>
                <w:szCs w:val="24"/>
                <w:highlight w:val="none"/>
              </w:rPr>
              <w:t>干旱、少雨、风沙较大等原因造成。</w:t>
            </w:r>
          </w:p>
          <w:p w14:paraId="13C5730A">
            <w:pPr>
              <w:pStyle w:val="3"/>
              <w:rPr>
                <w:highlight w:val="none"/>
              </w:rPr>
            </w:pPr>
            <w:r>
              <w:rPr>
                <w:rFonts w:hint="eastAsia" w:ascii="Times New Roman" w:hAnsi="Times New Roman" w:cs="Times New Roman"/>
                <w:highlight w:val="none"/>
              </w:rPr>
              <w:t>1.2</w:t>
            </w:r>
            <w:r>
              <w:rPr>
                <w:rFonts w:hint="eastAsia"/>
                <w:highlight w:val="none"/>
              </w:rPr>
              <w:t>特征污染物质量现状评价</w:t>
            </w:r>
          </w:p>
          <w:p w14:paraId="18DAFBD6">
            <w:pPr>
              <w:ind w:firstLine="480"/>
              <w:rPr>
                <w:rFonts w:hint="default" w:eastAsia="宋体"/>
                <w:color w:val="auto"/>
                <w:highlight w:val="none"/>
                <w:lang w:val="en-US" w:eastAsia="zh-CN"/>
              </w:rPr>
            </w:pPr>
            <w:r>
              <w:rPr>
                <w:rFonts w:hint="eastAsia"/>
                <w:color w:val="auto"/>
                <w:highlight w:val="none"/>
              </w:rPr>
              <w:t>（1）</w:t>
            </w:r>
            <w:r>
              <w:rPr>
                <w:rFonts w:hint="eastAsia"/>
                <w:color w:val="auto"/>
                <w:highlight w:val="none"/>
                <w:lang w:val="en-US" w:eastAsia="zh-CN"/>
              </w:rPr>
              <w:t>监测布点</w:t>
            </w:r>
          </w:p>
          <w:p w14:paraId="13A11C59">
            <w:pPr>
              <w:ind w:firstLine="480"/>
              <w:rPr>
                <w:color w:val="558ED5" w:themeColor="text2" w:themeTint="99"/>
                <w:kern w:val="0"/>
                <w:highlight w:val="none"/>
                <w14:textFill>
                  <w14:solidFill>
                    <w14:schemeClr w14:val="tx2">
                      <w14:lumMod w14:val="60000"/>
                      <w14:lumOff w14:val="40000"/>
                    </w14:schemeClr>
                  </w14:solidFill>
                </w14:textFill>
              </w:rPr>
            </w:pPr>
            <w:r>
              <w:rPr>
                <w:rFonts w:hint="eastAsia"/>
                <w:color w:val="auto"/>
                <w:kern w:val="0"/>
                <w:highlight w:val="none"/>
              </w:rPr>
              <w:t>大气环境现状监测依据《建设项目环境影响报告表编制技术指南（污染影响类）（试行）》中监测点设置要求，结合评价区域的地形特征、环境空气保护目标和区域环境特征进行布点，同时兼顾厂址主导风向，当季主导风向下风向1个点位补充不少于3天的监测数据。本次TSP现状监测数据委托</w:t>
            </w:r>
            <w:r>
              <w:rPr>
                <w:rFonts w:hint="eastAsia"/>
                <w:color w:val="auto"/>
                <w:kern w:val="0"/>
                <w:highlight w:val="none"/>
                <w:lang w:val="en-US" w:eastAsia="zh-CN"/>
              </w:rPr>
              <w:t>新疆天普志诚检测有限公司</w:t>
            </w:r>
            <w:r>
              <w:rPr>
                <w:rFonts w:hint="eastAsia"/>
                <w:color w:val="auto"/>
                <w:kern w:val="0"/>
                <w:highlight w:val="none"/>
              </w:rPr>
              <w:t>于2024年12月</w:t>
            </w:r>
            <w:r>
              <w:rPr>
                <w:rFonts w:hint="eastAsia"/>
                <w:color w:val="auto"/>
                <w:kern w:val="0"/>
                <w:highlight w:val="none"/>
                <w:lang w:val="en-US" w:eastAsia="zh-CN"/>
              </w:rPr>
              <w:t>27</w:t>
            </w:r>
            <w:r>
              <w:rPr>
                <w:rFonts w:hint="eastAsia"/>
                <w:color w:val="auto"/>
                <w:kern w:val="0"/>
                <w:highlight w:val="none"/>
              </w:rPr>
              <w:t>日至12月</w:t>
            </w:r>
            <w:r>
              <w:rPr>
                <w:rFonts w:hint="eastAsia"/>
                <w:color w:val="auto"/>
                <w:kern w:val="0"/>
                <w:highlight w:val="none"/>
                <w:lang w:val="en-US" w:eastAsia="zh-CN"/>
              </w:rPr>
              <w:t>3</w:t>
            </w:r>
            <w:r>
              <w:rPr>
                <w:rFonts w:hint="eastAsia"/>
                <w:color w:val="auto"/>
                <w:kern w:val="0"/>
                <w:highlight w:val="none"/>
              </w:rPr>
              <w:t>0日连续3日对新疆科瑞新材料有限公司一般工业固体废弃物综合利用项目1#点位（E:8</w:t>
            </w:r>
            <w:r>
              <w:rPr>
                <w:rFonts w:hint="eastAsia"/>
                <w:color w:val="auto"/>
                <w:kern w:val="0"/>
                <w:highlight w:val="none"/>
                <w:lang w:val="en-US" w:eastAsia="zh-CN"/>
              </w:rPr>
              <w:t>8</w:t>
            </w:r>
            <w:r>
              <w:rPr>
                <w:rFonts w:hint="default" w:ascii="Times New Roman" w:hAnsi="Times New Roman" w:cs="Times New Roman"/>
                <w:color w:val="auto"/>
                <w:kern w:val="0"/>
                <w:highlight w:val="none"/>
              </w:rPr>
              <w:t>°</w:t>
            </w:r>
            <w:r>
              <w:rPr>
                <w:rFonts w:hint="eastAsia"/>
                <w:color w:val="auto"/>
                <w:kern w:val="0"/>
                <w:highlight w:val="none"/>
                <w:lang w:val="en-US" w:eastAsia="zh-CN"/>
              </w:rPr>
              <w:t>15</w:t>
            </w:r>
            <w:r>
              <w:rPr>
                <w:rFonts w:hint="default" w:ascii="Times New Roman" w:hAnsi="Times New Roman" w:cs="Times New Roman"/>
                <w:color w:val="auto"/>
                <w:kern w:val="0"/>
                <w:highlight w:val="none"/>
              </w:rPr>
              <w:t>′</w:t>
            </w:r>
            <w:r>
              <w:rPr>
                <w:rFonts w:hint="eastAsia" w:ascii="Times New Roman" w:hAnsi="Times New Roman" w:cs="Times New Roman"/>
                <w:color w:val="auto"/>
                <w:kern w:val="0"/>
                <w:highlight w:val="none"/>
                <w:lang w:val="en-US" w:eastAsia="zh-CN"/>
              </w:rPr>
              <w:t>37.1151</w:t>
            </w:r>
            <w:r>
              <w:rPr>
                <w:rFonts w:hint="eastAsia"/>
                <w:color w:val="auto"/>
                <w:kern w:val="0"/>
                <w:highlight w:val="none"/>
              </w:rPr>
              <w:t>"，N：3</w:t>
            </w:r>
            <w:r>
              <w:rPr>
                <w:rFonts w:hint="eastAsia"/>
                <w:color w:val="auto"/>
                <w:kern w:val="0"/>
                <w:highlight w:val="none"/>
                <w:lang w:val="en-US" w:eastAsia="zh-CN"/>
              </w:rPr>
              <w:t>8</w:t>
            </w:r>
            <w:r>
              <w:rPr>
                <w:rFonts w:hint="default" w:ascii="Times New Roman" w:hAnsi="Times New Roman" w:cs="Times New Roman"/>
                <w:color w:val="auto"/>
                <w:kern w:val="0"/>
                <w:highlight w:val="none"/>
              </w:rPr>
              <w:t>°</w:t>
            </w:r>
            <w:r>
              <w:rPr>
                <w:rFonts w:hint="eastAsia"/>
                <w:color w:val="auto"/>
                <w:kern w:val="0"/>
                <w:highlight w:val="none"/>
                <w:lang w:val="en-US" w:eastAsia="zh-CN"/>
              </w:rPr>
              <w:t>49</w:t>
            </w:r>
            <w:r>
              <w:rPr>
                <w:rFonts w:hint="default" w:ascii="Times New Roman" w:hAnsi="Times New Roman" w:cs="Times New Roman"/>
                <w:color w:val="auto"/>
                <w:kern w:val="0"/>
                <w:highlight w:val="none"/>
              </w:rPr>
              <w:t>′</w:t>
            </w:r>
            <w:r>
              <w:rPr>
                <w:rFonts w:hint="eastAsia"/>
                <w:color w:val="auto"/>
                <w:kern w:val="0"/>
                <w:highlight w:val="none"/>
                <w:lang w:val="en-US" w:eastAsia="zh-CN"/>
              </w:rPr>
              <w:t>53.1856</w:t>
            </w:r>
            <w:r>
              <w:rPr>
                <w:rFonts w:hint="eastAsia"/>
                <w:color w:val="auto"/>
                <w:kern w:val="0"/>
                <w:highlight w:val="none"/>
              </w:rPr>
              <w:t>"）所在区域污染物环境质量进行监测的数据。</w:t>
            </w:r>
          </w:p>
          <w:p w14:paraId="26C932D0">
            <w:pPr>
              <w:widowControl/>
              <w:spacing w:line="240" w:lineRule="auto"/>
              <w:ind w:firstLine="0" w:firstLineChars="0"/>
              <w:jc w:val="center"/>
              <w:rPr>
                <w:rFonts w:ascii="宋体" w:hAnsi="宋体" w:eastAsia="Times New Roman"/>
                <w:b/>
                <w:bCs/>
                <w:sz w:val="21"/>
                <w:szCs w:val="21"/>
                <w:highlight w:val="none"/>
              </w:rPr>
            </w:pPr>
            <w:r>
              <w:rPr>
                <w:rFonts w:ascii="宋体" w:hAnsi="宋体" w:eastAsia="Times New Roman"/>
                <w:b/>
                <w:bCs/>
                <w:sz w:val="21"/>
                <w:szCs w:val="21"/>
                <w:highlight w:val="none"/>
              </w:rPr>
              <w:t>表</w:t>
            </w:r>
            <w:r>
              <w:rPr>
                <w:rFonts w:hint="default" w:ascii="Times New Roman" w:hAnsi="Times New Roman" w:eastAsia="Times New Roman" w:cs="Times New Roman"/>
                <w:b/>
                <w:bCs/>
                <w:sz w:val="21"/>
                <w:szCs w:val="21"/>
                <w:highlight w:val="none"/>
              </w:rPr>
              <w:t>3-</w:t>
            </w:r>
            <w:r>
              <w:rPr>
                <w:rFonts w:hint="default" w:ascii="Times New Roman" w:hAnsi="Times New Roman" w:cs="Times New Roman"/>
                <w:b/>
                <w:bCs/>
                <w:sz w:val="21"/>
                <w:szCs w:val="21"/>
                <w:highlight w:val="none"/>
                <w:lang w:val="en-US" w:eastAsia="zh-CN"/>
              </w:rPr>
              <w:t>1</w:t>
            </w:r>
            <w:r>
              <w:rPr>
                <w:rFonts w:ascii="宋体" w:hAnsi="宋体" w:eastAsia="Times New Roman"/>
                <w:b/>
                <w:bCs/>
                <w:sz w:val="21"/>
                <w:szCs w:val="21"/>
                <w:highlight w:val="none"/>
              </w:rPr>
              <w:t xml:space="preserve">   </w:t>
            </w:r>
            <w:r>
              <w:rPr>
                <w:rFonts w:hint="eastAsia" w:ascii="宋体" w:hAnsi="宋体" w:eastAsia="Times New Roman"/>
                <w:b/>
                <w:bCs/>
                <w:sz w:val="21"/>
                <w:szCs w:val="21"/>
                <w:highlight w:val="none"/>
              </w:rPr>
              <w:t>其他污染物补充监测点位基本信息表</w:t>
            </w:r>
          </w:p>
          <w:tbl>
            <w:tblPr>
              <w:tblStyle w:val="30"/>
              <w:tblW w:w="5000" w:type="pct"/>
              <w:jc w:val="center"/>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682"/>
              <w:gridCol w:w="1316"/>
              <w:gridCol w:w="990"/>
              <w:gridCol w:w="1310"/>
              <w:gridCol w:w="1791"/>
            </w:tblGrid>
            <w:tr w14:paraId="74197376">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49" w:type="pct"/>
                  <w:vAlign w:val="center"/>
                </w:tcPr>
                <w:p w14:paraId="0FAF1D0C">
                  <w:pPr>
                    <w:autoSpaceDE w:val="0"/>
                    <w:autoSpaceDN w:val="0"/>
                    <w:spacing w:line="240" w:lineRule="auto"/>
                    <w:ind w:firstLine="0" w:firstLineChars="0"/>
                    <w:jc w:val="center"/>
                    <w:textAlignment w:val="bottom"/>
                    <w:rPr>
                      <w:bCs/>
                      <w:color w:val="000000"/>
                      <w:sz w:val="21"/>
                      <w:szCs w:val="21"/>
                      <w:highlight w:val="none"/>
                    </w:rPr>
                  </w:pPr>
                  <w:r>
                    <w:rPr>
                      <w:bCs/>
                      <w:color w:val="000000"/>
                      <w:sz w:val="21"/>
                      <w:szCs w:val="21"/>
                      <w:highlight w:val="none"/>
                    </w:rPr>
                    <w:t>监测点位名称</w:t>
                  </w:r>
                </w:p>
              </w:tc>
              <w:tc>
                <w:tcPr>
                  <w:tcW w:w="1056" w:type="pct"/>
                  <w:vAlign w:val="center"/>
                </w:tcPr>
                <w:p w14:paraId="4BFA13C6">
                  <w:pPr>
                    <w:autoSpaceDE w:val="0"/>
                    <w:autoSpaceDN w:val="0"/>
                    <w:spacing w:line="240" w:lineRule="auto"/>
                    <w:ind w:firstLine="0" w:firstLineChars="0"/>
                    <w:jc w:val="center"/>
                    <w:textAlignment w:val="bottom"/>
                    <w:rPr>
                      <w:sz w:val="21"/>
                      <w:szCs w:val="21"/>
                      <w:highlight w:val="none"/>
                    </w:rPr>
                  </w:pPr>
                  <w:r>
                    <w:rPr>
                      <w:sz w:val="21"/>
                      <w:szCs w:val="21"/>
                      <w:highlight w:val="none"/>
                    </w:rPr>
                    <w:t>监测因子</w:t>
                  </w:r>
                </w:p>
              </w:tc>
              <w:tc>
                <w:tcPr>
                  <w:tcW w:w="826" w:type="pct"/>
                  <w:vAlign w:val="center"/>
                </w:tcPr>
                <w:p w14:paraId="5B01CD6D">
                  <w:pPr>
                    <w:autoSpaceDE w:val="0"/>
                    <w:autoSpaceDN w:val="0"/>
                    <w:spacing w:line="240" w:lineRule="auto"/>
                    <w:ind w:firstLine="0" w:firstLineChars="0"/>
                    <w:jc w:val="center"/>
                    <w:textAlignment w:val="bottom"/>
                    <w:rPr>
                      <w:sz w:val="21"/>
                      <w:szCs w:val="21"/>
                      <w:highlight w:val="none"/>
                    </w:rPr>
                  </w:pPr>
                  <w:r>
                    <w:rPr>
                      <w:sz w:val="21"/>
                      <w:szCs w:val="21"/>
                      <w:highlight w:val="none"/>
                    </w:rPr>
                    <w:t>监测时段</w:t>
                  </w:r>
                </w:p>
              </w:tc>
              <w:tc>
                <w:tcPr>
                  <w:tcW w:w="621" w:type="pct"/>
                  <w:vAlign w:val="center"/>
                </w:tcPr>
                <w:p w14:paraId="53D57888">
                  <w:pPr>
                    <w:autoSpaceDE w:val="0"/>
                    <w:autoSpaceDN w:val="0"/>
                    <w:spacing w:line="240" w:lineRule="auto"/>
                    <w:ind w:firstLine="0" w:firstLineChars="0"/>
                    <w:jc w:val="center"/>
                    <w:textAlignment w:val="bottom"/>
                    <w:rPr>
                      <w:sz w:val="21"/>
                      <w:szCs w:val="21"/>
                      <w:highlight w:val="none"/>
                    </w:rPr>
                  </w:pPr>
                  <w:r>
                    <w:rPr>
                      <w:sz w:val="21"/>
                      <w:szCs w:val="21"/>
                      <w:highlight w:val="none"/>
                    </w:rPr>
                    <w:t>相对方位</w:t>
                  </w:r>
                </w:p>
              </w:tc>
              <w:tc>
                <w:tcPr>
                  <w:tcW w:w="822" w:type="pct"/>
                  <w:vAlign w:val="center"/>
                </w:tcPr>
                <w:p w14:paraId="19F3CF98">
                  <w:pPr>
                    <w:autoSpaceDE w:val="0"/>
                    <w:autoSpaceDN w:val="0"/>
                    <w:spacing w:line="240" w:lineRule="auto"/>
                    <w:ind w:firstLine="0" w:firstLineChars="0"/>
                    <w:jc w:val="center"/>
                    <w:textAlignment w:val="bottom"/>
                    <w:rPr>
                      <w:sz w:val="21"/>
                      <w:szCs w:val="21"/>
                      <w:highlight w:val="none"/>
                    </w:rPr>
                  </w:pPr>
                  <w:r>
                    <w:rPr>
                      <w:rFonts w:hint="eastAsia"/>
                      <w:sz w:val="21"/>
                      <w:szCs w:val="21"/>
                      <w:highlight w:val="none"/>
                    </w:rPr>
                    <w:t>相对距离/m</w:t>
                  </w:r>
                </w:p>
              </w:tc>
              <w:tc>
                <w:tcPr>
                  <w:tcW w:w="1124" w:type="pct"/>
                  <w:vAlign w:val="center"/>
                </w:tcPr>
                <w:p w14:paraId="1E7E7349">
                  <w:pPr>
                    <w:autoSpaceDE w:val="0"/>
                    <w:autoSpaceDN w:val="0"/>
                    <w:spacing w:line="240" w:lineRule="auto"/>
                    <w:ind w:firstLine="0" w:firstLineChars="0"/>
                    <w:jc w:val="center"/>
                    <w:textAlignment w:val="bottom"/>
                    <w:rPr>
                      <w:sz w:val="21"/>
                      <w:szCs w:val="21"/>
                      <w:highlight w:val="none"/>
                    </w:rPr>
                  </w:pPr>
                  <w:r>
                    <w:rPr>
                      <w:sz w:val="21"/>
                      <w:szCs w:val="21"/>
                      <w:highlight w:val="none"/>
                    </w:rPr>
                    <w:t>数据来源</w:t>
                  </w:r>
                </w:p>
              </w:tc>
            </w:tr>
            <w:tr w14:paraId="340E45FA">
              <w:tblPrEx>
                <w:tblBorders>
                  <w:top w:val="single" w:color="auto" w:sz="4"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49" w:type="pct"/>
                  <w:vAlign w:val="center"/>
                </w:tcPr>
                <w:p w14:paraId="0F6F5BB3">
                  <w:pPr>
                    <w:autoSpaceDE w:val="0"/>
                    <w:autoSpaceDN w:val="0"/>
                    <w:spacing w:line="240" w:lineRule="auto"/>
                    <w:ind w:firstLine="0" w:firstLineChars="0"/>
                    <w:jc w:val="center"/>
                    <w:textAlignment w:val="bottom"/>
                    <w:rPr>
                      <w:bCs/>
                      <w:color w:val="000000"/>
                      <w:sz w:val="21"/>
                      <w:szCs w:val="21"/>
                      <w:highlight w:val="none"/>
                    </w:rPr>
                  </w:pPr>
                  <w:r>
                    <w:rPr>
                      <w:color w:val="000000" w:themeColor="text1"/>
                      <w:sz w:val="21"/>
                      <w:szCs w:val="21"/>
                      <w:highlight w:val="none"/>
                      <w14:textFill>
                        <w14:solidFill>
                          <w14:schemeClr w14:val="tx1"/>
                        </w14:solidFill>
                      </w14:textFill>
                    </w:rPr>
                    <w:t>1#监测点</w:t>
                  </w:r>
                </w:p>
              </w:tc>
              <w:tc>
                <w:tcPr>
                  <w:tcW w:w="1056" w:type="pct"/>
                  <w:vAlign w:val="center"/>
                </w:tcPr>
                <w:p w14:paraId="0F22D15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bCs/>
                      <w:color w:val="FF0000"/>
                      <w:sz w:val="21"/>
                      <w:szCs w:val="21"/>
                      <w:highlight w:val="none"/>
                    </w:rPr>
                  </w:pPr>
                  <w:r>
                    <w:rPr>
                      <w:bCs/>
                      <w:color w:val="000000" w:themeColor="text1"/>
                      <w:sz w:val="21"/>
                      <w:szCs w:val="21"/>
                      <w:highlight w:val="none"/>
                      <w14:textFill>
                        <w14:solidFill>
                          <w14:schemeClr w14:val="tx1"/>
                        </w14:solidFill>
                      </w14:textFill>
                    </w:rPr>
                    <w:t>TSP</w:t>
                  </w:r>
                </w:p>
              </w:tc>
              <w:tc>
                <w:tcPr>
                  <w:tcW w:w="826" w:type="pct"/>
                  <w:vAlign w:val="center"/>
                </w:tcPr>
                <w:p w14:paraId="519537D4">
                  <w:pPr>
                    <w:autoSpaceDE w:val="0"/>
                    <w:autoSpaceDN w:val="0"/>
                    <w:spacing w:line="240" w:lineRule="auto"/>
                    <w:ind w:firstLine="0" w:firstLineChars="0"/>
                    <w:jc w:val="center"/>
                    <w:textAlignment w:val="bottom"/>
                    <w:rPr>
                      <w:rFonts w:hint="eastAsia"/>
                      <w:sz w:val="21"/>
                      <w:szCs w:val="21"/>
                      <w:highlight w:val="none"/>
                      <w:lang w:val="en-US" w:eastAsia="zh-CN"/>
                    </w:rPr>
                  </w:pPr>
                  <w:r>
                    <w:rPr>
                      <w:sz w:val="21"/>
                      <w:szCs w:val="21"/>
                      <w:highlight w:val="none"/>
                    </w:rPr>
                    <w:t>00:00-24:00</w:t>
                  </w:r>
                </w:p>
              </w:tc>
              <w:tc>
                <w:tcPr>
                  <w:tcW w:w="621" w:type="pct"/>
                  <w:vAlign w:val="center"/>
                </w:tcPr>
                <w:p w14:paraId="45C6BC78">
                  <w:pPr>
                    <w:autoSpaceDE w:val="0"/>
                    <w:autoSpaceDN w:val="0"/>
                    <w:spacing w:line="240" w:lineRule="auto"/>
                    <w:ind w:firstLine="0" w:firstLineChars="0"/>
                    <w:jc w:val="center"/>
                    <w:textAlignment w:val="bottom"/>
                    <w:rPr>
                      <w:rFonts w:hint="default"/>
                      <w:sz w:val="21"/>
                      <w:szCs w:val="21"/>
                      <w:highlight w:val="none"/>
                      <w:lang w:val="en-US" w:eastAsia="zh-CN"/>
                    </w:rPr>
                  </w:pPr>
                  <w:r>
                    <w:rPr>
                      <w:rFonts w:hint="eastAsia"/>
                      <w:sz w:val="21"/>
                      <w:szCs w:val="21"/>
                      <w:highlight w:val="none"/>
                      <w:lang w:val="en-US" w:eastAsia="zh-CN"/>
                    </w:rPr>
                    <w:t>西南</w:t>
                  </w:r>
                </w:p>
              </w:tc>
              <w:tc>
                <w:tcPr>
                  <w:tcW w:w="822" w:type="pct"/>
                  <w:vAlign w:val="center"/>
                </w:tcPr>
                <w:p w14:paraId="39417174">
                  <w:pPr>
                    <w:autoSpaceDE w:val="0"/>
                    <w:autoSpaceDN w:val="0"/>
                    <w:spacing w:line="240" w:lineRule="auto"/>
                    <w:ind w:firstLine="0" w:firstLineChars="0"/>
                    <w:jc w:val="center"/>
                    <w:textAlignment w:val="bottom"/>
                    <w:rPr>
                      <w:rFonts w:hint="default"/>
                      <w:bCs/>
                      <w:color w:val="000000"/>
                      <w:sz w:val="21"/>
                      <w:szCs w:val="21"/>
                      <w:highlight w:val="none"/>
                      <w:lang w:val="en-US" w:eastAsia="zh-CN"/>
                    </w:rPr>
                  </w:pPr>
                  <w:r>
                    <w:rPr>
                      <w:rFonts w:hint="eastAsia"/>
                      <w:bCs/>
                      <w:color w:val="000000"/>
                      <w:sz w:val="21"/>
                      <w:szCs w:val="21"/>
                      <w:highlight w:val="none"/>
                      <w:lang w:val="en-US" w:eastAsia="zh-CN"/>
                    </w:rPr>
                    <w:t>50</w:t>
                  </w:r>
                </w:p>
              </w:tc>
              <w:tc>
                <w:tcPr>
                  <w:tcW w:w="1124" w:type="pct"/>
                  <w:vAlign w:val="center"/>
                </w:tcPr>
                <w:p w14:paraId="78DC3C9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bCs/>
                      <w:color w:val="000000"/>
                      <w:sz w:val="21"/>
                      <w:szCs w:val="21"/>
                      <w:highlight w:val="none"/>
                      <w:lang w:val="en-US" w:eastAsia="zh-CN"/>
                    </w:rPr>
                  </w:pPr>
                  <w:r>
                    <w:rPr>
                      <w:bCs/>
                      <w:color w:val="000000" w:themeColor="text1"/>
                      <w:sz w:val="21"/>
                      <w:szCs w:val="21"/>
                      <w:highlight w:val="none"/>
                      <w14:textFill>
                        <w14:solidFill>
                          <w14:schemeClr w14:val="tx1"/>
                        </w14:solidFill>
                      </w14:textFill>
                    </w:rPr>
                    <w:t>委托监测</w:t>
                  </w:r>
                </w:p>
              </w:tc>
            </w:tr>
          </w:tbl>
          <w:p w14:paraId="229F53E0">
            <w:pPr>
              <w:ind w:firstLine="480"/>
              <w:rPr>
                <w:highlight w:val="none"/>
              </w:rPr>
            </w:pPr>
            <w:r>
              <w:rPr>
                <w:highlight w:val="none"/>
              </w:rPr>
              <w:t>（</w:t>
            </w:r>
            <w:r>
              <w:rPr>
                <w:rFonts w:hint="eastAsia"/>
                <w:highlight w:val="none"/>
              </w:rPr>
              <w:t>2</w:t>
            </w:r>
            <w:r>
              <w:rPr>
                <w:highlight w:val="none"/>
              </w:rPr>
              <w:t>）监测时间及监测方法</w:t>
            </w:r>
          </w:p>
          <w:p w14:paraId="556179DD">
            <w:pPr>
              <w:ind w:firstLine="480"/>
              <w:rPr>
                <w:highlight w:val="none"/>
              </w:rPr>
            </w:pPr>
            <w:r>
              <w:rPr>
                <w:highlight w:val="none"/>
              </w:rPr>
              <w:t>监测时间为连续采样</w:t>
            </w:r>
            <w:r>
              <w:rPr>
                <w:rFonts w:hint="eastAsia"/>
                <w:highlight w:val="none"/>
                <w:lang w:val="en-US" w:eastAsia="zh-CN"/>
              </w:rPr>
              <w:t>3</w:t>
            </w:r>
            <w:r>
              <w:rPr>
                <w:highlight w:val="none"/>
              </w:rPr>
              <w:t>天，</w:t>
            </w:r>
            <w:r>
              <w:rPr>
                <w:rFonts w:hint="eastAsia"/>
                <w:highlight w:val="none"/>
              </w:rPr>
              <w:t>采样</w:t>
            </w:r>
            <w:r>
              <w:rPr>
                <w:highlight w:val="none"/>
              </w:rPr>
              <w:t>要求按照《环境空气质量标准》</w:t>
            </w:r>
            <w:r>
              <w:rPr>
                <w:rFonts w:hint="eastAsia"/>
                <w:highlight w:val="none"/>
                <w:lang w:eastAsia="zh-CN"/>
              </w:rPr>
              <w:t>（</w:t>
            </w:r>
            <w:r>
              <w:rPr>
                <w:highlight w:val="none"/>
              </w:rPr>
              <w:t>GB3095-2012</w:t>
            </w:r>
            <w:r>
              <w:rPr>
                <w:rFonts w:hint="eastAsia"/>
                <w:highlight w:val="none"/>
                <w:lang w:eastAsia="zh-CN"/>
              </w:rPr>
              <w:t>）</w:t>
            </w:r>
            <w:r>
              <w:rPr>
                <w:rFonts w:hint="eastAsia"/>
                <w:highlight w:val="none"/>
              </w:rPr>
              <w:t>及其修改单</w:t>
            </w:r>
            <w:r>
              <w:rPr>
                <w:highlight w:val="none"/>
              </w:rPr>
              <w:t>及《</w:t>
            </w:r>
            <w:r>
              <w:rPr>
                <w:rFonts w:hint="eastAsia"/>
                <w:highlight w:val="none"/>
              </w:rPr>
              <w:t>大气</w:t>
            </w:r>
            <w:r>
              <w:rPr>
                <w:highlight w:val="none"/>
              </w:rPr>
              <w:t>环境监测技术规范》及相关要求执行。</w:t>
            </w:r>
          </w:p>
          <w:p w14:paraId="178CE3B0">
            <w:pPr>
              <w:ind w:firstLine="480"/>
              <w:rPr>
                <w:highlight w:val="none"/>
              </w:rPr>
            </w:pPr>
            <w:r>
              <w:rPr>
                <w:highlight w:val="none"/>
              </w:rPr>
              <w:t>（</w:t>
            </w:r>
            <w:r>
              <w:rPr>
                <w:rFonts w:hint="eastAsia"/>
                <w:highlight w:val="none"/>
              </w:rPr>
              <w:t>3</w:t>
            </w:r>
            <w:r>
              <w:rPr>
                <w:highlight w:val="none"/>
              </w:rPr>
              <w:t>）评价方法</w:t>
            </w:r>
          </w:p>
          <w:p w14:paraId="13078698">
            <w:pPr>
              <w:ind w:firstLine="480"/>
              <w:rPr>
                <w:highlight w:val="none"/>
              </w:rPr>
            </w:pPr>
            <w:r>
              <w:rPr>
                <w:highlight w:val="none"/>
              </w:rPr>
              <w:t>采用最大占标百分比，计算公式如下：</w:t>
            </w:r>
          </w:p>
          <w:p w14:paraId="22C33CC7">
            <w:pPr>
              <w:ind w:firstLine="1200" w:firstLineChars="500"/>
              <w:rPr>
                <w:highlight w:val="none"/>
              </w:rPr>
            </w:pPr>
            <w:r>
              <w:rPr>
                <w:highlight w:val="none"/>
              </w:rPr>
              <w:t>P</w:t>
            </w:r>
            <w:r>
              <w:rPr>
                <w:highlight w:val="none"/>
                <w:vertAlign w:val="subscript"/>
              </w:rPr>
              <w:t>i</w:t>
            </w:r>
            <w:r>
              <w:rPr>
                <w:highlight w:val="none"/>
              </w:rPr>
              <w:t>=C</w:t>
            </w:r>
            <w:r>
              <w:rPr>
                <w:highlight w:val="none"/>
                <w:vertAlign w:val="subscript"/>
              </w:rPr>
              <w:t>i</w:t>
            </w:r>
            <w:r>
              <w:rPr>
                <w:highlight w:val="none"/>
              </w:rPr>
              <w:t>/C</w:t>
            </w:r>
            <w:r>
              <w:rPr>
                <w:highlight w:val="none"/>
                <w:vertAlign w:val="subscript"/>
              </w:rPr>
              <w:t>oi</w:t>
            </w:r>
            <w:r>
              <w:rPr>
                <w:rFonts w:hint="eastAsia"/>
                <w:highlight w:val="none"/>
              </w:rPr>
              <w:t>×100%</w:t>
            </w:r>
          </w:p>
          <w:p w14:paraId="36FF63AD">
            <w:pPr>
              <w:ind w:firstLine="480"/>
              <w:rPr>
                <w:highlight w:val="none"/>
              </w:rPr>
            </w:pPr>
            <w:r>
              <w:rPr>
                <w:highlight w:val="none"/>
              </w:rPr>
              <w:t>式中：P</w:t>
            </w:r>
            <w:r>
              <w:rPr>
                <w:highlight w:val="none"/>
                <w:vertAlign w:val="subscript"/>
              </w:rPr>
              <w:t>i</w:t>
            </w:r>
            <w:r>
              <w:rPr>
                <w:highlight w:val="none"/>
              </w:rPr>
              <w:t>——i评价因子最大浓度占标率；</w:t>
            </w:r>
          </w:p>
          <w:p w14:paraId="7E9FC553">
            <w:pPr>
              <w:ind w:firstLine="1200" w:firstLineChars="500"/>
              <w:rPr>
                <w:highlight w:val="none"/>
              </w:rPr>
            </w:pPr>
            <w:r>
              <w:rPr>
                <w:highlight w:val="none"/>
              </w:rPr>
              <w:t>C</w:t>
            </w:r>
            <w:r>
              <w:rPr>
                <w:highlight w:val="none"/>
                <w:vertAlign w:val="subscript"/>
              </w:rPr>
              <w:t>i</w:t>
            </w:r>
            <w:r>
              <w:rPr>
                <w:highlight w:val="none"/>
              </w:rPr>
              <w:t>——i评价因子的最大监测浓度（mg/m</w:t>
            </w:r>
            <w:r>
              <w:rPr>
                <w:highlight w:val="none"/>
                <w:vertAlign w:val="superscript"/>
              </w:rPr>
              <w:t>3</w:t>
            </w:r>
            <w:r>
              <w:rPr>
                <w:highlight w:val="none"/>
              </w:rPr>
              <w:t>）；</w:t>
            </w:r>
          </w:p>
          <w:p w14:paraId="52620D6B">
            <w:pPr>
              <w:ind w:firstLine="1200" w:firstLineChars="500"/>
              <w:rPr>
                <w:highlight w:val="none"/>
              </w:rPr>
            </w:pPr>
            <w:r>
              <w:rPr>
                <w:highlight w:val="none"/>
              </w:rPr>
              <w:t>C</w:t>
            </w:r>
            <w:r>
              <w:rPr>
                <w:highlight w:val="none"/>
                <w:vertAlign w:val="subscript"/>
              </w:rPr>
              <w:t>oi</w:t>
            </w:r>
            <w:r>
              <w:rPr>
                <w:highlight w:val="none"/>
              </w:rPr>
              <w:t>——oi评价因子的评价标准（mg/m</w:t>
            </w:r>
            <w:r>
              <w:rPr>
                <w:highlight w:val="none"/>
                <w:vertAlign w:val="superscript"/>
              </w:rPr>
              <w:t>3</w:t>
            </w:r>
            <w:r>
              <w:rPr>
                <w:highlight w:val="none"/>
              </w:rPr>
              <w:t>）</w:t>
            </w:r>
          </w:p>
          <w:p w14:paraId="16A99CE9">
            <w:pPr>
              <w:ind w:firstLine="480"/>
              <w:rPr>
                <w:highlight w:val="none"/>
              </w:rPr>
            </w:pPr>
            <w:r>
              <w:rPr>
                <w:rFonts w:hint="eastAsia"/>
                <w:highlight w:val="none"/>
              </w:rPr>
              <w:t>（4）监测结果及评价</w:t>
            </w:r>
          </w:p>
          <w:p w14:paraId="03F564B9">
            <w:pPr>
              <w:ind w:firstLine="480"/>
              <w:rPr>
                <w:highlight w:val="none"/>
              </w:rPr>
            </w:pPr>
            <w:r>
              <w:rPr>
                <w:rFonts w:hint="eastAsia"/>
                <w:highlight w:val="none"/>
              </w:rPr>
              <w:t>特征污染物环境质量现状监测结果见表</w:t>
            </w:r>
            <w:r>
              <w:rPr>
                <w:highlight w:val="none"/>
              </w:rPr>
              <w:t>3-</w:t>
            </w:r>
            <w:r>
              <w:rPr>
                <w:rFonts w:hint="eastAsia"/>
                <w:highlight w:val="none"/>
                <w:lang w:val="en-US" w:eastAsia="zh-CN"/>
              </w:rPr>
              <w:t>2</w:t>
            </w:r>
            <w:r>
              <w:rPr>
                <w:rFonts w:hint="eastAsia"/>
                <w:highlight w:val="none"/>
              </w:rPr>
              <w:t>。</w:t>
            </w:r>
          </w:p>
          <w:p w14:paraId="7825CB05">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表</w:t>
            </w:r>
            <w:r>
              <w:rPr>
                <w:rFonts w:hint="default" w:ascii="Times New Roman" w:hAnsi="Times New Roman" w:cs="Times New Roman"/>
                <w:sz w:val="21"/>
                <w:szCs w:val="21"/>
                <w:highlight w:val="none"/>
              </w:rPr>
              <w:t>3-</w:t>
            </w:r>
            <w:r>
              <w:rPr>
                <w:rFonts w:hint="default" w:ascii="Times New Roman" w:hAnsi="Times New Roman" w:eastAsia="宋体" w:cs="Times New Roman"/>
                <w:sz w:val="21"/>
                <w:szCs w:val="21"/>
                <w:highlight w:val="none"/>
                <w:lang w:val="en-US" w:eastAsia="zh-CN"/>
              </w:rPr>
              <w:t>2</w:t>
            </w:r>
            <w:r>
              <w:rPr>
                <w:sz w:val="21"/>
                <w:szCs w:val="21"/>
                <w:highlight w:val="none"/>
              </w:rPr>
              <w:t xml:space="preserve">  </w:t>
            </w:r>
            <w:r>
              <w:rPr>
                <w:rFonts w:hint="eastAsia"/>
                <w:sz w:val="21"/>
                <w:szCs w:val="21"/>
                <w:highlight w:val="none"/>
              </w:rPr>
              <w:t>特征污染物环境质量现状监测结果</w:t>
            </w:r>
          </w:p>
          <w:tbl>
            <w:tblPr>
              <w:tblStyle w:val="30"/>
              <w:tblW w:w="4993"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161"/>
              <w:gridCol w:w="1146"/>
              <w:gridCol w:w="1342"/>
              <w:gridCol w:w="1149"/>
              <w:gridCol w:w="904"/>
              <w:gridCol w:w="1133"/>
            </w:tblGrid>
            <w:tr w14:paraId="5FDA4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703" w:type="pct"/>
                  <w:vAlign w:val="center"/>
                </w:tcPr>
                <w:p w14:paraId="5CEA7966">
                  <w:pPr>
                    <w:pStyle w:val="55"/>
                    <w:rPr>
                      <w:highlight w:val="none"/>
                    </w:rPr>
                  </w:pPr>
                  <w:r>
                    <w:rPr>
                      <w:rFonts w:hint="eastAsia"/>
                      <w:highlight w:val="none"/>
                    </w:rPr>
                    <w:t>污染物</w:t>
                  </w:r>
                </w:p>
              </w:tc>
              <w:tc>
                <w:tcPr>
                  <w:tcW w:w="736" w:type="pct"/>
                  <w:vAlign w:val="center"/>
                </w:tcPr>
                <w:p w14:paraId="2A401E30">
                  <w:pPr>
                    <w:pStyle w:val="55"/>
                    <w:rPr>
                      <w:highlight w:val="none"/>
                    </w:rPr>
                  </w:pPr>
                  <w:r>
                    <w:rPr>
                      <w:rFonts w:hint="eastAsia"/>
                      <w:highlight w:val="none"/>
                    </w:rPr>
                    <w:t>平均</w:t>
                  </w:r>
                </w:p>
                <w:p w14:paraId="78D2F2FF">
                  <w:pPr>
                    <w:pStyle w:val="55"/>
                    <w:rPr>
                      <w:highlight w:val="none"/>
                    </w:rPr>
                  </w:pPr>
                  <w:r>
                    <w:rPr>
                      <w:rFonts w:hint="eastAsia"/>
                      <w:highlight w:val="none"/>
                    </w:rPr>
                    <w:t>时间</w:t>
                  </w:r>
                </w:p>
              </w:tc>
              <w:tc>
                <w:tcPr>
                  <w:tcW w:w="689" w:type="pct"/>
                  <w:vAlign w:val="center"/>
                </w:tcPr>
                <w:p w14:paraId="4FC11F7D">
                  <w:pPr>
                    <w:pStyle w:val="55"/>
                    <w:rPr>
                      <w:highlight w:val="none"/>
                    </w:rPr>
                  </w:pPr>
                  <w:r>
                    <w:rPr>
                      <w:rFonts w:hint="eastAsia"/>
                      <w:highlight w:val="none"/>
                    </w:rPr>
                    <w:t>评价标准（</w:t>
                  </w:r>
                  <w:r>
                    <w:rPr>
                      <w:highlight w:val="none"/>
                    </w:rPr>
                    <w:t>μg/m</w:t>
                  </w:r>
                  <w:r>
                    <w:rPr>
                      <w:highlight w:val="none"/>
                      <w:vertAlign w:val="superscript"/>
                    </w:rPr>
                    <w:t>3</w:t>
                  </w:r>
                  <w:r>
                    <w:rPr>
                      <w:rFonts w:hint="eastAsia"/>
                      <w:highlight w:val="none"/>
                    </w:rPr>
                    <w:t>）</w:t>
                  </w:r>
                </w:p>
              </w:tc>
              <w:tc>
                <w:tcPr>
                  <w:tcW w:w="849" w:type="pct"/>
                  <w:vAlign w:val="center"/>
                </w:tcPr>
                <w:p w14:paraId="3EE1EC2E">
                  <w:pPr>
                    <w:pStyle w:val="55"/>
                    <w:rPr>
                      <w:highlight w:val="none"/>
                    </w:rPr>
                  </w:pPr>
                  <w:r>
                    <w:rPr>
                      <w:rFonts w:hint="eastAsia"/>
                      <w:highlight w:val="none"/>
                    </w:rPr>
                    <w:t>监测浓度范围（</w:t>
                  </w:r>
                  <w:r>
                    <w:rPr>
                      <w:highlight w:val="none"/>
                    </w:rPr>
                    <w:t>μg/m</w:t>
                  </w:r>
                  <w:r>
                    <w:rPr>
                      <w:highlight w:val="none"/>
                      <w:vertAlign w:val="superscript"/>
                    </w:rPr>
                    <w:t>3</w:t>
                  </w:r>
                  <w:r>
                    <w:rPr>
                      <w:rFonts w:hint="eastAsia"/>
                      <w:highlight w:val="none"/>
                    </w:rPr>
                    <w:t>）</w:t>
                  </w:r>
                </w:p>
              </w:tc>
              <w:tc>
                <w:tcPr>
                  <w:tcW w:w="728" w:type="pct"/>
                  <w:vAlign w:val="center"/>
                </w:tcPr>
                <w:p w14:paraId="7C2E7E85">
                  <w:pPr>
                    <w:pStyle w:val="55"/>
                    <w:rPr>
                      <w:highlight w:val="none"/>
                    </w:rPr>
                  </w:pPr>
                  <w:r>
                    <w:rPr>
                      <w:rFonts w:hint="eastAsia"/>
                      <w:highlight w:val="none"/>
                    </w:rPr>
                    <w:t>最大浓度占标率</w:t>
                  </w:r>
                  <w:r>
                    <w:rPr>
                      <w:highlight w:val="none"/>
                    </w:rPr>
                    <w:t>%</w:t>
                  </w:r>
                </w:p>
              </w:tc>
              <w:tc>
                <w:tcPr>
                  <w:tcW w:w="574" w:type="pct"/>
                  <w:vAlign w:val="center"/>
                </w:tcPr>
                <w:p w14:paraId="1EB89E0B">
                  <w:pPr>
                    <w:pStyle w:val="55"/>
                    <w:rPr>
                      <w:highlight w:val="none"/>
                    </w:rPr>
                  </w:pPr>
                  <w:r>
                    <w:rPr>
                      <w:rFonts w:hint="eastAsia"/>
                      <w:highlight w:val="none"/>
                    </w:rPr>
                    <w:t>超标率</w:t>
                  </w:r>
                  <w:r>
                    <w:rPr>
                      <w:highlight w:val="none"/>
                    </w:rPr>
                    <w:t>%</w:t>
                  </w:r>
                </w:p>
              </w:tc>
              <w:tc>
                <w:tcPr>
                  <w:tcW w:w="718" w:type="pct"/>
                  <w:vAlign w:val="center"/>
                </w:tcPr>
                <w:p w14:paraId="2B93CADD">
                  <w:pPr>
                    <w:pStyle w:val="55"/>
                    <w:rPr>
                      <w:highlight w:val="none"/>
                    </w:rPr>
                  </w:pPr>
                  <w:r>
                    <w:rPr>
                      <w:rFonts w:hint="eastAsia"/>
                      <w:highlight w:val="none"/>
                    </w:rPr>
                    <w:t>达标情况</w:t>
                  </w:r>
                </w:p>
              </w:tc>
            </w:tr>
            <w:tr w14:paraId="3F671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53481742">
                  <w:pPr>
                    <w:pStyle w:val="55"/>
                    <w:rPr>
                      <w:highlight w:val="none"/>
                    </w:rPr>
                  </w:pPr>
                  <w:r>
                    <w:rPr>
                      <w:highlight w:val="none"/>
                    </w:rPr>
                    <w:t>TSP</w:t>
                  </w:r>
                </w:p>
              </w:tc>
              <w:tc>
                <w:tcPr>
                  <w:tcW w:w="736" w:type="pct"/>
                  <w:vAlign w:val="center"/>
                </w:tcPr>
                <w:p w14:paraId="0FB11FCA">
                  <w:pPr>
                    <w:pStyle w:val="55"/>
                    <w:rPr>
                      <w:highlight w:val="none"/>
                    </w:rPr>
                  </w:pPr>
                  <w:r>
                    <w:rPr>
                      <w:highlight w:val="none"/>
                    </w:rPr>
                    <w:t>24</w:t>
                  </w:r>
                  <w:r>
                    <w:rPr>
                      <w:rFonts w:hint="eastAsia"/>
                      <w:highlight w:val="none"/>
                    </w:rPr>
                    <w:t>小时</w:t>
                  </w:r>
                </w:p>
              </w:tc>
              <w:tc>
                <w:tcPr>
                  <w:tcW w:w="689" w:type="pct"/>
                  <w:vAlign w:val="center"/>
                </w:tcPr>
                <w:p w14:paraId="191D2F93">
                  <w:pPr>
                    <w:pStyle w:val="55"/>
                    <w:rPr>
                      <w:highlight w:val="none"/>
                    </w:rPr>
                  </w:pPr>
                  <w:r>
                    <w:rPr>
                      <w:highlight w:val="none"/>
                    </w:rPr>
                    <w:t>300</w:t>
                  </w:r>
                </w:p>
              </w:tc>
              <w:tc>
                <w:tcPr>
                  <w:tcW w:w="849" w:type="pct"/>
                  <w:vAlign w:val="center"/>
                </w:tcPr>
                <w:p w14:paraId="0FB6CDCE">
                  <w:pPr>
                    <w:pStyle w:val="55"/>
                    <w:rPr>
                      <w:rFonts w:hint="default" w:eastAsia="宋体"/>
                      <w:highlight w:val="none"/>
                      <w:lang w:val="en-US" w:eastAsia="zh-CN"/>
                    </w:rPr>
                  </w:pPr>
                  <w:r>
                    <w:rPr>
                      <w:rFonts w:hint="eastAsia"/>
                      <w:highlight w:val="none"/>
                      <w:lang w:val="en-US" w:eastAsia="zh-CN"/>
                    </w:rPr>
                    <w:t>151-164</w:t>
                  </w:r>
                </w:p>
              </w:tc>
              <w:tc>
                <w:tcPr>
                  <w:tcW w:w="728" w:type="pct"/>
                  <w:vAlign w:val="center"/>
                </w:tcPr>
                <w:p w14:paraId="73022289">
                  <w:pPr>
                    <w:pStyle w:val="55"/>
                    <w:rPr>
                      <w:rFonts w:hint="default" w:eastAsia="宋体"/>
                      <w:highlight w:val="none"/>
                      <w:lang w:val="en-US" w:eastAsia="zh-CN"/>
                    </w:rPr>
                  </w:pPr>
                  <w:r>
                    <w:rPr>
                      <w:rFonts w:hint="eastAsia"/>
                      <w:highlight w:val="none"/>
                      <w:lang w:val="en-US" w:eastAsia="zh-CN"/>
                    </w:rPr>
                    <w:t>55</w:t>
                  </w:r>
                </w:p>
              </w:tc>
              <w:tc>
                <w:tcPr>
                  <w:tcW w:w="574" w:type="pct"/>
                  <w:vAlign w:val="center"/>
                </w:tcPr>
                <w:p w14:paraId="33F3E5A5">
                  <w:pPr>
                    <w:pStyle w:val="55"/>
                    <w:rPr>
                      <w:rFonts w:hint="eastAsia" w:eastAsia="宋体"/>
                      <w:highlight w:val="none"/>
                      <w:lang w:val="en-US" w:eastAsia="zh-CN"/>
                    </w:rPr>
                  </w:pPr>
                  <w:r>
                    <w:rPr>
                      <w:rFonts w:hint="eastAsia"/>
                      <w:highlight w:val="none"/>
                      <w:lang w:val="en-US" w:eastAsia="zh-CN"/>
                    </w:rPr>
                    <w:t>0</w:t>
                  </w:r>
                </w:p>
              </w:tc>
              <w:tc>
                <w:tcPr>
                  <w:tcW w:w="718" w:type="pct"/>
                  <w:vAlign w:val="center"/>
                </w:tcPr>
                <w:p w14:paraId="2EBDB8CB">
                  <w:pPr>
                    <w:pStyle w:val="55"/>
                    <w:rPr>
                      <w:highlight w:val="none"/>
                    </w:rPr>
                  </w:pPr>
                  <w:r>
                    <w:rPr>
                      <w:rFonts w:hint="eastAsia"/>
                      <w:highlight w:val="none"/>
                    </w:rPr>
                    <w:t>达标</w:t>
                  </w:r>
                </w:p>
              </w:tc>
            </w:tr>
          </w:tbl>
          <w:p w14:paraId="70518765">
            <w:pPr>
              <w:ind w:firstLine="480"/>
              <w:rPr>
                <w:highlight w:val="none"/>
              </w:rPr>
            </w:pPr>
            <w:r>
              <w:rPr>
                <w:rFonts w:hint="eastAsia"/>
                <w:highlight w:val="none"/>
              </w:rPr>
              <w:t>从监测结果可知，</w:t>
            </w:r>
            <w:r>
              <w:rPr>
                <w:highlight w:val="none"/>
              </w:rPr>
              <w:t>TSP</w:t>
            </w:r>
            <w:r>
              <w:rPr>
                <w:rFonts w:hint="eastAsia"/>
                <w:highlight w:val="none"/>
              </w:rPr>
              <w:t xml:space="preserve"> </w:t>
            </w:r>
            <w:r>
              <w:rPr>
                <w:highlight w:val="none"/>
              </w:rPr>
              <w:t>24</w:t>
            </w:r>
            <w:r>
              <w:rPr>
                <w:rFonts w:hint="eastAsia"/>
                <w:highlight w:val="none"/>
              </w:rPr>
              <w:t>小时平均值符合《环境空气质量标准》（</w:t>
            </w:r>
            <w:r>
              <w:rPr>
                <w:highlight w:val="none"/>
              </w:rPr>
              <w:t>GB3095-2012</w:t>
            </w:r>
            <w:r>
              <w:rPr>
                <w:rFonts w:hint="eastAsia"/>
                <w:highlight w:val="none"/>
              </w:rPr>
              <w:t>）及其修改单二级标准限值要求。</w:t>
            </w:r>
          </w:p>
          <w:p w14:paraId="02C43311">
            <w:pPr>
              <w:ind w:firstLine="480"/>
              <w:rPr>
                <w:highlight w:val="none"/>
              </w:rPr>
            </w:pPr>
            <w:r>
              <w:rPr>
                <w:rFonts w:hint="eastAsia"/>
                <w:highlight w:val="none"/>
              </w:rPr>
              <w:t>综上所述，评价区现状空气质量良好。</w:t>
            </w:r>
          </w:p>
          <w:p w14:paraId="3BE7D2F1">
            <w:pPr>
              <w:pStyle w:val="3"/>
              <w:rPr>
                <w:highlight w:val="none"/>
              </w:rPr>
            </w:pPr>
            <w:r>
              <w:rPr>
                <w:rFonts w:hint="eastAsia" w:ascii="Times New Roman" w:hAnsi="Times New Roman" w:cs="Times New Roman"/>
                <w:highlight w:val="none"/>
              </w:rPr>
              <w:t>2</w:t>
            </w:r>
            <w:r>
              <w:rPr>
                <w:rFonts w:hint="eastAsia"/>
                <w:highlight w:val="none"/>
              </w:rPr>
              <w:t>地表水环境质量现状</w:t>
            </w:r>
            <w:bookmarkEnd w:id="6"/>
          </w:p>
          <w:bookmarkEnd w:id="7"/>
          <w:p w14:paraId="68CAFDFA">
            <w:pPr>
              <w:ind w:firstLine="480"/>
              <w:textAlignment w:val="center"/>
              <w:rPr>
                <w:color w:val="FF0000"/>
                <w:highlight w:val="none"/>
              </w:rPr>
            </w:pPr>
            <w:r>
              <w:rPr>
                <w:rFonts w:hint="eastAsia"/>
                <w:color w:val="auto"/>
                <w:highlight w:val="none"/>
              </w:rPr>
              <w:t>项目区位于</w:t>
            </w:r>
            <w:r>
              <w:rPr>
                <w:rFonts w:hint="eastAsia"/>
                <w:highlight w:val="none"/>
              </w:rPr>
              <w:t>车尔臣河</w:t>
            </w:r>
            <w:r>
              <w:rPr>
                <w:rFonts w:hint="eastAsia"/>
                <w:color w:val="auto"/>
                <w:highlight w:val="none"/>
                <w:lang w:val="en-US" w:eastAsia="zh-CN"/>
              </w:rPr>
              <w:t>南</w:t>
            </w:r>
            <w:r>
              <w:rPr>
                <w:rFonts w:hint="eastAsia"/>
                <w:color w:val="auto"/>
                <w:highlight w:val="none"/>
              </w:rPr>
              <w:t>侧约</w:t>
            </w:r>
            <w:r>
              <w:rPr>
                <w:rFonts w:hint="eastAsia"/>
                <w:color w:val="auto"/>
                <w:highlight w:val="none"/>
                <w:lang w:val="en-US" w:eastAsia="zh-CN"/>
              </w:rPr>
              <w:t>66</w:t>
            </w:r>
            <w:r>
              <w:rPr>
                <w:rFonts w:hint="eastAsia"/>
                <w:color w:val="auto"/>
                <w:highlight w:val="none"/>
              </w:rPr>
              <w:t>km处。相对较远，与项目无水力联系。</w:t>
            </w:r>
            <w:r>
              <w:rPr>
                <w:rFonts w:hint="default" w:ascii="Times New Roman" w:hAnsi="Times New Roman" w:cs="Times New Roman"/>
                <w:b w:val="0"/>
                <w:bCs/>
                <w:color w:val="auto"/>
                <w:highlight w:val="none"/>
              </w:rPr>
              <w:t>本项目运营过程中产生的废水</w:t>
            </w:r>
            <w:r>
              <w:rPr>
                <w:rFonts w:hint="eastAsia" w:cs="Times New Roman"/>
                <w:b w:val="0"/>
                <w:bCs/>
                <w:color w:val="auto"/>
                <w:highlight w:val="none"/>
                <w:lang w:val="en-US" w:eastAsia="zh-CN"/>
              </w:rPr>
              <w:t>不</w:t>
            </w:r>
            <w:r>
              <w:rPr>
                <w:rFonts w:hint="default" w:ascii="Times New Roman" w:hAnsi="Times New Roman" w:cs="Times New Roman"/>
                <w:b w:val="0"/>
                <w:bCs/>
                <w:color w:val="auto"/>
                <w:highlight w:val="none"/>
              </w:rPr>
              <w:t>直接排放，而且与最近地表水并无水力联系</w:t>
            </w:r>
            <w:r>
              <w:rPr>
                <w:rFonts w:hint="eastAsia" w:cs="Times New Roman"/>
                <w:b w:val="0"/>
                <w:bCs/>
                <w:color w:val="auto"/>
                <w:highlight w:val="none"/>
                <w:lang w:eastAsia="zh-CN"/>
              </w:rPr>
              <w:t>。</w:t>
            </w:r>
            <w:r>
              <w:rPr>
                <w:rFonts w:hint="default" w:ascii="Times New Roman" w:hAnsi="Times New Roman" w:cs="Times New Roman"/>
                <w:b w:val="0"/>
                <w:bCs/>
                <w:color w:val="auto"/>
                <w:highlight w:val="none"/>
              </w:rPr>
              <w:t>根据《环境影响评价技术导则地表水环境》（HJ2.3-2018），本项目地表水评价工作等级为三级B，三级B项目可不进行地表水环境质量现状调查，因此本次不进行地表水环境质量调查与分析。</w:t>
            </w:r>
          </w:p>
          <w:p w14:paraId="44E16E6A">
            <w:pPr>
              <w:pStyle w:val="3"/>
              <w:rPr>
                <w:highlight w:val="none"/>
              </w:rPr>
            </w:pPr>
            <w:r>
              <w:rPr>
                <w:rFonts w:hint="eastAsia" w:ascii="Times New Roman" w:hAnsi="Times New Roman" w:cs="Times New Roman"/>
                <w:highlight w:val="none"/>
              </w:rPr>
              <w:t>3</w:t>
            </w:r>
            <w:r>
              <w:rPr>
                <w:rFonts w:hint="eastAsia"/>
                <w:highlight w:val="none"/>
              </w:rPr>
              <w:t>声环境质量现状</w:t>
            </w:r>
          </w:p>
          <w:p w14:paraId="4B5A8C84">
            <w:pPr>
              <w:tabs>
                <w:tab w:val="left" w:pos="7170"/>
              </w:tabs>
              <w:ind w:firstLine="480"/>
              <w:rPr>
                <w:highlight w:val="none"/>
              </w:rPr>
            </w:pPr>
            <w:r>
              <w:rPr>
                <w:rFonts w:hint="eastAsia"/>
                <w:highlight w:val="none"/>
              </w:rPr>
              <w:t>项目厂界外周边5</w:t>
            </w:r>
            <w:r>
              <w:rPr>
                <w:highlight w:val="none"/>
              </w:rPr>
              <w:t>0</w:t>
            </w:r>
            <w:r>
              <w:rPr>
                <w:rFonts w:hint="eastAsia"/>
                <w:highlight w:val="none"/>
              </w:rPr>
              <w:t>米范围内不存在声环境保护目标，因此对项目不进行声环境监测。</w:t>
            </w:r>
          </w:p>
          <w:p w14:paraId="6BCD7E2A">
            <w:pPr>
              <w:pStyle w:val="3"/>
              <w:rPr>
                <w:highlight w:val="none"/>
              </w:rPr>
            </w:pPr>
            <w:r>
              <w:rPr>
                <w:rFonts w:hint="eastAsia" w:ascii="Times New Roman" w:hAnsi="Times New Roman" w:cs="Times New Roman"/>
                <w:highlight w:val="none"/>
              </w:rPr>
              <w:t>4</w:t>
            </w:r>
            <w:r>
              <w:rPr>
                <w:rFonts w:hint="eastAsia"/>
                <w:highlight w:val="none"/>
              </w:rPr>
              <w:t>生态环境</w:t>
            </w:r>
          </w:p>
          <w:p w14:paraId="20EF3BE3">
            <w:pPr>
              <w:pStyle w:val="3"/>
              <w:keepNext/>
              <w:keepLines/>
              <w:pageBreakBefore w:val="0"/>
              <w:widowControl w:val="0"/>
              <w:kinsoku/>
              <w:wordWrap/>
              <w:overflowPunct/>
              <w:topLinePunct w:val="0"/>
              <w:autoSpaceDE/>
              <w:autoSpaceDN/>
              <w:bidi w:val="0"/>
              <w:adjustRightInd w:val="0"/>
              <w:snapToGrid w:val="0"/>
              <w:ind w:firstLine="480" w:firstLineChars="200"/>
              <w:textAlignment w:val="auto"/>
              <w:rPr>
                <w:rFonts w:hint="eastAsia"/>
                <w:b w:val="0"/>
                <w:bCs/>
                <w:color w:val="auto"/>
                <w:highlight w:val="none"/>
              </w:rPr>
            </w:pPr>
            <w:r>
              <w:rPr>
                <w:rFonts w:hint="eastAsia"/>
                <w:b w:val="0"/>
                <w:bCs/>
                <w:highlight w:val="none"/>
              </w:rPr>
              <w:t>本项目位于</w:t>
            </w:r>
            <w:r>
              <w:rPr>
                <w:rFonts w:hint="eastAsia"/>
                <w:b w:val="0"/>
                <w:bCs/>
                <w:highlight w:val="none"/>
                <w:lang w:val="en-US" w:eastAsia="zh-CN"/>
              </w:rPr>
              <w:t>若羌县</w:t>
            </w:r>
            <w:r>
              <w:rPr>
                <w:rFonts w:hint="eastAsia"/>
                <w:b w:val="0"/>
                <w:bCs/>
                <w:highlight w:val="none"/>
              </w:rPr>
              <w:t>工业园区内</w:t>
            </w:r>
            <w:r>
              <w:rPr>
                <w:rFonts w:hint="eastAsia"/>
                <w:b w:val="0"/>
                <w:bCs/>
                <w:color w:val="auto"/>
                <w:highlight w:val="none"/>
              </w:rPr>
              <w:t>，根据生态保护红线</w:t>
            </w:r>
            <w:r>
              <w:rPr>
                <w:rFonts w:hint="eastAsia"/>
                <w:b w:val="0"/>
                <w:bCs/>
                <w:color w:val="auto"/>
                <w:highlight w:val="none"/>
                <w:lang w:val="en-US" w:eastAsia="zh-CN"/>
              </w:rPr>
              <w:t>得知</w:t>
            </w:r>
            <w:r>
              <w:rPr>
                <w:rFonts w:hint="eastAsia"/>
                <w:b w:val="0"/>
                <w:bCs/>
                <w:color w:val="auto"/>
                <w:highlight w:val="none"/>
              </w:rPr>
              <w:t>该项目不涉及自然保护区、风景名胜区、生态功能保护区、水土流失重点防治区、森林公园、地质公园、世界遗产地、国家重点文物保护单位、历史文化保护地，区内无国家规定的保护动植物。</w:t>
            </w:r>
          </w:p>
          <w:p w14:paraId="28E041CA">
            <w:pPr>
              <w:pStyle w:val="3"/>
              <w:rPr>
                <w:color w:val="auto"/>
                <w:highlight w:val="none"/>
              </w:rPr>
            </w:pPr>
            <w:r>
              <w:rPr>
                <w:rFonts w:hint="eastAsia" w:ascii="Times New Roman" w:hAnsi="Times New Roman" w:cs="Times New Roman"/>
                <w:highlight w:val="none"/>
              </w:rPr>
              <w:t>5</w:t>
            </w:r>
            <w:r>
              <w:rPr>
                <w:rFonts w:hint="eastAsia"/>
                <w:color w:val="auto"/>
                <w:highlight w:val="none"/>
              </w:rPr>
              <w:t>地下水、土壤环境</w:t>
            </w:r>
          </w:p>
          <w:p w14:paraId="3E48B973">
            <w:pPr>
              <w:pStyle w:val="14"/>
              <w:ind w:firstLine="480"/>
              <w:rPr>
                <w:highlight w:val="none"/>
              </w:rPr>
            </w:pPr>
            <w:r>
              <w:rPr>
                <w:rFonts w:hint="eastAsia"/>
                <w:color w:val="auto"/>
                <w:highlight w:val="none"/>
                <w:lang w:val="en-US" w:eastAsia="zh-CN"/>
              </w:rPr>
              <w:t>本</w:t>
            </w:r>
            <w:r>
              <w:rPr>
                <w:rFonts w:hint="eastAsia"/>
                <w:color w:val="auto"/>
                <w:highlight w:val="none"/>
              </w:rPr>
              <w:t>项目</w:t>
            </w:r>
            <w:r>
              <w:rPr>
                <w:rFonts w:hint="eastAsia"/>
                <w:color w:val="auto"/>
                <w:szCs w:val="22"/>
                <w:highlight w:val="none"/>
              </w:rPr>
              <w:t>位于</w:t>
            </w:r>
            <w:r>
              <w:rPr>
                <w:rFonts w:hint="eastAsia"/>
                <w:color w:val="auto"/>
                <w:szCs w:val="22"/>
                <w:highlight w:val="none"/>
                <w:lang w:val="en-US" w:eastAsia="zh-CN"/>
              </w:rPr>
              <w:t>若羌县</w:t>
            </w:r>
            <w:r>
              <w:rPr>
                <w:rFonts w:hint="eastAsia"/>
                <w:color w:val="auto"/>
                <w:szCs w:val="22"/>
                <w:highlight w:val="none"/>
              </w:rPr>
              <w:t>工业园区，</w:t>
            </w:r>
            <w:r>
              <w:rPr>
                <w:rFonts w:hint="eastAsia"/>
                <w:color w:val="auto"/>
                <w:szCs w:val="22"/>
                <w:highlight w:val="none"/>
                <w:lang w:val="en-US" w:eastAsia="zh-CN"/>
              </w:rPr>
              <w:t>拟建</w:t>
            </w:r>
            <w:r>
              <w:rPr>
                <w:rFonts w:hint="eastAsia"/>
                <w:color w:val="auto"/>
                <w:highlight w:val="none"/>
              </w:rPr>
              <w:t>化粪池采取一般防渗措施</w:t>
            </w:r>
            <w:r>
              <w:rPr>
                <w:rFonts w:hint="eastAsia"/>
                <w:color w:val="auto"/>
                <w:highlight w:val="none"/>
                <w:lang w:eastAsia="zh-CN"/>
              </w:rPr>
              <w:t>（</w:t>
            </w:r>
            <w:r>
              <w:rPr>
                <w:color w:val="auto"/>
                <w:highlight w:val="none"/>
              </w:rPr>
              <w:t>等效黏土防渗层</w:t>
            </w:r>
            <w:r>
              <w:rPr>
                <w:rFonts w:hint="default" w:ascii="Times New Roman" w:hAnsi="Times New Roman" w:cs="Times New Roman"/>
                <w:color w:val="auto"/>
                <w:highlight w:val="none"/>
              </w:rPr>
              <w:t>Mb≧1.5m，K≤1.0×10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w:t>
            </w:r>
            <w:r>
              <w:rPr>
                <w:rFonts w:hint="eastAsia"/>
                <w:highlight w:val="none"/>
                <w:lang w:val="en-US" w:eastAsia="zh-CN"/>
              </w:rPr>
              <w:t>贮存库</w:t>
            </w:r>
            <w:r>
              <w:rPr>
                <w:rFonts w:hint="default" w:ascii="Times New Roman" w:hAnsi="Times New Roman" w:cs="Times New Roman"/>
                <w:color w:val="auto"/>
                <w:highlight w:val="none"/>
              </w:rPr>
              <w:t>采取重点防渗措施</w:t>
            </w:r>
            <w:r>
              <w:rPr>
                <w:rFonts w:hint="default" w:ascii="Times New Roman" w:hAnsi="Times New Roman" w:cs="Times New Roman"/>
                <w:color w:val="auto"/>
                <w:highlight w:val="none"/>
                <w:lang w:eastAsia="zh-CN"/>
              </w:rPr>
              <w:t>（等效黏土防渗层Mb≧6.0m，K≤1.0×10</w:t>
            </w:r>
            <w:r>
              <w:rPr>
                <w:rFonts w:hint="default" w:ascii="Times New Roman" w:hAnsi="Times New Roman" w:cs="Times New Roman"/>
                <w:color w:val="auto"/>
                <w:highlight w:val="none"/>
                <w:vertAlign w:val="superscript"/>
                <w:lang w:eastAsia="zh-CN"/>
              </w:rPr>
              <w:t>-7</w:t>
            </w:r>
            <w:r>
              <w:rPr>
                <w:rFonts w:hint="default" w:ascii="Times New Roman" w:hAnsi="Times New Roman" w:cs="Times New Roman"/>
                <w:color w:val="auto"/>
                <w:highlight w:val="none"/>
                <w:lang w:eastAsia="zh-CN"/>
              </w:rPr>
              <w:t>cm/s）</w:t>
            </w:r>
            <w:r>
              <w:rPr>
                <w:rFonts w:hint="default" w:ascii="Times New Roman" w:hAnsi="Times New Roman" w:cs="Times New Roman"/>
                <w:color w:val="000000"/>
                <w:highlight w:val="none"/>
              </w:rPr>
              <w:t>，</w:t>
            </w:r>
            <w:r>
              <w:rPr>
                <w:rFonts w:hint="eastAsia"/>
                <w:color w:val="000000"/>
                <w:highlight w:val="none"/>
                <w:lang w:val="en-US" w:eastAsia="zh-CN"/>
              </w:rPr>
              <w:t>粉状物料存放在密闭仓库内，车间地面进行水泥硬化，</w:t>
            </w:r>
            <w:r>
              <w:rPr>
                <w:rFonts w:hint="eastAsia"/>
                <w:color w:val="000000"/>
                <w:highlight w:val="none"/>
              </w:rPr>
              <w:t>通过采取上述措施后，拟建项目</w:t>
            </w:r>
            <w:r>
              <w:rPr>
                <w:rFonts w:hint="eastAsia"/>
                <w:color w:val="000000"/>
                <w:highlight w:val="none"/>
                <w:lang w:val="en-US" w:eastAsia="zh-CN"/>
              </w:rPr>
              <w:t>正常情况下</w:t>
            </w:r>
            <w:r>
              <w:rPr>
                <w:rFonts w:hint="eastAsia"/>
                <w:color w:val="000000"/>
                <w:highlight w:val="none"/>
              </w:rPr>
              <w:t>营运对地下水和土壤的影响较小</w:t>
            </w:r>
            <w:r>
              <w:rPr>
                <w:rFonts w:hint="eastAsia"/>
                <w:color w:val="000000"/>
                <w:highlight w:val="none"/>
                <w:lang w:eastAsia="zh-CN"/>
              </w:rPr>
              <w:t>，</w:t>
            </w:r>
            <w:r>
              <w:rPr>
                <w:rFonts w:hint="eastAsia"/>
                <w:highlight w:val="none"/>
              </w:rPr>
              <w:t>不存在地下水、土壤环境污染途径，可不开展环境质量现状调查。</w:t>
            </w:r>
          </w:p>
        </w:tc>
      </w:tr>
      <w:tr w14:paraId="0AD28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0" w:type="dxa"/>
            <w:vAlign w:val="center"/>
          </w:tcPr>
          <w:p w14:paraId="0B401CAD">
            <w:pPr>
              <w:pStyle w:val="56"/>
              <w:rPr>
                <w:rFonts w:hint="eastAsia" w:ascii="宋体" w:hAnsi="宋体" w:cs="宋体"/>
                <w:kern w:val="0"/>
                <w:highlight w:val="none"/>
              </w:rPr>
            </w:pPr>
            <w:r>
              <w:rPr>
                <w:rFonts w:hint="eastAsia"/>
                <w:highlight w:val="none"/>
              </w:rPr>
              <w:t>环境保护目标</w:t>
            </w:r>
          </w:p>
        </w:tc>
        <w:tc>
          <w:tcPr>
            <w:tcW w:w="8226" w:type="dxa"/>
            <w:gridSpan w:val="2"/>
            <w:vAlign w:val="center"/>
          </w:tcPr>
          <w:p w14:paraId="3598D936">
            <w:pPr>
              <w:ind w:firstLine="480"/>
              <w:outlineLvl w:val="1"/>
              <w:rPr>
                <w:color w:val="000000"/>
                <w:highlight w:val="none"/>
              </w:rPr>
            </w:pPr>
            <w:r>
              <w:rPr>
                <w:rFonts w:hint="eastAsia"/>
                <w:color w:val="000000"/>
                <w:highlight w:val="none"/>
              </w:rPr>
              <w:t>（1）大气环境</w:t>
            </w:r>
          </w:p>
          <w:p w14:paraId="43D1C795">
            <w:pPr>
              <w:ind w:firstLine="480"/>
              <w:outlineLvl w:val="1"/>
              <w:rPr>
                <w:color w:val="000000"/>
                <w:highlight w:val="none"/>
              </w:rPr>
            </w:pPr>
            <w:r>
              <w:rPr>
                <w:rFonts w:hint="eastAsia"/>
                <w:color w:val="000000"/>
                <w:szCs w:val="22"/>
                <w:highlight w:val="none"/>
              </w:rPr>
              <w:t>项目区位于</w:t>
            </w:r>
            <w:r>
              <w:rPr>
                <w:rFonts w:hint="eastAsia"/>
                <w:color w:val="000000"/>
                <w:szCs w:val="22"/>
                <w:highlight w:val="none"/>
                <w:lang w:val="en-US" w:eastAsia="zh-CN"/>
              </w:rPr>
              <w:t>若</w:t>
            </w:r>
            <w:r>
              <w:rPr>
                <w:rFonts w:hint="eastAsia"/>
                <w:color w:val="auto"/>
                <w:szCs w:val="22"/>
                <w:highlight w:val="none"/>
                <w:lang w:val="en-US" w:eastAsia="zh-CN"/>
              </w:rPr>
              <w:t>羌县</w:t>
            </w:r>
            <w:r>
              <w:rPr>
                <w:rFonts w:hint="eastAsia"/>
                <w:color w:val="auto"/>
                <w:szCs w:val="22"/>
                <w:highlight w:val="none"/>
              </w:rPr>
              <w:t>工业园区，周边500m范围内</w:t>
            </w:r>
            <w:r>
              <w:rPr>
                <w:rFonts w:hint="eastAsia"/>
                <w:color w:val="auto"/>
                <w:highlight w:val="none"/>
              </w:rPr>
              <w:t>不涉</w:t>
            </w:r>
            <w:r>
              <w:rPr>
                <w:rFonts w:hint="eastAsia"/>
                <w:color w:val="000000"/>
                <w:highlight w:val="none"/>
              </w:rPr>
              <w:t>及自然保护区、风景名胜区、居住区、文化区和农村地区中人群较集中的区域等保护目标。</w:t>
            </w:r>
          </w:p>
          <w:p w14:paraId="61E2663C">
            <w:pPr>
              <w:ind w:firstLine="480"/>
              <w:outlineLvl w:val="1"/>
              <w:rPr>
                <w:color w:val="000000"/>
                <w:highlight w:val="none"/>
              </w:rPr>
            </w:pPr>
            <w:r>
              <w:rPr>
                <w:rFonts w:hint="eastAsia"/>
                <w:color w:val="000000"/>
                <w:highlight w:val="none"/>
              </w:rPr>
              <w:t>（2）声环境</w:t>
            </w:r>
          </w:p>
          <w:p w14:paraId="4578F419">
            <w:pPr>
              <w:ind w:firstLine="480"/>
              <w:outlineLvl w:val="1"/>
              <w:rPr>
                <w:color w:val="000000"/>
                <w:highlight w:val="none"/>
              </w:rPr>
            </w:pPr>
            <w:r>
              <w:rPr>
                <w:rFonts w:hint="eastAsia"/>
                <w:color w:val="000000"/>
                <w:highlight w:val="none"/>
              </w:rPr>
              <w:t>项目区外5</w:t>
            </w:r>
            <w:r>
              <w:rPr>
                <w:color w:val="000000"/>
                <w:highlight w:val="none"/>
              </w:rPr>
              <w:t>0</w:t>
            </w:r>
            <w:r>
              <w:rPr>
                <w:rFonts w:hint="eastAsia"/>
                <w:color w:val="000000"/>
                <w:highlight w:val="none"/>
              </w:rPr>
              <w:t>m范围内无声环境保护目标。</w:t>
            </w:r>
          </w:p>
          <w:p w14:paraId="4C3936ED">
            <w:pPr>
              <w:ind w:firstLine="480"/>
              <w:outlineLvl w:val="1"/>
              <w:rPr>
                <w:color w:val="000000"/>
                <w:highlight w:val="none"/>
              </w:rPr>
            </w:pPr>
            <w:r>
              <w:rPr>
                <w:rFonts w:hint="eastAsia"/>
                <w:color w:val="000000"/>
                <w:highlight w:val="none"/>
              </w:rPr>
              <w:t>（3）水环境</w:t>
            </w:r>
          </w:p>
          <w:p w14:paraId="49FD05C1">
            <w:pPr>
              <w:keepNext w:val="0"/>
              <w:keepLines w:val="0"/>
              <w:pageBreakBefore w:val="0"/>
              <w:widowControl w:val="0"/>
              <w:kinsoku/>
              <w:wordWrap/>
              <w:overflowPunct/>
              <w:topLinePunct w:val="0"/>
              <w:autoSpaceDE/>
              <w:autoSpaceDN/>
              <w:bidi w:val="0"/>
              <w:adjustRightInd w:val="0"/>
              <w:snapToGrid w:val="0"/>
              <w:spacing w:beforeAutospacing="0" w:afterAutospacing="0"/>
              <w:ind w:firstLine="480"/>
              <w:textAlignment w:val="auto"/>
              <w:outlineLvl w:val="1"/>
              <w:rPr>
                <w:rFonts w:hint="eastAsia"/>
                <w:color w:val="000000"/>
                <w:highlight w:val="none"/>
              </w:rPr>
            </w:pPr>
            <w:r>
              <w:rPr>
                <w:rFonts w:hint="eastAsia"/>
                <w:color w:val="000000"/>
                <w:highlight w:val="none"/>
              </w:rPr>
              <w:t>项目区周边5</w:t>
            </w:r>
            <w:r>
              <w:rPr>
                <w:color w:val="000000"/>
                <w:highlight w:val="none"/>
              </w:rPr>
              <w:t>00</w:t>
            </w:r>
            <w:r>
              <w:rPr>
                <w:rFonts w:hint="eastAsia"/>
                <w:color w:val="000000"/>
                <w:highlight w:val="none"/>
              </w:rPr>
              <w:t>m范围内不涉及地下水集中式饮用水水源和热水、矿泉水、温泉等特殊地下水资源。</w:t>
            </w:r>
          </w:p>
          <w:p w14:paraId="6A411AF0">
            <w:pPr>
              <w:pStyle w:val="4"/>
              <w:keepNext w:val="0"/>
              <w:keepLines w:val="0"/>
              <w:pageBreakBefore w:val="0"/>
              <w:widowControl w:val="0"/>
              <w:numPr>
                <w:ilvl w:val="0"/>
                <w:numId w:val="3"/>
              </w:numPr>
              <w:kinsoku/>
              <w:wordWrap/>
              <w:overflowPunct/>
              <w:topLinePunct w:val="0"/>
              <w:autoSpaceDE/>
              <w:autoSpaceDN/>
              <w:bidi w:val="0"/>
              <w:adjustRightInd w:val="0"/>
              <w:snapToGrid w:val="0"/>
              <w:spacing w:before="0" w:beforeAutospacing="0" w:after="0" w:afterAutospacing="0"/>
              <w:ind w:firstLine="480" w:firstLineChars="200"/>
              <w:textAlignment w:val="auto"/>
              <w:rPr>
                <w:rFonts w:hint="eastAsia" w:ascii="Times New Roman" w:hAnsi="Times New Roman" w:eastAsia="宋体" w:cs="Times New Roman"/>
                <w:b w:val="0"/>
                <w:color w:val="000000"/>
                <w:kern w:val="2"/>
                <w:sz w:val="24"/>
                <w:szCs w:val="24"/>
                <w:highlight w:val="none"/>
                <w:lang w:val="en-US" w:eastAsia="zh-CN" w:bidi="ar-SA"/>
              </w:rPr>
            </w:pPr>
            <w:r>
              <w:rPr>
                <w:rFonts w:hint="eastAsia" w:ascii="Times New Roman" w:hAnsi="Times New Roman" w:eastAsia="宋体" w:cs="Times New Roman"/>
                <w:b w:val="0"/>
                <w:color w:val="000000"/>
                <w:kern w:val="2"/>
                <w:sz w:val="24"/>
                <w:szCs w:val="24"/>
                <w:highlight w:val="none"/>
                <w:lang w:val="en-US" w:eastAsia="zh-CN" w:bidi="ar-SA"/>
              </w:rPr>
              <w:t>生态环境</w:t>
            </w:r>
          </w:p>
          <w:p w14:paraId="3ACCF19F">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ind w:firstLine="480" w:firstLineChars="200"/>
              <w:textAlignment w:val="auto"/>
              <w:rPr>
                <w:rFonts w:hint="default" w:eastAsia="宋体"/>
                <w:highlight w:val="none"/>
                <w:lang w:val="en-US" w:eastAsia="zh-CN"/>
              </w:rPr>
            </w:pPr>
            <w:r>
              <w:rPr>
                <w:rFonts w:hint="default" w:ascii="Times New Roman" w:hAnsi="Times New Roman" w:eastAsia="宋体" w:cs="Times New Roman"/>
                <w:b w:val="0"/>
                <w:color w:val="000000"/>
                <w:kern w:val="2"/>
                <w:sz w:val="24"/>
                <w:szCs w:val="24"/>
                <w:highlight w:val="none"/>
                <w:lang w:val="en-US" w:eastAsia="zh-CN" w:bidi="ar-SA"/>
              </w:rPr>
              <w:t>本项目用地范围内无生态环境保护目标。</w:t>
            </w:r>
          </w:p>
        </w:tc>
      </w:tr>
      <w:tr w14:paraId="17B00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Mar>
              <w:left w:w="28" w:type="dxa"/>
              <w:right w:w="28" w:type="dxa"/>
            </w:tcMar>
            <w:vAlign w:val="center"/>
          </w:tcPr>
          <w:p w14:paraId="498EBBFD">
            <w:pPr>
              <w:pStyle w:val="56"/>
              <w:jc w:val="both"/>
              <w:rPr>
                <w:rFonts w:hint="eastAsia" w:ascii="宋体" w:hAnsi="宋体" w:cs="宋体"/>
                <w:sz w:val="21"/>
                <w:highlight w:val="none"/>
              </w:rPr>
            </w:pPr>
            <w:r>
              <w:rPr>
                <w:rFonts w:hint="eastAsia"/>
                <w:highlight w:val="none"/>
              </w:rPr>
              <w:t>污染物排放控制标准</w:t>
            </w:r>
          </w:p>
        </w:tc>
        <w:tc>
          <w:tcPr>
            <w:tcW w:w="8226" w:type="dxa"/>
            <w:gridSpan w:val="2"/>
            <w:vAlign w:val="center"/>
          </w:tcPr>
          <w:p w14:paraId="03CEB1DB">
            <w:pPr>
              <w:pStyle w:val="3"/>
              <w:rPr>
                <w:color w:val="auto"/>
                <w:highlight w:val="none"/>
              </w:rPr>
            </w:pPr>
            <w:r>
              <w:rPr>
                <w:rFonts w:hint="default" w:ascii="Times New Roman" w:hAnsi="Times New Roman" w:cs="Times New Roman"/>
                <w:highlight w:val="none"/>
              </w:rPr>
              <w:t>1</w:t>
            </w:r>
            <w:r>
              <w:rPr>
                <w:highlight w:val="none"/>
              </w:rPr>
              <w:t>废水</w:t>
            </w:r>
          </w:p>
          <w:p w14:paraId="2D14CE8B">
            <w:pPr>
              <w:ind w:firstLine="480"/>
              <w:rPr>
                <w:rFonts w:hint="eastAsia"/>
                <w:b w:val="0"/>
                <w:bCs/>
                <w:color w:val="auto"/>
                <w:highlight w:val="none"/>
                <w:lang w:val="en-US" w:eastAsia="zh-CN"/>
              </w:rPr>
            </w:pPr>
            <w:r>
              <w:rPr>
                <w:color w:val="auto"/>
                <w:highlight w:val="none"/>
              </w:rPr>
              <w:t>本项目施工</w:t>
            </w:r>
            <w:r>
              <w:rPr>
                <w:rFonts w:hint="eastAsia"/>
                <w:color w:val="auto"/>
                <w:highlight w:val="none"/>
                <w:lang w:val="en-US" w:eastAsia="zh-CN"/>
              </w:rPr>
              <w:t>期施工废水：厂址内修建临时沉淀池经过预处理后回用。</w:t>
            </w:r>
            <w:r>
              <w:rPr>
                <w:rFonts w:hint="eastAsia" w:ascii="宋体" w:hAnsi="宋体" w:eastAsia="宋体" w:cs="宋体"/>
                <w:color w:val="auto"/>
                <w:kern w:val="0"/>
                <w:sz w:val="24"/>
                <w:highlight w:val="none"/>
                <w:lang w:val="en-US" w:eastAsia="zh-CN"/>
              </w:rPr>
              <w:t>施工生活污水：因施工人员</w:t>
            </w:r>
            <w:r>
              <w:rPr>
                <w:rFonts w:hint="eastAsia" w:ascii="宋体" w:hAnsi="宋体" w:cs="宋体"/>
                <w:color w:val="auto"/>
                <w:kern w:val="0"/>
                <w:sz w:val="24"/>
                <w:highlight w:val="none"/>
                <w:lang w:val="en-US" w:eastAsia="zh-CN"/>
              </w:rPr>
              <w:t>食宿</w:t>
            </w:r>
            <w:r>
              <w:rPr>
                <w:rFonts w:hint="eastAsia" w:ascii="宋体" w:hAnsi="宋体" w:eastAsia="宋体" w:cs="宋体"/>
                <w:color w:val="auto"/>
                <w:kern w:val="0"/>
                <w:sz w:val="24"/>
                <w:highlight w:val="none"/>
                <w:lang w:val="en-US" w:eastAsia="zh-CN"/>
              </w:rPr>
              <w:t>不在项目区内，不设生活营地，所以施工期没有生活污水产生。</w:t>
            </w:r>
          </w:p>
          <w:p w14:paraId="2B89C2FA">
            <w:pPr>
              <w:ind w:firstLine="480"/>
              <w:rPr>
                <w:highlight w:val="none"/>
              </w:rPr>
            </w:pPr>
            <w:r>
              <w:rPr>
                <w:rFonts w:hint="eastAsia"/>
                <w:b w:val="0"/>
                <w:bCs/>
                <w:color w:val="auto"/>
                <w:highlight w:val="none"/>
                <w:lang w:val="en-US" w:eastAsia="zh-CN"/>
              </w:rPr>
              <w:t>本项目运营期</w:t>
            </w:r>
            <w:r>
              <w:rPr>
                <w:rFonts w:hint="eastAsia"/>
                <w:highlight w:val="none"/>
              </w:rPr>
              <w:t>产生的废水主要是设备冷却用水和少量的生活污水。设备冷却水循环利用</w:t>
            </w:r>
            <w:r>
              <w:rPr>
                <w:rFonts w:hint="eastAsia"/>
                <w:color w:val="auto"/>
                <w:highlight w:val="none"/>
              </w:rPr>
              <w:t>。</w:t>
            </w:r>
            <w:r>
              <w:rPr>
                <w:rFonts w:hint="eastAsia"/>
                <w:highlight w:val="none"/>
              </w:rPr>
              <w:t>生活污水量也比较少，经化粪池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highlight w:val="none"/>
                <w:lang w:eastAsia="zh-CN"/>
              </w:rPr>
              <w:t>待园区污水管网接通后排入管网（达</w:t>
            </w:r>
            <w:r>
              <w:rPr>
                <w:rFonts w:hint="eastAsia"/>
                <w:highlight w:val="none"/>
                <w:lang w:val="en-US" w:eastAsia="zh-CN"/>
              </w:rPr>
              <w:t>到</w:t>
            </w:r>
            <w:r>
              <w:rPr>
                <w:rFonts w:hint="eastAsia"/>
                <w:highlight w:val="none"/>
                <w:lang w:eastAsia="zh-CN"/>
              </w:rPr>
              <w:t>《污水综合排放标准》（GB8978-1996）</w:t>
            </w:r>
            <w:r>
              <w:rPr>
                <w:rFonts w:hint="eastAsia"/>
                <w:highlight w:val="none"/>
                <w:lang w:val="en-US" w:eastAsia="zh-CN"/>
              </w:rPr>
              <w:t>中三级</w:t>
            </w:r>
            <w:r>
              <w:rPr>
                <w:rFonts w:hint="eastAsia"/>
                <w:highlight w:val="none"/>
                <w:lang w:eastAsia="zh-CN"/>
              </w:rPr>
              <w:t>标准），</w:t>
            </w:r>
            <w:r>
              <w:rPr>
                <w:rFonts w:hint="eastAsia"/>
                <w:highlight w:val="none"/>
              </w:rPr>
              <w:t>不会造成地表水污染。</w:t>
            </w:r>
          </w:p>
          <w:p w14:paraId="5F09AEEF">
            <w:pPr>
              <w:pStyle w:val="3"/>
              <w:rPr>
                <w:highlight w:val="none"/>
              </w:rPr>
            </w:pPr>
            <w:r>
              <w:rPr>
                <w:rFonts w:hint="default" w:ascii="Times New Roman" w:hAnsi="Times New Roman" w:cs="Times New Roman"/>
                <w:highlight w:val="none"/>
              </w:rPr>
              <w:t>2</w:t>
            </w:r>
            <w:r>
              <w:rPr>
                <w:rFonts w:hint="eastAsia"/>
                <w:highlight w:val="none"/>
              </w:rPr>
              <w:t>废气</w:t>
            </w:r>
          </w:p>
          <w:p w14:paraId="52810E6B">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highlight w:val="none"/>
              </w:rPr>
            </w:pPr>
            <w:r>
              <w:rPr>
                <w:color w:val="auto"/>
                <w:highlight w:val="none"/>
              </w:rPr>
              <w:t>本项目施工</w:t>
            </w:r>
            <w:r>
              <w:rPr>
                <w:rFonts w:hint="eastAsia"/>
                <w:color w:val="auto"/>
                <w:highlight w:val="none"/>
                <w:lang w:val="en-US" w:eastAsia="zh-CN"/>
              </w:rPr>
              <w:t>期</w:t>
            </w:r>
            <w:r>
              <w:rPr>
                <w:color w:val="auto"/>
                <w:highlight w:val="none"/>
              </w:rPr>
              <w:t>颗粒物执行《大气污染物综合排放标准》（GB16297-1996）表2中无组织排放监控浓度限值要求，具体见表</w:t>
            </w:r>
            <w:r>
              <w:rPr>
                <w:rFonts w:hint="eastAsia"/>
                <w:color w:val="auto"/>
                <w:highlight w:val="none"/>
                <w:lang w:val="en-US" w:eastAsia="zh-CN"/>
              </w:rPr>
              <w:t>3-3</w:t>
            </w:r>
            <w:r>
              <w:rPr>
                <w:color w:val="auto"/>
                <w:highlight w:val="none"/>
              </w:rPr>
              <w:t>。</w:t>
            </w:r>
          </w:p>
          <w:p w14:paraId="7FBA0BB9">
            <w:pPr>
              <w:pStyle w:val="20"/>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3</w:t>
            </w:r>
            <w:r>
              <w:rPr>
                <w:rFonts w:ascii="Times New Roman" w:hAnsi="Times New Roman" w:eastAsia="宋体" w:cs="Times New Roman"/>
                <w:color w:val="auto"/>
                <w:sz w:val="21"/>
                <w:szCs w:val="21"/>
                <w:highlight w:val="none"/>
              </w:rPr>
              <w:t xml:space="preserve">    大气污染物排放标准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9"/>
              <w:gridCol w:w="3264"/>
              <w:gridCol w:w="3877"/>
            </w:tblGrid>
            <w:tr w14:paraId="210C3F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91" w:type="dxa"/>
                  <w:vMerge w:val="restart"/>
                  <w:noWrap w:val="0"/>
                  <w:vAlign w:val="center"/>
                </w:tcPr>
                <w:p w14:paraId="1DABAED9">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污染物</w:t>
                  </w:r>
                </w:p>
              </w:tc>
              <w:tc>
                <w:tcPr>
                  <w:tcW w:w="3412" w:type="dxa"/>
                  <w:noWrap w:val="0"/>
                  <w:vAlign w:val="center"/>
                </w:tcPr>
                <w:p w14:paraId="19C16E5B">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标准限值</w:t>
                  </w:r>
                </w:p>
              </w:tc>
              <w:tc>
                <w:tcPr>
                  <w:tcW w:w="4055" w:type="dxa"/>
                  <w:vMerge w:val="restart"/>
                  <w:noWrap w:val="0"/>
                  <w:vAlign w:val="center"/>
                </w:tcPr>
                <w:p w14:paraId="197A12B3">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执行标准</w:t>
                  </w:r>
                </w:p>
              </w:tc>
            </w:tr>
            <w:tr w14:paraId="768B8B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91" w:type="dxa"/>
                  <w:vMerge w:val="continue"/>
                  <w:noWrap w:val="0"/>
                  <w:vAlign w:val="center"/>
                </w:tcPr>
                <w:p w14:paraId="1AC48B5C">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p>
              </w:tc>
              <w:tc>
                <w:tcPr>
                  <w:tcW w:w="3412" w:type="dxa"/>
                  <w:noWrap w:val="0"/>
                  <w:vAlign w:val="center"/>
                </w:tcPr>
                <w:p w14:paraId="093F83FB">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无组织排放监控浓度限值</w:t>
                  </w:r>
                  <w:r>
                    <w:rPr>
                      <w:rFonts w:hint="eastAsia"/>
                      <w:b w:val="0"/>
                      <w:bCs/>
                      <w:color w:val="auto"/>
                      <w:sz w:val="21"/>
                      <w:szCs w:val="21"/>
                      <w:highlight w:val="none"/>
                      <w:lang w:eastAsia="zh-CN"/>
                    </w:rPr>
                    <w:t>（</w:t>
                  </w:r>
                  <w:r>
                    <w:rPr>
                      <w:b w:val="0"/>
                      <w:bCs/>
                      <w:color w:val="auto"/>
                      <w:sz w:val="21"/>
                      <w:szCs w:val="21"/>
                      <w:highlight w:val="none"/>
                    </w:rPr>
                    <w:t>mg/m</w:t>
                  </w:r>
                  <w:r>
                    <w:rPr>
                      <w:b w:val="0"/>
                      <w:bCs/>
                      <w:color w:val="auto"/>
                      <w:sz w:val="21"/>
                      <w:szCs w:val="21"/>
                      <w:highlight w:val="none"/>
                      <w:vertAlign w:val="superscript"/>
                    </w:rPr>
                    <w:t>3</w:t>
                  </w:r>
                  <w:r>
                    <w:rPr>
                      <w:rFonts w:hint="eastAsia"/>
                      <w:b w:val="0"/>
                      <w:bCs/>
                      <w:color w:val="auto"/>
                      <w:sz w:val="21"/>
                      <w:szCs w:val="21"/>
                      <w:highlight w:val="none"/>
                      <w:vertAlign w:val="superscript"/>
                      <w:lang w:eastAsia="zh-CN"/>
                    </w:rPr>
                    <w:t>）</w:t>
                  </w:r>
                </w:p>
              </w:tc>
              <w:tc>
                <w:tcPr>
                  <w:tcW w:w="4055" w:type="dxa"/>
                  <w:vMerge w:val="continue"/>
                  <w:noWrap w:val="0"/>
                  <w:vAlign w:val="center"/>
                </w:tcPr>
                <w:p w14:paraId="0D2D6F68">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p>
              </w:tc>
            </w:tr>
            <w:tr w14:paraId="00DBBE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91" w:type="dxa"/>
                  <w:noWrap w:val="0"/>
                  <w:vAlign w:val="center"/>
                </w:tcPr>
                <w:p w14:paraId="766A2C2D">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颗粒物</w:t>
                  </w:r>
                </w:p>
              </w:tc>
              <w:tc>
                <w:tcPr>
                  <w:tcW w:w="3412" w:type="dxa"/>
                  <w:noWrap w:val="0"/>
                  <w:vAlign w:val="center"/>
                </w:tcPr>
                <w:p w14:paraId="64F4B07C">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1.0</w:t>
                  </w:r>
                </w:p>
              </w:tc>
              <w:tc>
                <w:tcPr>
                  <w:tcW w:w="4055" w:type="dxa"/>
                  <w:noWrap w:val="0"/>
                  <w:vAlign w:val="center"/>
                </w:tcPr>
                <w:p w14:paraId="0B999EF3">
                  <w:pPr>
                    <w:pStyle w:val="2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21"/>
                      <w:szCs w:val="21"/>
                      <w:highlight w:val="none"/>
                    </w:rPr>
                  </w:pPr>
                  <w:r>
                    <w:rPr>
                      <w:b w:val="0"/>
                      <w:bCs/>
                      <w:color w:val="auto"/>
                      <w:sz w:val="21"/>
                      <w:szCs w:val="21"/>
                      <w:highlight w:val="none"/>
                    </w:rPr>
                    <w:t>《大气污染物综合排放标准》（GB16297-1996）表2标准</w:t>
                  </w:r>
                </w:p>
              </w:tc>
            </w:tr>
          </w:tbl>
          <w:p w14:paraId="1188F6EC">
            <w:pPr>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highlight w:val="none"/>
              </w:rPr>
            </w:pPr>
            <w:r>
              <w:rPr>
                <w:rFonts w:hint="eastAsia"/>
                <w:b w:val="0"/>
                <w:bCs/>
                <w:color w:val="auto"/>
                <w:highlight w:val="none"/>
                <w:lang w:val="en-US" w:eastAsia="zh-CN"/>
              </w:rPr>
              <w:t>本项目运营期</w:t>
            </w:r>
            <w:r>
              <w:rPr>
                <w:rFonts w:hint="eastAsia"/>
                <w:highlight w:val="none"/>
              </w:rPr>
              <w:t>产生颗粒物执行《大气污染物综合排放标准》</w:t>
            </w:r>
            <w:r>
              <w:rPr>
                <w:rFonts w:hint="eastAsia"/>
                <w:highlight w:val="none"/>
                <w:lang w:eastAsia="zh-CN"/>
              </w:rPr>
              <w:t>（</w:t>
            </w:r>
            <w:r>
              <w:rPr>
                <w:rFonts w:hint="eastAsia"/>
                <w:highlight w:val="none"/>
              </w:rPr>
              <w:t>GB16297-1996</w:t>
            </w:r>
            <w:r>
              <w:rPr>
                <w:rFonts w:hint="eastAsia"/>
                <w:highlight w:val="none"/>
                <w:lang w:eastAsia="zh-CN"/>
              </w:rPr>
              <w:t>）</w:t>
            </w:r>
            <w:r>
              <w:rPr>
                <w:rFonts w:hint="eastAsia"/>
                <w:highlight w:val="none"/>
              </w:rPr>
              <w:t>表2新污染源大气污染物排放限值；</w:t>
            </w:r>
            <w:r>
              <w:rPr>
                <w:highlight w:val="none"/>
              </w:rPr>
              <w:t>食堂油烟执行《饮食业油烟排放标准（试行）》（GB18483-2001）</w:t>
            </w:r>
            <w:r>
              <w:rPr>
                <w:color w:val="000000"/>
                <w:highlight w:val="none"/>
              </w:rPr>
              <w:t>表2</w:t>
            </w:r>
            <w:r>
              <w:rPr>
                <w:rFonts w:hint="eastAsia"/>
                <w:color w:val="000000"/>
                <w:highlight w:val="none"/>
                <w:lang w:val="en-US" w:eastAsia="zh-CN"/>
              </w:rPr>
              <w:t>小型</w:t>
            </w:r>
            <w:r>
              <w:rPr>
                <w:color w:val="000000"/>
                <w:highlight w:val="none"/>
              </w:rPr>
              <w:t>油烟</w:t>
            </w:r>
            <w:r>
              <w:rPr>
                <w:rFonts w:hint="eastAsia"/>
                <w:color w:val="000000"/>
                <w:highlight w:val="none"/>
                <w:lang w:eastAsia="zh-CN"/>
              </w:rPr>
              <w:t>最高</w:t>
            </w:r>
            <w:r>
              <w:rPr>
                <w:color w:val="000000"/>
                <w:highlight w:val="none"/>
              </w:rPr>
              <w:t>允许排放浓度限值（2.0mg/m</w:t>
            </w:r>
            <w:r>
              <w:rPr>
                <w:color w:val="000000"/>
                <w:highlight w:val="none"/>
                <w:vertAlign w:val="superscript"/>
              </w:rPr>
              <w:t>3</w:t>
            </w:r>
            <w:r>
              <w:rPr>
                <w:rFonts w:hint="eastAsia"/>
                <w:color w:val="000000"/>
                <w:highlight w:val="none"/>
                <w:vertAlign w:val="baseline"/>
                <w:lang w:eastAsia="zh-CN"/>
              </w:rPr>
              <w:t>，</w:t>
            </w:r>
            <w:r>
              <w:rPr>
                <w:rFonts w:hint="eastAsia"/>
                <w:color w:val="000000"/>
                <w:highlight w:val="none"/>
                <w:vertAlign w:val="baseline"/>
                <w:lang w:val="en-US" w:eastAsia="zh-CN"/>
              </w:rPr>
              <w:t>净化设施最低去除效率60%</w:t>
            </w:r>
            <w:r>
              <w:rPr>
                <w:color w:val="000000"/>
                <w:highlight w:val="none"/>
              </w:rPr>
              <w:t>）</w:t>
            </w:r>
            <w:r>
              <w:rPr>
                <w:highlight w:val="none"/>
              </w:rPr>
              <w:t>。</w:t>
            </w:r>
          </w:p>
          <w:p w14:paraId="4E756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sz w:val="21"/>
                <w:szCs w:val="21"/>
                <w:highlight w:val="none"/>
              </w:rPr>
            </w:pPr>
            <w:r>
              <w:rPr>
                <w:rFonts w:hint="eastAsia" w:ascii="宋体" w:hAnsi="宋体" w:eastAsia="Times New Roman"/>
                <w:b/>
                <w:bCs/>
                <w:sz w:val="21"/>
                <w:szCs w:val="21"/>
                <w:highlight w:val="none"/>
              </w:rPr>
              <w:t>表</w:t>
            </w:r>
            <w:r>
              <w:rPr>
                <w:rFonts w:hint="default" w:ascii="Times New Roman" w:hAnsi="Times New Roman" w:eastAsia="Times New Roman" w:cs="Times New Roman"/>
                <w:b/>
                <w:bCs/>
                <w:sz w:val="21"/>
                <w:szCs w:val="21"/>
                <w:highlight w:val="none"/>
              </w:rPr>
              <w:t>3-</w:t>
            </w:r>
            <w:r>
              <w:rPr>
                <w:rFonts w:hint="eastAsia" w:cs="Times New Roman"/>
                <w:b/>
                <w:bCs/>
                <w:sz w:val="21"/>
                <w:szCs w:val="21"/>
                <w:highlight w:val="none"/>
                <w:lang w:val="en-US" w:eastAsia="zh-CN"/>
              </w:rPr>
              <w:t>4</w:t>
            </w:r>
            <w:r>
              <w:rPr>
                <w:rFonts w:hint="eastAsia" w:ascii="宋体" w:hAnsi="宋体" w:eastAsia="Times New Roman"/>
                <w:b/>
                <w:bCs/>
                <w:sz w:val="21"/>
                <w:szCs w:val="21"/>
                <w:highlight w:val="none"/>
              </w:rPr>
              <w:t xml:space="preserve">   《大气污染物综合排放标准》</w:t>
            </w:r>
            <w:r>
              <w:rPr>
                <w:rFonts w:hint="default" w:ascii="Times New Roman" w:hAnsi="Times New Roman" w:eastAsia="Times New Roman" w:cs="Times New Roman"/>
                <w:b/>
                <w:bCs/>
                <w:sz w:val="21"/>
                <w:szCs w:val="21"/>
                <w:highlight w:val="none"/>
              </w:rPr>
              <w:t>（GB16297-1996）</w:t>
            </w:r>
          </w:p>
          <w:tbl>
            <w:tblPr>
              <w:tblStyle w:val="31"/>
              <w:tblW w:w="7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590"/>
              <w:gridCol w:w="1455"/>
              <w:gridCol w:w="1020"/>
              <w:gridCol w:w="1500"/>
              <w:gridCol w:w="1092"/>
            </w:tblGrid>
            <w:tr w14:paraId="1420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03" w:type="dxa"/>
                  <w:vMerge w:val="restart"/>
                  <w:vAlign w:val="center"/>
                </w:tcPr>
                <w:p w14:paraId="08B14DE2">
                  <w:pPr>
                    <w:pStyle w:val="55"/>
                    <w:rPr>
                      <w:highlight w:val="none"/>
                    </w:rPr>
                  </w:pPr>
                  <w:r>
                    <w:rPr>
                      <w:rFonts w:hint="eastAsia"/>
                      <w:highlight w:val="none"/>
                    </w:rPr>
                    <w:t>污染物</w:t>
                  </w:r>
                </w:p>
              </w:tc>
              <w:tc>
                <w:tcPr>
                  <w:tcW w:w="1590" w:type="dxa"/>
                  <w:vMerge w:val="restart"/>
                  <w:vAlign w:val="center"/>
                </w:tcPr>
                <w:p w14:paraId="15057B25">
                  <w:pPr>
                    <w:pStyle w:val="55"/>
                    <w:rPr>
                      <w:highlight w:val="none"/>
                    </w:rPr>
                  </w:pPr>
                  <w:r>
                    <w:rPr>
                      <w:rFonts w:hint="eastAsia"/>
                      <w:highlight w:val="none"/>
                    </w:rPr>
                    <w:t>最高允许排放浓度mg/m</w:t>
                  </w:r>
                  <w:r>
                    <w:rPr>
                      <w:rFonts w:hint="eastAsia"/>
                      <w:highlight w:val="none"/>
                      <w:vertAlign w:val="superscript"/>
                    </w:rPr>
                    <w:t>3</w:t>
                  </w:r>
                </w:p>
              </w:tc>
              <w:tc>
                <w:tcPr>
                  <w:tcW w:w="2475" w:type="dxa"/>
                  <w:gridSpan w:val="2"/>
                  <w:vAlign w:val="center"/>
                </w:tcPr>
                <w:p w14:paraId="0E51FC15">
                  <w:pPr>
                    <w:pStyle w:val="55"/>
                    <w:rPr>
                      <w:highlight w:val="none"/>
                    </w:rPr>
                  </w:pPr>
                  <w:r>
                    <w:rPr>
                      <w:rFonts w:hint="eastAsia"/>
                      <w:highlight w:val="none"/>
                    </w:rPr>
                    <w:t>最高允许排放速率，kg/h</w:t>
                  </w:r>
                </w:p>
              </w:tc>
              <w:tc>
                <w:tcPr>
                  <w:tcW w:w="2592" w:type="dxa"/>
                  <w:gridSpan w:val="2"/>
                  <w:vAlign w:val="center"/>
                </w:tcPr>
                <w:p w14:paraId="7A406999">
                  <w:pPr>
                    <w:pStyle w:val="55"/>
                    <w:rPr>
                      <w:highlight w:val="none"/>
                    </w:rPr>
                  </w:pPr>
                  <w:r>
                    <w:rPr>
                      <w:rFonts w:hint="eastAsia"/>
                      <w:highlight w:val="none"/>
                    </w:rPr>
                    <w:t>无组织排放监控浓度限值</w:t>
                  </w:r>
                </w:p>
              </w:tc>
            </w:tr>
            <w:tr w14:paraId="3D2B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303" w:type="dxa"/>
                  <w:vMerge w:val="continue"/>
                  <w:vAlign w:val="center"/>
                </w:tcPr>
                <w:p w14:paraId="2BAEAFAA">
                  <w:pPr>
                    <w:pStyle w:val="55"/>
                    <w:rPr>
                      <w:highlight w:val="none"/>
                    </w:rPr>
                  </w:pPr>
                </w:p>
              </w:tc>
              <w:tc>
                <w:tcPr>
                  <w:tcW w:w="1590" w:type="dxa"/>
                  <w:vMerge w:val="continue"/>
                  <w:vAlign w:val="center"/>
                </w:tcPr>
                <w:p w14:paraId="6795D908">
                  <w:pPr>
                    <w:pStyle w:val="55"/>
                    <w:rPr>
                      <w:highlight w:val="none"/>
                    </w:rPr>
                  </w:pPr>
                </w:p>
              </w:tc>
              <w:tc>
                <w:tcPr>
                  <w:tcW w:w="1455" w:type="dxa"/>
                  <w:vAlign w:val="center"/>
                </w:tcPr>
                <w:p w14:paraId="7AB404A9">
                  <w:pPr>
                    <w:pStyle w:val="55"/>
                    <w:rPr>
                      <w:highlight w:val="none"/>
                    </w:rPr>
                  </w:pPr>
                  <w:r>
                    <w:rPr>
                      <w:rFonts w:hint="eastAsia"/>
                      <w:highlight w:val="none"/>
                    </w:rPr>
                    <w:t>排气筒</w:t>
                  </w:r>
                  <w:r>
                    <w:rPr>
                      <w:highlight w:val="none"/>
                    </w:rPr>
                    <w:t>高度</w:t>
                  </w:r>
                  <w:r>
                    <w:rPr>
                      <w:rFonts w:hint="eastAsia"/>
                      <w:highlight w:val="none"/>
                    </w:rPr>
                    <w:t>m</w:t>
                  </w:r>
                </w:p>
              </w:tc>
              <w:tc>
                <w:tcPr>
                  <w:tcW w:w="1020" w:type="dxa"/>
                  <w:vAlign w:val="center"/>
                </w:tcPr>
                <w:p w14:paraId="6723B1CA">
                  <w:pPr>
                    <w:pStyle w:val="55"/>
                    <w:rPr>
                      <w:highlight w:val="none"/>
                    </w:rPr>
                  </w:pPr>
                  <w:r>
                    <w:rPr>
                      <w:rFonts w:hint="eastAsia"/>
                      <w:highlight w:val="none"/>
                    </w:rPr>
                    <w:t>二级</w:t>
                  </w:r>
                </w:p>
              </w:tc>
              <w:tc>
                <w:tcPr>
                  <w:tcW w:w="1500" w:type="dxa"/>
                  <w:vAlign w:val="center"/>
                </w:tcPr>
                <w:p w14:paraId="5F688FE3">
                  <w:pPr>
                    <w:pStyle w:val="55"/>
                    <w:rPr>
                      <w:highlight w:val="none"/>
                    </w:rPr>
                  </w:pPr>
                  <w:r>
                    <w:rPr>
                      <w:rFonts w:hint="eastAsia"/>
                      <w:highlight w:val="none"/>
                    </w:rPr>
                    <w:t>监控点</w:t>
                  </w:r>
                </w:p>
              </w:tc>
              <w:tc>
                <w:tcPr>
                  <w:tcW w:w="1092" w:type="dxa"/>
                  <w:vAlign w:val="center"/>
                </w:tcPr>
                <w:p w14:paraId="4964DAD2">
                  <w:pPr>
                    <w:pStyle w:val="55"/>
                    <w:rPr>
                      <w:highlight w:val="none"/>
                    </w:rPr>
                  </w:pPr>
                  <w:r>
                    <w:rPr>
                      <w:rFonts w:hint="eastAsia"/>
                      <w:highlight w:val="none"/>
                    </w:rPr>
                    <w:t>浓度</w:t>
                  </w:r>
                  <w:r>
                    <w:rPr>
                      <w:highlight w:val="none"/>
                    </w:rPr>
                    <w:t>mg/m</w:t>
                  </w:r>
                  <w:r>
                    <w:rPr>
                      <w:highlight w:val="none"/>
                      <w:vertAlign w:val="superscript"/>
                    </w:rPr>
                    <w:t>3</w:t>
                  </w:r>
                </w:p>
              </w:tc>
            </w:tr>
            <w:tr w14:paraId="7340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303" w:type="dxa"/>
                  <w:vAlign w:val="center"/>
                </w:tcPr>
                <w:p w14:paraId="48A4013B">
                  <w:pPr>
                    <w:pStyle w:val="55"/>
                    <w:rPr>
                      <w:highlight w:val="none"/>
                    </w:rPr>
                  </w:pPr>
                  <w:r>
                    <w:rPr>
                      <w:rFonts w:hint="eastAsia"/>
                      <w:highlight w:val="none"/>
                    </w:rPr>
                    <w:t>颗粒物</w:t>
                  </w:r>
                </w:p>
              </w:tc>
              <w:tc>
                <w:tcPr>
                  <w:tcW w:w="1590" w:type="dxa"/>
                  <w:vAlign w:val="center"/>
                </w:tcPr>
                <w:p w14:paraId="56D00BE0">
                  <w:pPr>
                    <w:pStyle w:val="55"/>
                    <w:rPr>
                      <w:highlight w:val="none"/>
                    </w:rPr>
                  </w:pPr>
                  <w:r>
                    <w:rPr>
                      <w:rFonts w:hint="eastAsia"/>
                      <w:highlight w:val="none"/>
                    </w:rPr>
                    <w:t>120</w:t>
                  </w:r>
                </w:p>
              </w:tc>
              <w:tc>
                <w:tcPr>
                  <w:tcW w:w="1455" w:type="dxa"/>
                  <w:vAlign w:val="center"/>
                </w:tcPr>
                <w:p w14:paraId="0664693E">
                  <w:pPr>
                    <w:pStyle w:val="55"/>
                    <w:rPr>
                      <w:highlight w:val="none"/>
                    </w:rPr>
                  </w:pPr>
                  <w:r>
                    <w:rPr>
                      <w:rFonts w:hint="eastAsia"/>
                      <w:highlight w:val="none"/>
                    </w:rPr>
                    <w:t>15</w:t>
                  </w:r>
                </w:p>
              </w:tc>
              <w:tc>
                <w:tcPr>
                  <w:tcW w:w="1020" w:type="dxa"/>
                  <w:vAlign w:val="center"/>
                </w:tcPr>
                <w:p w14:paraId="55263355">
                  <w:pPr>
                    <w:pStyle w:val="55"/>
                    <w:rPr>
                      <w:highlight w:val="none"/>
                    </w:rPr>
                  </w:pPr>
                  <w:r>
                    <w:rPr>
                      <w:rFonts w:hint="eastAsia"/>
                      <w:highlight w:val="none"/>
                    </w:rPr>
                    <w:t>3.5</w:t>
                  </w:r>
                </w:p>
              </w:tc>
              <w:tc>
                <w:tcPr>
                  <w:tcW w:w="1500" w:type="dxa"/>
                  <w:vAlign w:val="center"/>
                </w:tcPr>
                <w:p w14:paraId="358C2C7B">
                  <w:pPr>
                    <w:pStyle w:val="55"/>
                    <w:rPr>
                      <w:highlight w:val="none"/>
                    </w:rPr>
                  </w:pPr>
                  <w:r>
                    <w:rPr>
                      <w:rFonts w:hint="eastAsia"/>
                      <w:highlight w:val="none"/>
                    </w:rPr>
                    <w:t>周界外浓度最高点</w:t>
                  </w:r>
                </w:p>
              </w:tc>
              <w:tc>
                <w:tcPr>
                  <w:tcW w:w="1092" w:type="dxa"/>
                  <w:vAlign w:val="center"/>
                </w:tcPr>
                <w:p w14:paraId="5D933409">
                  <w:pPr>
                    <w:pStyle w:val="55"/>
                    <w:rPr>
                      <w:highlight w:val="none"/>
                    </w:rPr>
                  </w:pPr>
                  <w:r>
                    <w:rPr>
                      <w:rFonts w:hint="eastAsia"/>
                      <w:highlight w:val="none"/>
                    </w:rPr>
                    <w:t>1.0</w:t>
                  </w:r>
                </w:p>
              </w:tc>
            </w:tr>
          </w:tbl>
          <w:p w14:paraId="01834825">
            <w:pPr>
              <w:pStyle w:val="3"/>
              <w:rPr>
                <w:highlight w:val="none"/>
              </w:rPr>
            </w:pPr>
            <w:r>
              <w:rPr>
                <w:rFonts w:hint="default" w:ascii="Times New Roman" w:hAnsi="Times New Roman" w:cs="Times New Roman"/>
                <w:highlight w:val="none"/>
              </w:rPr>
              <w:t>3</w:t>
            </w:r>
            <w:r>
              <w:rPr>
                <w:highlight w:val="none"/>
              </w:rPr>
              <w:t>噪声</w:t>
            </w:r>
          </w:p>
          <w:p w14:paraId="25E5F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eastAsia"/>
                <w:color w:val="auto"/>
                <w:highlight w:val="none"/>
              </w:rPr>
              <w:t>本项目施工期</w:t>
            </w:r>
            <w:r>
              <w:rPr>
                <w:color w:val="auto"/>
                <w:highlight w:val="none"/>
              </w:rPr>
              <w:t>噪声执行《建筑施工场界环境噪声排放标准》（GB12523-2011）表1中标准，即昼间：</w:t>
            </w:r>
            <w:r>
              <w:rPr>
                <w:rFonts w:hint="eastAsia"/>
                <w:color w:val="auto"/>
                <w:highlight w:val="none"/>
                <w:lang w:val="en-US" w:eastAsia="zh-CN"/>
              </w:rPr>
              <w:t>70</w:t>
            </w:r>
            <w:r>
              <w:rPr>
                <w:color w:val="auto"/>
                <w:highlight w:val="none"/>
              </w:rPr>
              <w:t>dB</w:t>
            </w:r>
            <w:r>
              <w:rPr>
                <w:rFonts w:hint="eastAsia"/>
                <w:color w:val="auto"/>
                <w:highlight w:val="none"/>
                <w:lang w:val="en-US" w:eastAsia="zh-CN"/>
              </w:rPr>
              <w:t>(A)</w:t>
            </w:r>
            <w:r>
              <w:rPr>
                <w:color w:val="auto"/>
                <w:highlight w:val="none"/>
              </w:rPr>
              <w:t>，夜间：5</w:t>
            </w:r>
            <w:r>
              <w:rPr>
                <w:rFonts w:hint="eastAsia"/>
                <w:color w:val="auto"/>
                <w:highlight w:val="none"/>
              </w:rPr>
              <w:t>5</w:t>
            </w:r>
            <w:r>
              <w:rPr>
                <w:color w:val="auto"/>
                <w:highlight w:val="none"/>
              </w:rPr>
              <w:t>dB</w:t>
            </w:r>
            <w:r>
              <w:rPr>
                <w:rFonts w:hint="eastAsia"/>
                <w:color w:val="auto"/>
                <w:highlight w:val="none"/>
                <w:lang w:val="en-US" w:eastAsia="zh-CN"/>
              </w:rPr>
              <w:t>(A)</w:t>
            </w:r>
            <w:r>
              <w:rPr>
                <w:color w:val="auto"/>
                <w:highlight w:val="none"/>
              </w:rPr>
              <w:t>。</w:t>
            </w:r>
          </w:p>
          <w:p w14:paraId="247355B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eastAsia"/>
                <w:color w:val="auto"/>
                <w:highlight w:val="none"/>
              </w:rPr>
              <w:t>本项目运营期</w:t>
            </w:r>
            <w:r>
              <w:rPr>
                <w:color w:val="auto"/>
                <w:highlight w:val="none"/>
              </w:rPr>
              <w:t>噪声执行《工业企业厂界环境噪声排放标准》（GB12348-2008）中的</w:t>
            </w:r>
            <w:r>
              <w:rPr>
                <w:rFonts w:hint="eastAsia"/>
                <w:color w:val="auto"/>
                <w:highlight w:val="none"/>
              </w:rPr>
              <w:t>3</w:t>
            </w:r>
            <w:r>
              <w:rPr>
                <w:color w:val="auto"/>
                <w:highlight w:val="none"/>
              </w:rPr>
              <w:t>类标准，即昼间：6</w:t>
            </w:r>
            <w:r>
              <w:rPr>
                <w:rFonts w:hint="eastAsia"/>
                <w:color w:val="auto"/>
                <w:highlight w:val="none"/>
              </w:rPr>
              <w:t>5</w:t>
            </w:r>
            <w:r>
              <w:rPr>
                <w:color w:val="auto"/>
                <w:highlight w:val="none"/>
              </w:rPr>
              <w:t>dB(A)，夜间：5</w:t>
            </w:r>
            <w:r>
              <w:rPr>
                <w:rFonts w:hint="eastAsia"/>
                <w:color w:val="auto"/>
                <w:highlight w:val="none"/>
              </w:rPr>
              <w:t>5</w:t>
            </w:r>
            <w:r>
              <w:rPr>
                <w:color w:val="auto"/>
                <w:highlight w:val="none"/>
              </w:rPr>
              <w:t>dB(A)。</w:t>
            </w:r>
          </w:p>
          <w:p w14:paraId="77AAF4C9">
            <w:pPr>
              <w:pStyle w:val="3"/>
              <w:rPr>
                <w:rFonts w:hint="eastAsia"/>
                <w:color w:val="auto"/>
                <w:szCs w:val="21"/>
                <w:highlight w:val="none"/>
              </w:rPr>
            </w:pPr>
            <w:r>
              <w:rPr>
                <w:rFonts w:hint="default" w:ascii="Times New Roman" w:hAnsi="Times New Roman" w:cs="Times New Roman"/>
                <w:highlight w:val="none"/>
              </w:rPr>
              <w:t>4</w:t>
            </w:r>
            <w:r>
              <w:rPr>
                <w:rFonts w:hint="eastAsia"/>
                <w:color w:val="auto"/>
                <w:szCs w:val="21"/>
                <w:highlight w:val="none"/>
              </w:rPr>
              <w:t>一般工业固体废物</w:t>
            </w:r>
          </w:p>
          <w:p w14:paraId="747DC308">
            <w:pPr>
              <w:rPr>
                <w:rFonts w:hint="eastAsia"/>
                <w:highlight w:val="none"/>
              </w:rPr>
            </w:pPr>
            <w:r>
              <w:rPr>
                <w:rFonts w:hint="eastAsia"/>
                <w:highlight w:val="none"/>
              </w:rPr>
              <w:t>本项目施工期</w:t>
            </w:r>
            <w:r>
              <w:rPr>
                <w:rFonts w:hint="eastAsia"/>
                <w:highlight w:val="none"/>
                <w:lang w:val="en-US" w:eastAsia="zh-CN"/>
              </w:rPr>
              <w:t>和运营期</w:t>
            </w:r>
            <w:r>
              <w:rPr>
                <w:rFonts w:hint="eastAsia"/>
                <w:highlight w:val="none"/>
              </w:rPr>
              <w:t>一般工业固体废物参考《一般工业固体废物贮存和填埋污染控制标准》（GB18599-2020）中的相关要求。</w:t>
            </w:r>
          </w:p>
          <w:p w14:paraId="47A144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Arial" w:hAnsi="Arial" w:eastAsia="宋体" w:cs="Times New Roman"/>
                <w:b/>
                <w:color w:val="auto"/>
                <w:kern w:val="2"/>
                <w:sz w:val="24"/>
                <w:szCs w:val="21"/>
                <w:highlight w:val="none"/>
                <w:lang w:val="en-US" w:eastAsia="zh-CN" w:bidi="ar-SA"/>
              </w:rPr>
            </w:pPr>
            <w:r>
              <w:rPr>
                <w:rFonts w:hint="eastAsia" w:ascii="Times New Roman" w:hAnsi="Times New Roman" w:eastAsia="宋体" w:cs="Times New Roman"/>
                <w:b/>
                <w:kern w:val="2"/>
                <w:sz w:val="24"/>
                <w:szCs w:val="24"/>
                <w:highlight w:val="none"/>
                <w:lang w:val="en-US" w:eastAsia="zh-CN" w:bidi="ar-SA"/>
              </w:rPr>
              <w:t>5</w:t>
            </w:r>
            <w:r>
              <w:rPr>
                <w:rFonts w:hint="eastAsia" w:ascii="Arial" w:hAnsi="Arial" w:eastAsia="宋体" w:cs="Times New Roman"/>
                <w:b/>
                <w:color w:val="auto"/>
                <w:kern w:val="2"/>
                <w:sz w:val="24"/>
                <w:szCs w:val="21"/>
                <w:highlight w:val="none"/>
                <w:lang w:val="en-US" w:eastAsia="zh-CN" w:bidi="ar-SA"/>
              </w:rPr>
              <w:t>危险排放标准</w:t>
            </w:r>
          </w:p>
          <w:p w14:paraId="5CD36674">
            <w:pPr>
              <w:pStyle w:val="40"/>
              <w:keepNext w:val="0"/>
              <w:keepLines w:val="0"/>
              <w:pageBreakBefore w:val="0"/>
              <w:widowControl w:val="0"/>
              <w:kinsoku/>
              <w:wordWrap/>
              <w:overflowPunct/>
              <w:topLinePunct w:val="0"/>
              <w:bidi w:val="0"/>
              <w:adjustRightInd w:val="0"/>
              <w:snapToGrid w:val="0"/>
              <w:spacing w:line="360" w:lineRule="auto"/>
              <w:jc w:val="left"/>
              <w:rPr>
                <w:highlight w:val="none"/>
              </w:rPr>
            </w:pPr>
            <w:r>
              <w:rPr>
                <w:color w:val="auto"/>
                <w:szCs w:val="21"/>
                <w:highlight w:val="none"/>
              </w:rPr>
              <w:t>本项目</w:t>
            </w:r>
            <w:r>
              <w:rPr>
                <w:rFonts w:hint="eastAsia"/>
                <w:color w:val="auto"/>
                <w:szCs w:val="21"/>
                <w:highlight w:val="none"/>
                <w:lang w:val="en-US" w:eastAsia="zh-CN"/>
              </w:rPr>
              <w:t>运营期</w:t>
            </w:r>
            <w:r>
              <w:rPr>
                <w:color w:val="auto"/>
                <w:szCs w:val="21"/>
                <w:highlight w:val="none"/>
              </w:rPr>
              <w:t>产生的危险废物控制标准执行《危险废物贮存污染控制标准》（GB18597-20</w:t>
            </w:r>
            <w:r>
              <w:rPr>
                <w:rFonts w:hint="eastAsia"/>
                <w:color w:val="auto"/>
                <w:szCs w:val="21"/>
                <w:highlight w:val="none"/>
              </w:rPr>
              <w:t>23</w:t>
            </w:r>
            <w:r>
              <w:rPr>
                <w:color w:val="auto"/>
                <w:szCs w:val="21"/>
                <w:highlight w:val="none"/>
              </w:rPr>
              <w:t>）的要求</w:t>
            </w:r>
            <w:r>
              <w:rPr>
                <w:color w:val="auto"/>
                <w:highlight w:val="none"/>
              </w:rPr>
              <w:t>。</w:t>
            </w:r>
          </w:p>
        </w:tc>
      </w:tr>
      <w:tr w14:paraId="52DCC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568F30C8">
            <w:pPr>
              <w:ind w:firstLine="0" w:firstLineChars="0"/>
              <w:jc w:val="left"/>
              <w:rPr>
                <w:highlight w:val="none"/>
              </w:rPr>
            </w:pPr>
            <w:r>
              <w:rPr>
                <w:rFonts w:hint="eastAsia"/>
                <w:highlight w:val="none"/>
              </w:rPr>
              <w:t>总量控制指标</w:t>
            </w:r>
          </w:p>
        </w:tc>
        <w:tc>
          <w:tcPr>
            <w:tcW w:w="8226" w:type="dxa"/>
            <w:gridSpan w:val="2"/>
            <w:vAlign w:val="center"/>
          </w:tcPr>
          <w:p w14:paraId="4E4F49EA">
            <w:pPr>
              <w:ind w:firstLine="470" w:firstLineChars="196"/>
              <w:rPr>
                <w:szCs w:val="22"/>
                <w:highlight w:val="none"/>
              </w:rPr>
            </w:pPr>
            <w:r>
              <w:rPr>
                <w:rFonts w:hint="eastAsia"/>
                <w:bCs/>
                <w:color w:val="000000"/>
                <w:highlight w:val="none"/>
              </w:rPr>
              <w:t>根据《国务院关于印发“十四五”节能减排综合工作方案的通知》</w:t>
            </w:r>
            <w:r>
              <w:rPr>
                <w:rFonts w:hint="eastAsia" w:ascii="宋体" w:hAnsi="宋体" w:eastAsia="宋体" w:cs="宋体"/>
                <w:bCs/>
                <w:color w:val="000000"/>
                <w:highlight w:val="none"/>
                <w:lang w:val="en-US" w:eastAsia="zh-CN"/>
              </w:rPr>
              <w:t>(</w:t>
            </w:r>
            <w:r>
              <w:rPr>
                <w:rFonts w:hint="eastAsia"/>
                <w:bCs/>
                <w:color w:val="000000"/>
                <w:highlight w:val="none"/>
              </w:rPr>
              <w:t>国发</w:t>
            </w:r>
            <w:r>
              <w:rPr>
                <w:rFonts w:hint="eastAsia"/>
                <w:bCs/>
                <w:color w:val="000000"/>
                <w:highlight w:val="none"/>
                <w:lang w:eastAsia="zh-CN"/>
              </w:rPr>
              <w:t>〔2021〕33号</w:t>
            </w:r>
            <w:r>
              <w:rPr>
                <w:rFonts w:hint="eastAsia" w:ascii="宋体" w:hAnsi="宋体" w:eastAsia="宋体" w:cs="宋体"/>
                <w:bCs/>
                <w:color w:val="000000"/>
                <w:highlight w:val="none"/>
                <w:lang w:val="en-US" w:eastAsia="zh-CN"/>
              </w:rPr>
              <w:t>)</w:t>
            </w:r>
            <w:r>
              <w:rPr>
                <w:rFonts w:hint="eastAsia"/>
                <w:bCs/>
                <w:color w:val="000000"/>
                <w:highlight w:val="none"/>
              </w:rPr>
              <w:t>中的规定，实施污染物排放总量控制的指标有化学需氧量、氨氮、氮氧化物和挥发性有机物四项污染物。</w:t>
            </w:r>
          </w:p>
          <w:p w14:paraId="132378C4">
            <w:pPr>
              <w:ind w:firstLine="470" w:firstLineChars="196"/>
              <w:rPr>
                <w:bCs/>
                <w:highlight w:val="none"/>
              </w:rPr>
            </w:pPr>
            <w:r>
              <w:rPr>
                <w:szCs w:val="22"/>
                <w:highlight w:val="none"/>
              </w:rPr>
              <w:t>根据生态环境部污染物总量控制因子，确定本项目总量控制因子为</w:t>
            </w:r>
            <w:r>
              <w:rPr>
                <w:highlight w:val="none"/>
              </w:rPr>
              <w:t>COD、氨氮，</w:t>
            </w:r>
            <w:r>
              <w:rPr>
                <w:rFonts w:hint="eastAsia"/>
                <w:highlight w:val="none"/>
              </w:rPr>
              <w:t>运营期生活污水排入化粪池收集</w:t>
            </w:r>
            <w:r>
              <w:rPr>
                <w:rFonts w:hint="eastAsia"/>
                <w:highlight w:val="none"/>
                <w:lang w:eastAsia="zh-CN"/>
              </w:rPr>
              <w:t>预处理后排入园区下水管网最终进入</w:t>
            </w:r>
            <w:r>
              <w:rPr>
                <w:rFonts w:hint="eastAsia"/>
                <w:highlight w:val="none"/>
                <w:lang w:val="en-US" w:eastAsia="zh-CN"/>
              </w:rPr>
              <w:t>若羌县</w:t>
            </w:r>
            <w:r>
              <w:rPr>
                <w:rFonts w:hint="eastAsia"/>
                <w:highlight w:val="none"/>
                <w:lang w:eastAsia="zh-CN"/>
              </w:rPr>
              <w:t>污水处理厂处置</w:t>
            </w:r>
            <w:r>
              <w:rPr>
                <w:rFonts w:hint="eastAsia"/>
                <w:highlight w:val="none"/>
              </w:rPr>
              <w:t>，</w:t>
            </w:r>
            <w:r>
              <w:rPr>
                <w:highlight w:val="none"/>
              </w:rPr>
              <w:t>总量从接纳污水的污水处理厂中扣除，所以本项目无需申请水污染物总量控制</w:t>
            </w:r>
            <w:r>
              <w:rPr>
                <w:bCs/>
                <w:highlight w:val="none"/>
                <w:lang w:val="fr-FR"/>
              </w:rPr>
              <w:t>。</w:t>
            </w:r>
          </w:p>
        </w:tc>
      </w:tr>
    </w:tbl>
    <w:p w14:paraId="7A5DFAE9">
      <w:pPr>
        <w:pStyle w:val="2"/>
        <w:rPr>
          <w:rFonts w:hint="eastAsia" w:ascii="黑体" w:hAnsi="黑体"/>
          <w:snapToGrid w:val="0"/>
          <w:color w:val="auto"/>
        </w:rPr>
      </w:pPr>
      <w:bookmarkStart w:id="8" w:name="_Toc17109"/>
      <w:r>
        <w:rPr>
          <w:rStyle w:val="44"/>
          <w:rFonts w:hint="eastAsia"/>
          <w:b/>
          <w:bCs/>
          <w:color w:val="auto"/>
        </w:rPr>
        <w:t>四、主要环境影响和保护措施</w:t>
      </w:r>
      <w:bookmarkEnd w:id="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F780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46" w:type="dxa"/>
            <w:tcMar>
              <w:left w:w="28" w:type="dxa"/>
              <w:right w:w="28" w:type="dxa"/>
            </w:tcMar>
            <w:vAlign w:val="center"/>
          </w:tcPr>
          <w:p w14:paraId="026FA852">
            <w:pPr>
              <w:pStyle w:val="56"/>
              <w:rPr>
                <w:highlight w:val="none"/>
              </w:rPr>
            </w:pPr>
            <w:r>
              <w:rPr>
                <w:rFonts w:hint="eastAsia"/>
                <w:highlight w:val="none"/>
              </w:rPr>
              <w:t>施工期环境保护措施</w:t>
            </w:r>
          </w:p>
        </w:tc>
        <w:tc>
          <w:tcPr>
            <w:tcW w:w="8162" w:type="dxa"/>
            <w:vAlign w:val="center"/>
          </w:tcPr>
          <w:p w14:paraId="10990604">
            <w:pPr>
              <w:ind w:firstLine="0" w:firstLineChars="0"/>
              <w:rPr>
                <w:b/>
                <w:bCs/>
                <w:highlight w:val="none"/>
              </w:rPr>
            </w:pPr>
            <w:r>
              <w:rPr>
                <w:b/>
                <w:bCs/>
                <w:highlight w:val="none"/>
              </w:rPr>
              <w:t>4.1施工期环境保护措施：</w:t>
            </w:r>
          </w:p>
          <w:p w14:paraId="59889215">
            <w:pPr>
              <w:ind w:firstLine="0" w:firstLineChars="0"/>
              <w:rPr>
                <w:b/>
                <w:bCs/>
                <w:highlight w:val="none"/>
              </w:rPr>
            </w:pPr>
            <w:r>
              <w:rPr>
                <w:b/>
                <w:bCs/>
                <w:highlight w:val="none"/>
              </w:rPr>
              <w:t>4.1.1施工期大气污染防治措施</w:t>
            </w:r>
          </w:p>
          <w:p w14:paraId="67591D2C">
            <w:pPr>
              <w:widowControl/>
              <w:ind w:firstLine="480"/>
              <w:rPr>
                <w:highlight w:val="none"/>
              </w:rPr>
            </w:pPr>
            <w:r>
              <w:rPr>
                <w:rFonts w:hint="eastAsia"/>
                <w:highlight w:val="none"/>
              </w:rPr>
              <w:t>施工期大气环境影响主要是施工扬尘。施工扬尘来源主要是土方的挖掘、场地平整、建筑材料装卸和堆放、车辆往来等引起的扬尘。由于施工现场广阔，空气流通性好，排放废气中的各项污染物能够很快扩散，不会引起局部大气环境质量的恶化，加之机械车辆的不连续使用和工程施工期有限，施工废气对区域的环境空气影响较小。</w:t>
            </w:r>
          </w:p>
          <w:p w14:paraId="60C11040">
            <w:pPr>
              <w:ind w:firstLine="480"/>
              <w:rPr>
                <w:highlight w:val="none"/>
              </w:rPr>
            </w:pPr>
            <w:r>
              <w:rPr>
                <w:highlight w:val="none"/>
              </w:rPr>
              <w:t>（</w:t>
            </w:r>
            <w:r>
              <w:rPr>
                <w:rFonts w:hint="eastAsia"/>
                <w:highlight w:val="none"/>
              </w:rPr>
              <w:t>1</w:t>
            </w:r>
            <w:r>
              <w:rPr>
                <w:highlight w:val="none"/>
              </w:rPr>
              <w:t>）</w:t>
            </w:r>
            <w:r>
              <w:rPr>
                <w:rFonts w:hint="eastAsia"/>
                <w:highlight w:val="none"/>
                <w:lang w:val="en-US" w:eastAsia="zh-CN"/>
              </w:rPr>
              <w:t>施</w:t>
            </w:r>
            <w:r>
              <w:rPr>
                <w:highlight w:val="none"/>
              </w:rPr>
              <w:t>工场地要设置围挡，如用彩钢板或聚丙烯布在施工区四周</w:t>
            </w:r>
            <w:r>
              <w:rPr>
                <w:rFonts w:hint="eastAsia"/>
                <w:highlight w:val="none"/>
                <w:lang w:eastAsia="zh-CN"/>
              </w:rPr>
              <w:t>围防止</w:t>
            </w:r>
            <w:r>
              <w:rPr>
                <w:color w:val="auto"/>
                <w:highlight w:val="none"/>
              </w:rPr>
              <w:t>扬</w:t>
            </w:r>
            <w:r>
              <w:rPr>
                <w:highlight w:val="none"/>
              </w:rPr>
              <w:t>尘扩散。</w:t>
            </w:r>
          </w:p>
          <w:p w14:paraId="69995D56">
            <w:pPr>
              <w:ind w:firstLine="480"/>
              <w:rPr>
                <w:highlight w:val="none"/>
              </w:rPr>
            </w:pPr>
            <w:r>
              <w:rPr>
                <w:highlight w:val="none"/>
              </w:rPr>
              <w:t>（</w:t>
            </w:r>
            <w:r>
              <w:rPr>
                <w:rFonts w:hint="eastAsia"/>
                <w:highlight w:val="none"/>
              </w:rPr>
              <w:t>2</w:t>
            </w:r>
            <w:r>
              <w:rPr>
                <w:highlight w:val="none"/>
              </w:rPr>
              <w:t>）施工现场合理布局，对制作场地、堆料场地和工地道路要硬化，对易扬尘物料加盖苫布。</w:t>
            </w:r>
          </w:p>
          <w:p w14:paraId="3B9E9046">
            <w:pPr>
              <w:ind w:firstLine="480"/>
              <w:rPr>
                <w:highlight w:val="none"/>
              </w:rPr>
            </w:pPr>
            <w:r>
              <w:rPr>
                <w:highlight w:val="none"/>
              </w:rPr>
              <w:t>（</w:t>
            </w:r>
            <w:r>
              <w:rPr>
                <w:rFonts w:hint="eastAsia"/>
                <w:highlight w:val="none"/>
              </w:rPr>
              <w:t>3</w:t>
            </w:r>
            <w:r>
              <w:rPr>
                <w:highlight w:val="none"/>
              </w:rPr>
              <w:t>）为进一步降低施工扬尘，要定期对路面和施工场区洒水，保持下垫面和空气湿润，减少起尘量，洒水频率视天气情况调整。进出车辆的车轮要经常冲洗。</w:t>
            </w:r>
          </w:p>
          <w:p w14:paraId="4D1193B6">
            <w:pPr>
              <w:ind w:firstLine="480"/>
              <w:rPr>
                <w:highlight w:val="none"/>
              </w:rPr>
            </w:pPr>
            <w:r>
              <w:rPr>
                <w:highlight w:val="none"/>
              </w:rPr>
              <w:t>（</w:t>
            </w:r>
            <w:r>
              <w:rPr>
                <w:rFonts w:hint="eastAsia"/>
                <w:highlight w:val="none"/>
              </w:rPr>
              <w:t>4</w:t>
            </w:r>
            <w:r>
              <w:rPr>
                <w:highlight w:val="none"/>
              </w:rPr>
              <w:t>）大风天气，不得进行土方回填、转运以及其他可能产生扬尘污染的施工，并对施工场地做好遮掩工作。</w:t>
            </w:r>
          </w:p>
          <w:p w14:paraId="365C957E">
            <w:pPr>
              <w:ind w:firstLine="480"/>
              <w:rPr>
                <w:highlight w:val="none"/>
              </w:rPr>
            </w:pPr>
            <w:r>
              <w:rPr>
                <w:highlight w:val="none"/>
              </w:rPr>
              <w:t>（</w:t>
            </w:r>
            <w:r>
              <w:rPr>
                <w:rFonts w:hint="eastAsia"/>
                <w:highlight w:val="none"/>
              </w:rPr>
              <w:t>5</w:t>
            </w:r>
            <w:r>
              <w:rPr>
                <w:highlight w:val="none"/>
              </w:rPr>
              <w:t>）施工渣土必须覆盖，严禁将施工产生的渣土带入交通道路。</w:t>
            </w:r>
          </w:p>
          <w:p w14:paraId="18DFDD97">
            <w:pPr>
              <w:ind w:firstLine="0" w:firstLineChars="0"/>
              <w:rPr>
                <w:b/>
                <w:bCs/>
                <w:highlight w:val="none"/>
              </w:rPr>
            </w:pPr>
            <w:r>
              <w:rPr>
                <w:b/>
                <w:bCs/>
                <w:highlight w:val="none"/>
              </w:rPr>
              <w:t>4.1.2施工期废水污染防治措施</w:t>
            </w:r>
          </w:p>
          <w:p w14:paraId="5F44A306">
            <w:pPr>
              <w:ind w:firstLine="480"/>
              <w:rPr>
                <w:highlight w:val="none"/>
              </w:rPr>
            </w:pPr>
            <w:r>
              <w:rPr>
                <w:highlight w:val="none"/>
              </w:rPr>
              <w:t>（1）</w:t>
            </w:r>
            <w:r>
              <w:rPr>
                <w:rFonts w:hint="eastAsia"/>
                <w:highlight w:val="none"/>
              </w:rPr>
              <w:t>施工</w:t>
            </w:r>
            <w:r>
              <w:rPr>
                <w:highlight w:val="none"/>
              </w:rPr>
              <w:t>废水</w:t>
            </w:r>
          </w:p>
          <w:p w14:paraId="1D026722">
            <w:pPr>
              <w:ind w:firstLine="480"/>
              <w:rPr>
                <w:rFonts w:hint="eastAsia" w:eastAsia="宋体"/>
                <w:highlight w:val="none"/>
                <w:lang w:eastAsia="zh-CN"/>
              </w:rPr>
            </w:pPr>
            <w:r>
              <w:rPr>
                <w:highlight w:val="none"/>
              </w:rPr>
              <w:t>施工废水</w:t>
            </w:r>
            <w:r>
              <w:rPr>
                <w:rFonts w:hint="eastAsia"/>
                <w:highlight w:val="none"/>
                <w:lang w:eastAsia="zh-CN"/>
              </w:rPr>
              <w:t>：</w:t>
            </w:r>
            <w:r>
              <w:rPr>
                <w:rFonts w:hint="eastAsia"/>
                <w:highlight w:val="none"/>
              </w:rPr>
              <w:t>运输车辆、作业机械的跑、冒、滴、漏的油污及露天机械被雨水冲刷后产生一定量的油污水，由于量少，对地表水环境影响有限。施工废</w:t>
            </w:r>
            <w:r>
              <w:rPr>
                <w:rFonts w:hint="eastAsia"/>
                <w:color w:val="auto"/>
                <w:highlight w:val="none"/>
              </w:rPr>
              <w:t>水</w:t>
            </w:r>
            <w:r>
              <w:rPr>
                <w:rFonts w:hint="eastAsia"/>
                <w:color w:val="auto"/>
                <w:highlight w:val="none"/>
                <w:lang w:val="en-US" w:eastAsia="zh-CN"/>
              </w:rPr>
              <w:t>厂址内</w:t>
            </w:r>
            <w:r>
              <w:rPr>
                <w:rFonts w:hint="eastAsia"/>
                <w:color w:val="auto"/>
                <w:highlight w:val="none"/>
              </w:rPr>
              <w:t>修建</w:t>
            </w:r>
            <w:r>
              <w:rPr>
                <w:rFonts w:hint="eastAsia"/>
                <w:color w:val="auto"/>
                <w:highlight w:val="none"/>
                <w:lang w:val="en-US" w:eastAsia="zh-CN"/>
              </w:rPr>
              <w:t>临</w:t>
            </w:r>
            <w:r>
              <w:rPr>
                <w:rFonts w:hint="eastAsia"/>
                <w:highlight w:val="none"/>
                <w:lang w:val="en-US" w:eastAsia="zh-CN"/>
              </w:rPr>
              <w:t>时</w:t>
            </w:r>
            <w:r>
              <w:rPr>
                <w:rFonts w:hint="eastAsia"/>
                <w:highlight w:val="none"/>
              </w:rPr>
              <w:t>沉淀池经过预处理后</w:t>
            </w:r>
            <w:r>
              <w:rPr>
                <w:rFonts w:hint="eastAsia"/>
                <w:highlight w:val="none"/>
                <w:lang w:val="en-US" w:eastAsia="zh-CN"/>
              </w:rPr>
              <w:t>回用</w:t>
            </w:r>
            <w:r>
              <w:rPr>
                <w:rFonts w:hint="eastAsia"/>
                <w:highlight w:val="none"/>
              </w:rPr>
              <w:t>。施工过程中，开挖的土方可能在未来得及时回填，未采取临时阻拦措施时即遇到暴雨，可能产生的大量泥浆水和雨水中含有浓度很高的悬浮物，不得以渗坑、渗井或漫流方式排放，应加强管理、控制。施工生活污水：因施工人员食宿不在项目区内，不设生活营地，所以施工期没有生活污水产生。</w:t>
            </w:r>
            <w:r>
              <w:rPr>
                <w:rFonts w:hint="eastAsia"/>
                <w:highlight w:val="none"/>
                <w:lang w:eastAsia="zh-CN"/>
              </w:rPr>
              <w:t>（</w:t>
            </w:r>
            <w:r>
              <w:rPr>
                <w:rFonts w:hint="eastAsia"/>
                <w:highlight w:val="none"/>
                <w:lang w:val="en-US" w:eastAsia="zh-CN"/>
              </w:rPr>
              <w:t>施工人员饮食自带，污水依托固废填埋场</w:t>
            </w:r>
            <w:r>
              <w:rPr>
                <w:rFonts w:hint="eastAsia"/>
                <w:highlight w:val="none"/>
                <w:lang w:eastAsia="zh-CN"/>
              </w:rPr>
              <w:t>）</w:t>
            </w:r>
          </w:p>
          <w:p w14:paraId="6A0CC1B7">
            <w:pPr>
              <w:ind w:firstLine="48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施工期的废水对周围环境的影响不大，并随着施工期的完成而消除。废水影响治理措施如下。</w:t>
            </w:r>
          </w:p>
          <w:p w14:paraId="16416BE0">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（1）在施工场地应设置临时沉淀池，含泥沙雨水、泥浆水经沉淀后回用到生产中去。</w:t>
            </w:r>
          </w:p>
          <w:p w14:paraId="4D1C6EEB">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（2）不得随意在施工区域内冲洗汽车，对施工机械进行检修和清洗时必须定点，检修和清洗场地必须经水泥硬化，清洗污水应根据废水性质进行沉淀。</w:t>
            </w:r>
          </w:p>
          <w:p w14:paraId="35AA2FA1">
            <w:pPr>
              <w:ind w:firstLine="48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（3）施工单位对施工场地用水应严格管理，贯彻</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一水多用、重复利用、节约用水</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的原则，尽量减少废水的排放量，减轻废水排放对周围环境的影响。</w:t>
            </w:r>
          </w:p>
          <w:p w14:paraId="0024644F">
            <w:pPr>
              <w:ind w:firstLine="480"/>
              <w:rPr>
                <w:rFonts w:hint="default" w:ascii="Times New Roman" w:hAnsi="Times New Roman" w:cs="Times New Roman"/>
                <w:highlight w:val="none"/>
              </w:rPr>
            </w:pPr>
            <w:r>
              <w:rPr>
                <w:rFonts w:hint="default" w:ascii="Times New Roman" w:hAnsi="Times New Roman" w:eastAsia="宋体" w:cs="Times New Roman"/>
                <w:color w:val="auto"/>
                <w:kern w:val="0"/>
                <w:sz w:val="24"/>
                <w:highlight w:val="none"/>
                <w:lang w:val="en-US" w:eastAsia="zh-CN"/>
              </w:rPr>
              <w:t>综上所述，只要加强管理，把以上措施落到实处，施工废水对项目所在区域水环境影响很小。</w:t>
            </w:r>
          </w:p>
          <w:p w14:paraId="132E454E">
            <w:pPr>
              <w:ind w:firstLine="0" w:firstLineChars="0"/>
              <w:rPr>
                <w:b/>
                <w:bCs/>
                <w:highlight w:val="none"/>
              </w:rPr>
            </w:pPr>
            <w:r>
              <w:rPr>
                <w:b/>
                <w:bCs/>
                <w:highlight w:val="none"/>
              </w:rPr>
              <w:t>4.1.3施工期噪声防治措施</w:t>
            </w:r>
          </w:p>
          <w:p w14:paraId="557F8F3F">
            <w:pPr>
              <w:widowControl/>
              <w:ind w:firstLine="480"/>
              <w:rPr>
                <w:rFonts w:hint="eastAsia"/>
                <w:snapToGrid w:val="0"/>
                <w:kern w:val="0"/>
                <w:highlight w:val="none"/>
              </w:rPr>
            </w:pPr>
            <w:r>
              <w:rPr>
                <w:rFonts w:hint="eastAsia"/>
                <w:snapToGrid w:val="0"/>
                <w:kern w:val="0"/>
                <w:highlight w:val="none"/>
              </w:rPr>
              <w:t>施工期噪声主要来自施工机械噪声和运输车辆噪声。施工期噪声污染控制措施如下：</w:t>
            </w:r>
          </w:p>
          <w:p w14:paraId="36DA81E8">
            <w:pPr>
              <w:widowControl/>
              <w:ind w:firstLine="480"/>
              <w:rPr>
                <w:rFonts w:hint="eastAsia"/>
                <w:snapToGrid w:val="0"/>
                <w:kern w:val="0"/>
                <w:highlight w:val="none"/>
              </w:rPr>
            </w:pPr>
            <w:r>
              <w:rPr>
                <w:rFonts w:hint="eastAsia"/>
                <w:snapToGrid w:val="0"/>
                <w:kern w:val="0"/>
                <w:highlight w:val="none"/>
              </w:rPr>
              <w:t>（1）选用低噪声施工设备；定期对动力机械设备进行维修和养护，使其处于最佳工作状态；</w:t>
            </w:r>
          </w:p>
          <w:p w14:paraId="69B44B87">
            <w:pPr>
              <w:widowControl/>
              <w:ind w:firstLine="480"/>
              <w:rPr>
                <w:rFonts w:hint="eastAsia"/>
                <w:snapToGrid w:val="0"/>
                <w:kern w:val="0"/>
                <w:highlight w:val="none"/>
              </w:rPr>
            </w:pPr>
            <w:r>
              <w:rPr>
                <w:rFonts w:hint="eastAsia"/>
                <w:snapToGrid w:val="0"/>
                <w:kern w:val="0"/>
                <w:highlight w:val="none"/>
              </w:rPr>
              <w:t>（2）合理安排施工作业，尽量避免多台强噪声施工机械在同一地点同时施工；</w:t>
            </w:r>
          </w:p>
          <w:p w14:paraId="4D8F630D">
            <w:pPr>
              <w:widowControl/>
              <w:ind w:firstLine="480"/>
              <w:rPr>
                <w:rFonts w:hint="eastAsia"/>
                <w:snapToGrid w:val="0"/>
                <w:kern w:val="0"/>
                <w:highlight w:val="none"/>
              </w:rPr>
            </w:pPr>
            <w:r>
              <w:rPr>
                <w:rFonts w:hint="eastAsia"/>
                <w:snapToGrid w:val="0"/>
                <w:kern w:val="0"/>
                <w:highlight w:val="none"/>
              </w:rPr>
              <w:t>（3）施工期噪声应按《建筑施工场界环境噪声排放标准》（GB12523-2011）进行控制，应合理安排施工时间，尽量避免高噪声设备同时施工，应限制夜间高噪声设备的施工时间，在夜间10点至次日早上8点禁止施工，如确因工程施工需要，需向生态环境主管部门申请夜间施工许可证，批准后方可实施；</w:t>
            </w:r>
          </w:p>
          <w:p w14:paraId="01071057">
            <w:pPr>
              <w:widowControl/>
              <w:ind w:firstLine="480"/>
              <w:rPr>
                <w:rFonts w:hint="eastAsia"/>
                <w:snapToGrid w:val="0"/>
                <w:kern w:val="0"/>
                <w:highlight w:val="none"/>
              </w:rPr>
            </w:pPr>
            <w:r>
              <w:rPr>
                <w:rFonts w:hint="eastAsia"/>
                <w:snapToGrid w:val="0"/>
                <w:kern w:val="0"/>
                <w:highlight w:val="none"/>
              </w:rPr>
              <w:t>（4）做好施工人员的环境保护意识的教育，尽量减少人为因素造成施工噪声的加剧。</w:t>
            </w:r>
          </w:p>
          <w:p w14:paraId="4785E423">
            <w:pPr>
              <w:widowControl/>
              <w:ind w:firstLine="480"/>
              <w:rPr>
                <w:highlight w:val="none"/>
              </w:rPr>
            </w:pPr>
            <w:r>
              <w:rPr>
                <w:rFonts w:hint="eastAsia"/>
                <w:snapToGrid w:val="0"/>
                <w:kern w:val="0"/>
                <w:highlight w:val="none"/>
              </w:rPr>
              <w:t>采用上述措施后施工阶段对声环境的影响较小</w:t>
            </w:r>
            <w:r>
              <w:rPr>
                <w:snapToGrid w:val="0"/>
                <w:kern w:val="0"/>
                <w:highlight w:val="none"/>
              </w:rPr>
              <w:t>。</w:t>
            </w:r>
          </w:p>
          <w:p w14:paraId="768DE5A8">
            <w:pPr>
              <w:ind w:firstLine="0" w:firstLineChars="0"/>
              <w:rPr>
                <w:b/>
                <w:bCs/>
                <w:highlight w:val="none"/>
              </w:rPr>
            </w:pPr>
            <w:r>
              <w:rPr>
                <w:b/>
                <w:bCs/>
                <w:highlight w:val="none"/>
              </w:rPr>
              <w:t>4.1.4施工期固废污染防治措施</w:t>
            </w:r>
          </w:p>
          <w:p w14:paraId="7F66534B">
            <w:pPr>
              <w:pStyle w:val="3"/>
              <w:ind w:firstLine="480" w:firstLineChars="200"/>
              <w:jc w:val="both"/>
              <w:rPr>
                <w:rFonts w:hint="eastAsia" w:ascii="宋体" w:hAnsi="宋体" w:cs="宋体"/>
                <w:b w:val="0"/>
                <w:bCs w:val="0"/>
                <w:color w:val="auto"/>
                <w:spacing w:val="0"/>
                <w:sz w:val="24"/>
                <w:szCs w:val="21"/>
                <w:highlight w:val="none"/>
              </w:rPr>
            </w:pPr>
            <w:r>
              <w:rPr>
                <w:rFonts w:hint="eastAsia" w:ascii="宋体" w:hAnsi="宋体" w:cs="宋体"/>
                <w:b w:val="0"/>
                <w:bCs w:val="0"/>
                <w:color w:val="auto"/>
                <w:spacing w:val="0"/>
                <w:sz w:val="24"/>
                <w:szCs w:val="21"/>
                <w:highlight w:val="none"/>
              </w:rPr>
              <w:t>本项目施工期产生的固体废物主要为生活垃圾及建筑垃圾，若处理不当，如随意弃置，将对周围环境产生一定的不利影响，对生态环境、土壤、土地资源、环境空气和地下水等方面的影响突出。项目建筑垃圾委托第三方综合拉运处置，生活垃圾收集后交园区环卫部门统一处理。</w:t>
            </w:r>
          </w:p>
          <w:p w14:paraId="4F2D1336">
            <w:pPr>
              <w:pStyle w:val="3"/>
              <w:ind w:firstLine="480" w:firstLineChars="200"/>
              <w:jc w:val="both"/>
              <w:rPr>
                <w:rFonts w:hint="eastAsia" w:ascii="宋体" w:hAnsi="宋体" w:cs="宋体"/>
                <w:b w:val="0"/>
                <w:bCs w:val="0"/>
                <w:color w:val="auto"/>
                <w:spacing w:val="-10"/>
                <w:szCs w:val="21"/>
                <w:highlight w:val="none"/>
              </w:rPr>
            </w:pPr>
            <w:r>
              <w:rPr>
                <w:rFonts w:hint="eastAsia" w:ascii="宋体" w:hAnsi="宋体" w:cs="宋体"/>
                <w:b w:val="0"/>
                <w:bCs w:val="0"/>
                <w:color w:val="auto"/>
                <w:spacing w:val="0"/>
                <w:sz w:val="24"/>
                <w:szCs w:val="21"/>
                <w:highlight w:val="none"/>
              </w:rPr>
              <w:t>因此，施工期采用相应的污染防治措施后，对项目区域环境影响较小，其影响期较短，影响持续时间较短。且随着施工期结束各项污染也将结束。</w:t>
            </w:r>
          </w:p>
          <w:p w14:paraId="61801352">
            <w:pPr>
              <w:ind w:firstLine="0" w:firstLineChars="0"/>
              <w:rPr>
                <w:b/>
                <w:bCs/>
                <w:highlight w:val="none"/>
              </w:rPr>
            </w:pPr>
            <w:r>
              <w:rPr>
                <w:b/>
                <w:bCs/>
                <w:highlight w:val="none"/>
              </w:rPr>
              <w:t>4.1.</w:t>
            </w:r>
            <w:r>
              <w:rPr>
                <w:rFonts w:hint="eastAsia"/>
                <w:b/>
                <w:bCs/>
                <w:highlight w:val="none"/>
                <w:lang w:val="en-US" w:eastAsia="zh-CN"/>
              </w:rPr>
              <w:t>5</w:t>
            </w:r>
            <w:r>
              <w:rPr>
                <w:rFonts w:hint="eastAsia" w:ascii="Times New Roman" w:hAnsi="Times New Roman" w:eastAsia="宋体" w:cs="Times New Roman"/>
                <w:b/>
                <w:bCs/>
                <w:color w:val="auto"/>
                <w:kern w:val="0"/>
                <w:sz w:val="24"/>
                <w:szCs w:val="24"/>
                <w:highlight w:val="none"/>
                <w:lang w:val="en-US" w:eastAsia="zh-CN" w:bidi="zh-CN"/>
              </w:rPr>
              <w:t>生态环境影响分析</w:t>
            </w:r>
          </w:p>
          <w:p w14:paraId="441CA608">
            <w:pPr>
              <w:rPr>
                <w:rFonts w:hint="eastAsia"/>
                <w:highlight w:val="none"/>
              </w:rPr>
            </w:pPr>
            <w:r>
              <w:rPr>
                <w:rFonts w:hint="eastAsia"/>
                <w:highlight w:val="none"/>
              </w:rPr>
              <w:t>该工程施工期对生态环境的影响主要是可能产生的水土流失影响、地表原有植被（主要为人工植被等）造成破坏等。随着施工工地开挖、填方、平整，原有表土层受到破坏，土壤松动，或者施工工程中由于挖方及填方过程中形成的土堆不能及时清理，遇到较大降雨冲刷，容易发生水土流失。因此，只要施工期加强管理、合理安排施工进度，产生的少量弃土及时清运，采取地面硬化措施，并因地制宜进行绿化。采取上述措施后，可起到吸声降噪，绿化、美化环境的作用，周围生态环境可得到改善，施工期对周围生态环境的影响不大。</w:t>
            </w:r>
          </w:p>
          <w:p w14:paraId="4D0C8A6B">
            <w:pPr>
              <w:rPr>
                <w:rFonts w:hint="eastAsia"/>
                <w:highlight w:val="none"/>
              </w:rPr>
            </w:pPr>
            <w:r>
              <w:rPr>
                <w:rFonts w:hint="eastAsia"/>
                <w:highlight w:val="none"/>
              </w:rPr>
              <w:t>综上所述，施工期的噪声、废气、废水和固体废物将会对环境影响产生一定程度的影响，但只要施工单位认真做好施工组织工作（包括劳动力、工期计划和施工平面管理），并进行文明施工，严格遵守上述环保建议，工程建设期间不会对周围环境产生明显不利影响。</w:t>
            </w:r>
          </w:p>
          <w:p w14:paraId="4273111E">
            <w:pPr>
              <w:ind w:firstLine="0" w:firstLineChars="0"/>
              <w:rPr>
                <w:b/>
                <w:bCs/>
                <w:highlight w:val="none"/>
              </w:rPr>
            </w:pPr>
            <w:r>
              <w:rPr>
                <w:b/>
                <w:bCs/>
                <w:highlight w:val="none"/>
              </w:rPr>
              <w:t>4.1.</w:t>
            </w:r>
            <w:r>
              <w:rPr>
                <w:rFonts w:hint="eastAsia"/>
                <w:b/>
                <w:bCs/>
                <w:highlight w:val="none"/>
                <w:lang w:val="en-US" w:eastAsia="zh-CN"/>
              </w:rPr>
              <w:t>6</w:t>
            </w:r>
            <w:r>
              <w:rPr>
                <w:rFonts w:hint="eastAsia" w:ascii="Times New Roman" w:hAnsi="Times New Roman" w:eastAsia="宋体" w:cs="Times New Roman"/>
                <w:b/>
                <w:bCs/>
                <w:color w:val="auto"/>
                <w:kern w:val="0"/>
                <w:highlight w:val="none"/>
              </w:rPr>
              <w:t>施工期防沙治沙措施</w:t>
            </w:r>
          </w:p>
          <w:p w14:paraId="0D2426B3">
            <w:pPr>
              <w:rPr>
                <w:rFonts w:hint="eastAsia"/>
                <w:highlight w:val="none"/>
              </w:rPr>
            </w:pPr>
            <w:r>
              <w:rPr>
                <w:rFonts w:hint="eastAsia"/>
                <w:highlight w:val="none"/>
              </w:rPr>
              <w:t>场地开挖、土方平整等尽可能避开大风天气施工，以减少风力侵蚀，剥离开挖土方应做到随挖随填，尽量减少场地土方临时堆放。</w:t>
            </w:r>
          </w:p>
          <w:p w14:paraId="2A68A1BA">
            <w:pPr>
              <w:rPr>
                <w:rFonts w:hint="eastAsia"/>
                <w:highlight w:val="none"/>
              </w:rPr>
            </w:pPr>
            <w:r>
              <w:rPr>
                <w:rFonts w:hint="eastAsia"/>
                <w:highlight w:val="none"/>
              </w:rPr>
              <w:t>做好临时拦挡苫盖，加强大风天气的洒水抑尘措施以及裸露面的苫盖措施，以防止水土流失加剧。</w:t>
            </w:r>
          </w:p>
        </w:tc>
      </w:tr>
      <w:tr w14:paraId="7B432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14:paraId="6A0531D4">
            <w:pPr>
              <w:pStyle w:val="56"/>
              <w:rPr>
                <w:highlight w:val="none"/>
              </w:rPr>
            </w:pPr>
          </w:p>
          <w:p w14:paraId="645594EA">
            <w:pPr>
              <w:pStyle w:val="56"/>
              <w:rPr>
                <w:highlight w:val="none"/>
              </w:rPr>
            </w:pPr>
          </w:p>
          <w:p w14:paraId="423EBB5C">
            <w:pPr>
              <w:pStyle w:val="56"/>
              <w:rPr>
                <w:highlight w:val="none"/>
              </w:rPr>
            </w:pPr>
          </w:p>
          <w:p w14:paraId="7BA696E7">
            <w:pPr>
              <w:pStyle w:val="56"/>
              <w:rPr>
                <w:highlight w:val="none"/>
              </w:rPr>
            </w:pPr>
          </w:p>
          <w:p w14:paraId="40F81DFE">
            <w:pPr>
              <w:pStyle w:val="56"/>
              <w:rPr>
                <w:highlight w:val="none"/>
              </w:rPr>
            </w:pPr>
          </w:p>
          <w:p w14:paraId="09A37FB4">
            <w:pPr>
              <w:pStyle w:val="56"/>
              <w:rPr>
                <w:highlight w:val="none"/>
              </w:rPr>
            </w:pPr>
          </w:p>
          <w:p w14:paraId="6066DB7B">
            <w:pPr>
              <w:pStyle w:val="56"/>
              <w:rPr>
                <w:highlight w:val="none"/>
              </w:rPr>
            </w:pPr>
          </w:p>
          <w:p w14:paraId="64FED546">
            <w:pPr>
              <w:pStyle w:val="56"/>
              <w:rPr>
                <w:highlight w:val="none"/>
              </w:rPr>
            </w:pPr>
          </w:p>
          <w:p w14:paraId="1F48C53C">
            <w:pPr>
              <w:pStyle w:val="56"/>
              <w:rPr>
                <w:highlight w:val="none"/>
              </w:rPr>
            </w:pPr>
          </w:p>
          <w:p w14:paraId="45C34A5D">
            <w:pPr>
              <w:pStyle w:val="56"/>
              <w:rPr>
                <w:highlight w:val="none"/>
              </w:rPr>
            </w:pPr>
          </w:p>
          <w:p w14:paraId="7008BB22">
            <w:pPr>
              <w:pStyle w:val="56"/>
              <w:rPr>
                <w:highlight w:val="none"/>
              </w:rPr>
            </w:pPr>
          </w:p>
          <w:p w14:paraId="19FFF007">
            <w:pPr>
              <w:pStyle w:val="56"/>
              <w:rPr>
                <w:highlight w:val="none"/>
              </w:rPr>
            </w:pPr>
          </w:p>
          <w:p w14:paraId="0AA80CF2">
            <w:pPr>
              <w:pStyle w:val="56"/>
              <w:rPr>
                <w:highlight w:val="none"/>
              </w:rPr>
            </w:pPr>
          </w:p>
          <w:p w14:paraId="6C054F91">
            <w:pPr>
              <w:pStyle w:val="56"/>
              <w:rPr>
                <w:highlight w:val="none"/>
              </w:rPr>
            </w:pPr>
          </w:p>
          <w:p w14:paraId="22CA5B99">
            <w:pPr>
              <w:pStyle w:val="56"/>
              <w:rPr>
                <w:highlight w:val="none"/>
              </w:rPr>
            </w:pPr>
          </w:p>
          <w:p w14:paraId="4828C20A">
            <w:pPr>
              <w:pStyle w:val="56"/>
              <w:rPr>
                <w:highlight w:val="none"/>
              </w:rPr>
            </w:pPr>
          </w:p>
          <w:p w14:paraId="5EA8E215">
            <w:pPr>
              <w:pStyle w:val="56"/>
              <w:rPr>
                <w:highlight w:val="none"/>
              </w:rPr>
            </w:pPr>
            <w:r>
              <w:rPr>
                <w:rFonts w:hint="eastAsia"/>
                <w:highlight w:val="none"/>
              </w:rPr>
              <w:t>运营</w:t>
            </w:r>
          </w:p>
          <w:p w14:paraId="0FF6216A">
            <w:pPr>
              <w:pStyle w:val="56"/>
              <w:rPr>
                <w:highlight w:val="none"/>
              </w:rPr>
            </w:pPr>
            <w:r>
              <w:rPr>
                <w:rFonts w:hint="eastAsia"/>
                <w:highlight w:val="none"/>
              </w:rPr>
              <w:t>期环</w:t>
            </w:r>
          </w:p>
          <w:p w14:paraId="706C948E">
            <w:pPr>
              <w:pStyle w:val="56"/>
              <w:rPr>
                <w:highlight w:val="none"/>
              </w:rPr>
            </w:pPr>
            <w:r>
              <w:rPr>
                <w:rFonts w:hint="eastAsia"/>
                <w:highlight w:val="none"/>
              </w:rPr>
              <w:t>境影</w:t>
            </w:r>
          </w:p>
          <w:p w14:paraId="108BFC82">
            <w:pPr>
              <w:pStyle w:val="56"/>
              <w:rPr>
                <w:highlight w:val="none"/>
              </w:rPr>
            </w:pPr>
            <w:r>
              <w:rPr>
                <w:rFonts w:hint="eastAsia"/>
                <w:highlight w:val="none"/>
              </w:rPr>
              <w:t>响和</w:t>
            </w:r>
          </w:p>
          <w:p w14:paraId="6562B083">
            <w:pPr>
              <w:pStyle w:val="56"/>
              <w:rPr>
                <w:highlight w:val="none"/>
              </w:rPr>
            </w:pPr>
            <w:r>
              <w:rPr>
                <w:rFonts w:hint="eastAsia"/>
                <w:highlight w:val="none"/>
              </w:rPr>
              <w:t>保护</w:t>
            </w:r>
          </w:p>
          <w:p w14:paraId="161A6EA7">
            <w:pPr>
              <w:pStyle w:val="56"/>
              <w:rPr>
                <w:highlight w:val="none"/>
              </w:rPr>
            </w:pPr>
            <w:r>
              <w:rPr>
                <w:rFonts w:hint="eastAsia"/>
                <w:highlight w:val="none"/>
              </w:rPr>
              <w:t>措施</w:t>
            </w:r>
          </w:p>
          <w:p w14:paraId="0F13C713">
            <w:pPr>
              <w:pStyle w:val="56"/>
              <w:rPr>
                <w:highlight w:val="none"/>
              </w:rPr>
            </w:pPr>
          </w:p>
          <w:p w14:paraId="04C8E58B">
            <w:pPr>
              <w:pStyle w:val="56"/>
              <w:rPr>
                <w:highlight w:val="none"/>
              </w:rPr>
            </w:pPr>
          </w:p>
          <w:p w14:paraId="2A1ABD78">
            <w:pPr>
              <w:pStyle w:val="56"/>
              <w:rPr>
                <w:highlight w:val="none"/>
              </w:rPr>
            </w:pPr>
          </w:p>
          <w:p w14:paraId="5EE3725E">
            <w:pPr>
              <w:pStyle w:val="56"/>
              <w:rPr>
                <w:highlight w:val="none"/>
              </w:rPr>
            </w:pPr>
          </w:p>
          <w:p w14:paraId="56A76ED1">
            <w:pPr>
              <w:pStyle w:val="56"/>
              <w:rPr>
                <w:highlight w:val="none"/>
              </w:rPr>
            </w:pPr>
          </w:p>
          <w:p w14:paraId="70532CA0">
            <w:pPr>
              <w:pStyle w:val="56"/>
              <w:rPr>
                <w:highlight w:val="none"/>
              </w:rPr>
            </w:pPr>
          </w:p>
          <w:p w14:paraId="41E3FB1F">
            <w:pPr>
              <w:pStyle w:val="56"/>
              <w:rPr>
                <w:highlight w:val="none"/>
              </w:rPr>
            </w:pPr>
          </w:p>
          <w:p w14:paraId="6225BDFC">
            <w:pPr>
              <w:pStyle w:val="56"/>
              <w:rPr>
                <w:highlight w:val="none"/>
              </w:rPr>
            </w:pPr>
          </w:p>
          <w:p w14:paraId="5CF651B3">
            <w:pPr>
              <w:pStyle w:val="56"/>
              <w:rPr>
                <w:highlight w:val="none"/>
              </w:rPr>
            </w:pPr>
          </w:p>
          <w:p w14:paraId="70A9221B">
            <w:pPr>
              <w:pStyle w:val="56"/>
              <w:rPr>
                <w:highlight w:val="none"/>
              </w:rPr>
            </w:pPr>
          </w:p>
          <w:p w14:paraId="238E5D19">
            <w:pPr>
              <w:pStyle w:val="56"/>
              <w:rPr>
                <w:highlight w:val="none"/>
              </w:rPr>
            </w:pPr>
          </w:p>
          <w:p w14:paraId="27964227">
            <w:pPr>
              <w:pStyle w:val="56"/>
              <w:rPr>
                <w:highlight w:val="none"/>
              </w:rPr>
            </w:pPr>
          </w:p>
          <w:p w14:paraId="4A74A33D">
            <w:pPr>
              <w:pStyle w:val="56"/>
              <w:rPr>
                <w:highlight w:val="none"/>
              </w:rPr>
            </w:pPr>
          </w:p>
          <w:p w14:paraId="77A74987">
            <w:pPr>
              <w:pStyle w:val="56"/>
              <w:rPr>
                <w:highlight w:val="none"/>
              </w:rPr>
            </w:pPr>
          </w:p>
          <w:p w14:paraId="67BCAF3C">
            <w:pPr>
              <w:pStyle w:val="56"/>
              <w:rPr>
                <w:highlight w:val="none"/>
              </w:rPr>
            </w:pPr>
          </w:p>
          <w:p w14:paraId="4C9B7FEA">
            <w:pPr>
              <w:pStyle w:val="56"/>
              <w:rPr>
                <w:highlight w:val="none"/>
              </w:rPr>
            </w:pPr>
          </w:p>
          <w:p w14:paraId="04871C29">
            <w:pPr>
              <w:pStyle w:val="56"/>
              <w:rPr>
                <w:highlight w:val="none"/>
              </w:rPr>
            </w:pPr>
          </w:p>
          <w:p w14:paraId="4E5016CD">
            <w:pPr>
              <w:pStyle w:val="56"/>
              <w:rPr>
                <w:highlight w:val="none"/>
              </w:rPr>
            </w:pPr>
          </w:p>
          <w:p w14:paraId="7187A25E">
            <w:pPr>
              <w:pStyle w:val="56"/>
              <w:rPr>
                <w:highlight w:val="none"/>
              </w:rPr>
            </w:pPr>
          </w:p>
          <w:p w14:paraId="7B6CDF90">
            <w:pPr>
              <w:pStyle w:val="56"/>
              <w:rPr>
                <w:highlight w:val="none"/>
              </w:rPr>
            </w:pPr>
          </w:p>
          <w:p w14:paraId="1AC99B6A">
            <w:pPr>
              <w:pStyle w:val="56"/>
              <w:rPr>
                <w:highlight w:val="none"/>
              </w:rPr>
            </w:pPr>
          </w:p>
          <w:p w14:paraId="435BEDFA">
            <w:pPr>
              <w:pStyle w:val="56"/>
              <w:rPr>
                <w:highlight w:val="none"/>
              </w:rPr>
            </w:pPr>
          </w:p>
          <w:p w14:paraId="38C559B3">
            <w:pPr>
              <w:pStyle w:val="56"/>
              <w:rPr>
                <w:highlight w:val="none"/>
              </w:rPr>
            </w:pPr>
          </w:p>
          <w:p w14:paraId="060F059E">
            <w:pPr>
              <w:pStyle w:val="56"/>
              <w:rPr>
                <w:highlight w:val="none"/>
              </w:rPr>
            </w:pPr>
          </w:p>
          <w:p w14:paraId="09572CDC">
            <w:pPr>
              <w:pStyle w:val="56"/>
              <w:rPr>
                <w:highlight w:val="none"/>
              </w:rPr>
            </w:pPr>
          </w:p>
          <w:p w14:paraId="706098B6">
            <w:pPr>
              <w:pStyle w:val="56"/>
              <w:rPr>
                <w:highlight w:val="none"/>
              </w:rPr>
            </w:pPr>
          </w:p>
          <w:p w14:paraId="44CF5F13">
            <w:pPr>
              <w:pStyle w:val="56"/>
              <w:rPr>
                <w:highlight w:val="none"/>
              </w:rPr>
            </w:pPr>
          </w:p>
          <w:p w14:paraId="627F378A">
            <w:pPr>
              <w:pStyle w:val="56"/>
              <w:rPr>
                <w:highlight w:val="none"/>
              </w:rPr>
            </w:pPr>
          </w:p>
          <w:p w14:paraId="45828897">
            <w:pPr>
              <w:pStyle w:val="56"/>
              <w:rPr>
                <w:highlight w:val="none"/>
              </w:rPr>
            </w:pPr>
          </w:p>
          <w:p w14:paraId="3BBEF26E">
            <w:pPr>
              <w:pStyle w:val="56"/>
              <w:rPr>
                <w:highlight w:val="none"/>
              </w:rPr>
            </w:pPr>
          </w:p>
          <w:p w14:paraId="27673D2E">
            <w:pPr>
              <w:pStyle w:val="56"/>
              <w:rPr>
                <w:highlight w:val="none"/>
              </w:rPr>
            </w:pPr>
          </w:p>
          <w:p w14:paraId="3EA2D1AC">
            <w:pPr>
              <w:pStyle w:val="56"/>
              <w:rPr>
                <w:highlight w:val="none"/>
              </w:rPr>
            </w:pPr>
          </w:p>
          <w:p w14:paraId="075283A9">
            <w:pPr>
              <w:pStyle w:val="56"/>
              <w:rPr>
                <w:highlight w:val="none"/>
              </w:rPr>
            </w:pPr>
          </w:p>
          <w:p w14:paraId="0391AB83">
            <w:pPr>
              <w:pStyle w:val="56"/>
              <w:rPr>
                <w:highlight w:val="none"/>
              </w:rPr>
            </w:pPr>
          </w:p>
          <w:p w14:paraId="066D6E26">
            <w:pPr>
              <w:pStyle w:val="56"/>
              <w:rPr>
                <w:highlight w:val="none"/>
              </w:rPr>
            </w:pPr>
          </w:p>
          <w:p w14:paraId="2F276C11">
            <w:pPr>
              <w:pStyle w:val="56"/>
              <w:rPr>
                <w:highlight w:val="none"/>
              </w:rPr>
            </w:pPr>
          </w:p>
          <w:p w14:paraId="16698DDD">
            <w:pPr>
              <w:pStyle w:val="56"/>
              <w:rPr>
                <w:highlight w:val="none"/>
              </w:rPr>
            </w:pPr>
          </w:p>
          <w:p w14:paraId="6A7407E9">
            <w:pPr>
              <w:pStyle w:val="56"/>
              <w:rPr>
                <w:highlight w:val="none"/>
              </w:rPr>
            </w:pPr>
          </w:p>
          <w:p w14:paraId="0060716E">
            <w:pPr>
              <w:pStyle w:val="56"/>
              <w:rPr>
                <w:highlight w:val="none"/>
              </w:rPr>
            </w:pPr>
          </w:p>
          <w:p w14:paraId="0EEC3F23">
            <w:pPr>
              <w:pStyle w:val="56"/>
              <w:rPr>
                <w:highlight w:val="none"/>
              </w:rPr>
            </w:pPr>
          </w:p>
          <w:p w14:paraId="183EE1B5">
            <w:pPr>
              <w:pStyle w:val="56"/>
              <w:rPr>
                <w:highlight w:val="none"/>
              </w:rPr>
            </w:pPr>
          </w:p>
          <w:p w14:paraId="3F65A33E">
            <w:pPr>
              <w:pStyle w:val="56"/>
              <w:rPr>
                <w:highlight w:val="none"/>
              </w:rPr>
            </w:pPr>
          </w:p>
          <w:p w14:paraId="3934604A">
            <w:pPr>
              <w:pStyle w:val="56"/>
              <w:rPr>
                <w:highlight w:val="none"/>
              </w:rPr>
            </w:pPr>
          </w:p>
          <w:p w14:paraId="295ECFF9">
            <w:pPr>
              <w:pStyle w:val="56"/>
              <w:rPr>
                <w:highlight w:val="none"/>
              </w:rPr>
            </w:pPr>
          </w:p>
          <w:p w14:paraId="355D5C2C">
            <w:pPr>
              <w:pStyle w:val="56"/>
              <w:rPr>
                <w:highlight w:val="none"/>
              </w:rPr>
            </w:pPr>
          </w:p>
          <w:p w14:paraId="59A5E038">
            <w:pPr>
              <w:pStyle w:val="56"/>
              <w:rPr>
                <w:highlight w:val="none"/>
              </w:rPr>
            </w:pPr>
            <w:r>
              <w:rPr>
                <w:rFonts w:hint="eastAsia"/>
                <w:highlight w:val="none"/>
              </w:rPr>
              <w:t>运营</w:t>
            </w:r>
          </w:p>
          <w:p w14:paraId="4B97B52F">
            <w:pPr>
              <w:pStyle w:val="56"/>
              <w:rPr>
                <w:highlight w:val="none"/>
              </w:rPr>
            </w:pPr>
            <w:r>
              <w:rPr>
                <w:rFonts w:hint="eastAsia"/>
                <w:highlight w:val="none"/>
              </w:rPr>
              <w:t>期环</w:t>
            </w:r>
          </w:p>
          <w:p w14:paraId="160EBB0C">
            <w:pPr>
              <w:pStyle w:val="56"/>
              <w:rPr>
                <w:highlight w:val="none"/>
              </w:rPr>
            </w:pPr>
            <w:r>
              <w:rPr>
                <w:rFonts w:hint="eastAsia"/>
                <w:highlight w:val="none"/>
              </w:rPr>
              <w:t>境影</w:t>
            </w:r>
          </w:p>
          <w:p w14:paraId="4E2A6F36">
            <w:pPr>
              <w:pStyle w:val="56"/>
              <w:rPr>
                <w:highlight w:val="none"/>
              </w:rPr>
            </w:pPr>
            <w:r>
              <w:rPr>
                <w:rFonts w:hint="eastAsia"/>
                <w:highlight w:val="none"/>
              </w:rPr>
              <w:t>响和</w:t>
            </w:r>
          </w:p>
          <w:p w14:paraId="4CF938C4">
            <w:pPr>
              <w:pStyle w:val="56"/>
              <w:rPr>
                <w:highlight w:val="none"/>
              </w:rPr>
            </w:pPr>
            <w:r>
              <w:rPr>
                <w:rFonts w:hint="eastAsia"/>
                <w:highlight w:val="none"/>
              </w:rPr>
              <w:t>保护</w:t>
            </w:r>
          </w:p>
          <w:p w14:paraId="1003A25B">
            <w:pPr>
              <w:pStyle w:val="56"/>
              <w:rPr>
                <w:highlight w:val="none"/>
              </w:rPr>
            </w:pPr>
            <w:r>
              <w:rPr>
                <w:rFonts w:hint="eastAsia"/>
                <w:highlight w:val="none"/>
              </w:rPr>
              <w:t>措施</w:t>
            </w:r>
          </w:p>
          <w:p w14:paraId="767826CA">
            <w:pPr>
              <w:pStyle w:val="56"/>
              <w:rPr>
                <w:highlight w:val="none"/>
              </w:rPr>
            </w:pPr>
          </w:p>
          <w:p w14:paraId="7A751A40">
            <w:pPr>
              <w:pStyle w:val="56"/>
              <w:rPr>
                <w:highlight w:val="none"/>
              </w:rPr>
            </w:pPr>
          </w:p>
          <w:p w14:paraId="797D07A7">
            <w:pPr>
              <w:pStyle w:val="56"/>
              <w:rPr>
                <w:highlight w:val="none"/>
              </w:rPr>
            </w:pPr>
          </w:p>
          <w:p w14:paraId="4C9B7BFE">
            <w:pPr>
              <w:pStyle w:val="56"/>
              <w:rPr>
                <w:highlight w:val="none"/>
              </w:rPr>
            </w:pPr>
          </w:p>
          <w:p w14:paraId="03F08F87">
            <w:pPr>
              <w:pStyle w:val="56"/>
              <w:rPr>
                <w:highlight w:val="none"/>
              </w:rPr>
            </w:pPr>
          </w:p>
          <w:p w14:paraId="3EBECFC3">
            <w:pPr>
              <w:pStyle w:val="56"/>
              <w:rPr>
                <w:highlight w:val="none"/>
              </w:rPr>
            </w:pPr>
          </w:p>
          <w:p w14:paraId="39353BA4">
            <w:pPr>
              <w:pStyle w:val="56"/>
              <w:rPr>
                <w:highlight w:val="none"/>
              </w:rPr>
            </w:pPr>
          </w:p>
          <w:p w14:paraId="4A3DC736">
            <w:pPr>
              <w:pStyle w:val="56"/>
              <w:rPr>
                <w:highlight w:val="none"/>
              </w:rPr>
            </w:pPr>
          </w:p>
          <w:p w14:paraId="3F104B24">
            <w:pPr>
              <w:pStyle w:val="56"/>
              <w:rPr>
                <w:highlight w:val="none"/>
              </w:rPr>
            </w:pPr>
          </w:p>
          <w:p w14:paraId="6F1F8CD3">
            <w:pPr>
              <w:pStyle w:val="56"/>
              <w:rPr>
                <w:highlight w:val="none"/>
              </w:rPr>
            </w:pPr>
          </w:p>
          <w:p w14:paraId="286A784F">
            <w:pPr>
              <w:pStyle w:val="56"/>
              <w:rPr>
                <w:highlight w:val="none"/>
              </w:rPr>
            </w:pPr>
          </w:p>
          <w:p w14:paraId="179639B5">
            <w:pPr>
              <w:pStyle w:val="56"/>
              <w:rPr>
                <w:highlight w:val="none"/>
              </w:rPr>
            </w:pPr>
          </w:p>
          <w:p w14:paraId="79308168">
            <w:pPr>
              <w:pStyle w:val="56"/>
              <w:rPr>
                <w:highlight w:val="none"/>
              </w:rPr>
            </w:pPr>
          </w:p>
          <w:p w14:paraId="54E17CE0">
            <w:pPr>
              <w:pStyle w:val="56"/>
              <w:rPr>
                <w:highlight w:val="none"/>
              </w:rPr>
            </w:pPr>
          </w:p>
          <w:p w14:paraId="69806E38">
            <w:pPr>
              <w:pStyle w:val="56"/>
              <w:rPr>
                <w:highlight w:val="none"/>
              </w:rPr>
            </w:pPr>
          </w:p>
          <w:p w14:paraId="7F115A2B">
            <w:pPr>
              <w:pStyle w:val="56"/>
              <w:rPr>
                <w:highlight w:val="none"/>
              </w:rPr>
            </w:pPr>
          </w:p>
          <w:p w14:paraId="57BD1F2D">
            <w:pPr>
              <w:pStyle w:val="56"/>
              <w:rPr>
                <w:highlight w:val="none"/>
              </w:rPr>
            </w:pPr>
          </w:p>
          <w:p w14:paraId="0D61EF6C">
            <w:pPr>
              <w:pStyle w:val="56"/>
              <w:rPr>
                <w:highlight w:val="none"/>
              </w:rPr>
            </w:pPr>
          </w:p>
          <w:p w14:paraId="012AAF32">
            <w:pPr>
              <w:pStyle w:val="56"/>
              <w:rPr>
                <w:highlight w:val="none"/>
              </w:rPr>
            </w:pPr>
          </w:p>
          <w:p w14:paraId="5D8FC40A">
            <w:pPr>
              <w:pStyle w:val="56"/>
              <w:rPr>
                <w:highlight w:val="none"/>
              </w:rPr>
            </w:pPr>
          </w:p>
          <w:p w14:paraId="6F609A48">
            <w:pPr>
              <w:pStyle w:val="56"/>
              <w:rPr>
                <w:highlight w:val="none"/>
              </w:rPr>
            </w:pPr>
          </w:p>
          <w:p w14:paraId="680BC1FA">
            <w:pPr>
              <w:pStyle w:val="56"/>
              <w:rPr>
                <w:highlight w:val="none"/>
              </w:rPr>
            </w:pPr>
          </w:p>
          <w:p w14:paraId="261D7D8C">
            <w:pPr>
              <w:pStyle w:val="56"/>
              <w:rPr>
                <w:highlight w:val="none"/>
              </w:rPr>
            </w:pPr>
          </w:p>
          <w:p w14:paraId="546622A6">
            <w:pPr>
              <w:pStyle w:val="56"/>
              <w:rPr>
                <w:highlight w:val="none"/>
              </w:rPr>
            </w:pPr>
          </w:p>
          <w:p w14:paraId="6D4C1C62">
            <w:pPr>
              <w:pStyle w:val="56"/>
              <w:rPr>
                <w:highlight w:val="none"/>
              </w:rPr>
            </w:pPr>
          </w:p>
          <w:p w14:paraId="1BE9D2E4">
            <w:pPr>
              <w:pStyle w:val="56"/>
              <w:rPr>
                <w:highlight w:val="none"/>
              </w:rPr>
            </w:pPr>
          </w:p>
          <w:p w14:paraId="744C2EE5">
            <w:pPr>
              <w:pStyle w:val="56"/>
              <w:rPr>
                <w:highlight w:val="none"/>
              </w:rPr>
            </w:pPr>
          </w:p>
          <w:p w14:paraId="29AFFEA1">
            <w:pPr>
              <w:pStyle w:val="56"/>
              <w:rPr>
                <w:highlight w:val="none"/>
              </w:rPr>
            </w:pPr>
          </w:p>
          <w:p w14:paraId="5FC82EA5">
            <w:pPr>
              <w:pStyle w:val="56"/>
              <w:rPr>
                <w:highlight w:val="none"/>
              </w:rPr>
            </w:pPr>
          </w:p>
          <w:p w14:paraId="1DB246B6">
            <w:pPr>
              <w:pStyle w:val="56"/>
              <w:rPr>
                <w:highlight w:val="none"/>
              </w:rPr>
            </w:pPr>
          </w:p>
          <w:p w14:paraId="5B4F74A1">
            <w:pPr>
              <w:pStyle w:val="56"/>
              <w:rPr>
                <w:highlight w:val="none"/>
              </w:rPr>
            </w:pPr>
          </w:p>
          <w:p w14:paraId="123A2D64">
            <w:pPr>
              <w:pStyle w:val="56"/>
              <w:rPr>
                <w:highlight w:val="none"/>
              </w:rPr>
            </w:pPr>
          </w:p>
          <w:p w14:paraId="5CEC1431">
            <w:pPr>
              <w:pStyle w:val="56"/>
              <w:rPr>
                <w:highlight w:val="none"/>
              </w:rPr>
            </w:pPr>
          </w:p>
          <w:p w14:paraId="67CF84D9">
            <w:pPr>
              <w:pStyle w:val="56"/>
              <w:rPr>
                <w:highlight w:val="none"/>
              </w:rPr>
            </w:pPr>
          </w:p>
          <w:p w14:paraId="1F286C00">
            <w:pPr>
              <w:pStyle w:val="56"/>
              <w:rPr>
                <w:highlight w:val="none"/>
              </w:rPr>
            </w:pPr>
          </w:p>
          <w:p w14:paraId="6CC3F671">
            <w:pPr>
              <w:pStyle w:val="56"/>
              <w:rPr>
                <w:highlight w:val="none"/>
              </w:rPr>
            </w:pPr>
          </w:p>
          <w:p w14:paraId="34D240F7">
            <w:pPr>
              <w:pStyle w:val="56"/>
              <w:rPr>
                <w:highlight w:val="none"/>
              </w:rPr>
            </w:pPr>
            <w:r>
              <w:rPr>
                <w:rFonts w:hint="eastAsia"/>
                <w:highlight w:val="none"/>
              </w:rPr>
              <w:t>运营</w:t>
            </w:r>
          </w:p>
          <w:p w14:paraId="01131D93">
            <w:pPr>
              <w:pStyle w:val="56"/>
              <w:rPr>
                <w:highlight w:val="none"/>
              </w:rPr>
            </w:pPr>
            <w:r>
              <w:rPr>
                <w:rFonts w:hint="eastAsia"/>
                <w:highlight w:val="none"/>
              </w:rPr>
              <w:t>期环</w:t>
            </w:r>
          </w:p>
          <w:p w14:paraId="55623BB6">
            <w:pPr>
              <w:pStyle w:val="56"/>
              <w:rPr>
                <w:highlight w:val="none"/>
              </w:rPr>
            </w:pPr>
            <w:r>
              <w:rPr>
                <w:rFonts w:hint="eastAsia"/>
                <w:highlight w:val="none"/>
              </w:rPr>
              <w:t>境影</w:t>
            </w:r>
          </w:p>
          <w:p w14:paraId="34998E82">
            <w:pPr>
              <w:pStyle w:val="56"/>
              <w:rPr>
                <w:highlight w:val="none"/>
              </w:rPr>
            </w:pPr>
            <w:r>
              <w:rPr>
                <w:rFonts w:hint="eastAsia"/>
                <w:highlight w:val="none"/>
              </w:rPr>
              <w:t>响和</w:t>
            </w:r>
          </w:p>
          <w:p w14:paraId="01FCEAEB">
            <w:pPr>
              <w:pStyle w:val="56"/>
              <w:rPr>
                <w:highlight w:val="none"/>
              </w:rPr>
            </w:pPr>
            <w:r>
              <w:rPr>
                <w:rFonts w:hint="eastAsia"/>
                <w:highlight w:val="none"/>
              </w:rPr>
              <w:t>保护</w:t>
            </w:r>
          </w:p>
          <w:p w14:paraId="5ECCFD1B">
            <w:pPr>
              <w:pStyle w:val="56"/>
              <w:rPr>
                <w:highlight w:val="none"/>
              </w:rPr>
            </w:pPr>
            <w:r>
              <w:rPr>
                <w:rFonts w:hint="eastAsia"/>
                <w:highlight w:val="none"/>
              </w:rPr>
              <w:t>措施</w:t>
            </w:r>
          </w:p>
          <w:p w14:paraId="7916D670">
            <w:pPr>
              <w:pStyle w:val="56"/>
              <w:rPr>
                <w:highlight w:val="none"/>
              </w:rPr>
            </w:pPr>
          </w:p>
          <w:p w14:paraId="7C2D9187">
            <w:pPr>
              <w:pStyle w:val="56"/>
              <w:rPr>
                <w:highlight w:val="none"/>
              </w:rPr>
            </w:pPr>
          </w:p>
          <w:p w14:paraId="7B34D835">
            <w:pPr>
              <w:pStyle w:val="56"/>
              <w:rPr>
                <w:highlight w:val="none"/>
              </w:rPr>
            </w:pPr>
          </w:p>
          <w:p w14:paraId="3557664F">
            <w:pPr>
              <w:pStyle w:val="56"/>
              <w:rPr>
                <w:highlight w:val="none"/>
              </w:rPr>
            </w:pPr>
          </w:p>
          <w:p w14:paraId="74FCC4AE">
            <w:pPr>
              <w:pStyle w:val="56"/>
              <w:rPr>
                <w:highlight w:val="none"/>
              </w:rPr>
            </w:pPr>
          </w:p>
          <w:p w14:paraId="20123B34">
            <w:pPr>
              <w:pStyle w:val="56"/>
              <w:rPr>
                <w:highlight w:val="none"/>
              </w:rPr>
            </w:pPr>
          </w:p>
          <w:p w14:paraId="7675F442">
            <w:pPr>
              <w:pStyle w:val="56"/>
              <w:rPr>
                <w:highlight w:val="none"/>
              </w:rPr>
            </w:pPr>
          </w:p>
          <w:p w14:paraId="262874ED">
            <w:pPr>
              <w:pStyle w:val="56"/>
              <w:rPr>
                <w:highlight w:val="none"/>
              </w:rPr>
            </w:pPr>
          </w:p>
          <w:p w14:paraId="791A5FC4">
            <w:pPr>
              <w:pStyle w:val="56"/>
              <w:rPr>
                <w:highlight w:val="none"/>
              </w:rPr>
            </w:pPr>
          </w:p>
          <w:p w14:paraId="03D8E0D6">
            <w:pPr>
              <w:pStyle w:val="56"/>
              <w:rPr>
                <w:highlight w:val="none"/>
              </w:rPr>
            </w:pPr>
          </w:p>
          <w:p w14:paraId="32362452">
            <w:pPr>
              <w:pStyle w:val="56"/>
              <w:rPr>
                <w:highlight w:val="none"/>
              </w:rPr>
            </w:pPr>
          </w:p>
          <w:p w14:paraId="621C2891">
            <w:pPr>
              <w:pStyle w:val="56"/>
              <w:rPr>
                <w:highlight w:val="none"/>
              </w:rPr>
            </w:pPr>
          </w:p>
          <w:p w14:paraId="6D4D2727">
            <w:pPr>
              <w:pStyle w:val="56"/>
              <w:rPr>
                <w:highlight w:val="none"/>
              </w:rPr>
            </w:pPr>
          </w:p>
          <w:p w14:paraId="43E3F343">
            <w:pPr>
              <w:pStyle w:val="56"/>
              <w:rPr>
                <w:highlight w:val="none"/>
              </w:rPr>
            </w:pPr>
          </w:p>
          <w:p w14:paraId="1AF820FE">
            <w:pPr>
              <w:pStyle w:val="56"/>
              <w:rPr>
                <w:highlight w:val="none"/>
              </w:rPr>
            </w:pPr>
          </w:p>
          <w:p w14:paraId="3C1666F9">
            <w:pPr>
              <w:pStyle w:val="56"/>
              <w:rPr>
                <w:highlight w:val="none"/>
              </w:rPr>
            </w:pPr>
          </w:p>
          <w:p w14:paraId="427928DC">
            <w:pPr>
              <w:pStyle w:val="56"/>
              <w:rPr>
                <w:highlight w:val="none"/>
              </w:rPr>
            </w:pPr>
          </w:p>
          <w:p w14:paraId="3D2167EC">
            <w:pPr>
              <w:pStyle w:val="56"/>
              <w:rPr>
                <w:highlight w:val="none"/>
              </w:rPr>
            </w:pPr>
          </w:p>
          <w:p w14:paraId="459CA712">
            <w:pPr>
              <w:pStyle w:val="56"/>
              <w:rPr>
                <w:highlight w:val="none"/>
              </w:rPr>
            </w:pPr>
          </w:p>
          <w:p w14:paraId="25C22B51">
            <w:pPr>
              <w:pStyle w:val="56"/>
              <w:rPr>
                <w:highlight w:val="none"/>
              </w:rPr>
            </w:pPr>
          </w:p>
          <w:p w14:paraId="25048ABC">
            <w:pPr>
              <w:pStyle w:val="56"/>
              <w:rPr>
                <w:highlight w:val="none"/>
              </w:rPr>
            </w:pPr>
          </w:p>
          <w:p w14:paraId="3A4B0CA3">
            <w:pPr>
              <w:pStyle w:val="56"/>
              <w:rPr>
                <w:highlight w:val="none"/>
              </w:rPr>
            </w:pPr>
          </w:p>
          <w:p w14:paraId="6C30A7D9">
            <w:pPr>
              <w:pStyle w:val="56"/>
              <w:rPr>
                <w:highlight w:val="none"/>
              </w:rPr>
            </w:pPr>
          </w:p>
          <w:p w14:paraId="21A4197C">
            <w:pPr>
              <w:pStyle w:val="56"/>
              <w:rPr>
                <w:highlight w:val="none"/>
              </w:rPr>
            </w:pPr>
          </w:p>
          <w:p w14:paraId="2F726205">
            <w:pPr>
              <w:pStyle w:val="56"/>
              <w:rPr>
                <w:highlight w:val="none"/>
              </w:rPr>
            </w:pPr>
          </w:p>
          <w:p w14:paraId="52272797">
            <w:pPr>
              <w:pStyle w:val="56"/>
              <w:rPr>
                <w:highlight w:val="none"/>
              </w:rPr>
            </w:pPr>
          </w:p>
          <w:p w14:paraId="4326BA86">
            <w:pPr>
              <w:pStyle w:val="56"/>
              <w:rPr>
                <w:highlight w:val="none"/>
              </w:rPr>
            </w:pPr>
          </w:p>
          <w:p w14:paraId="3FCE8B62">
            <w:pPr>
              <w:pStyle w:val="56"/>
              <w:rPr>
                <w:highlight w:val="none"/>
              </w:rPr>
            </w:pPr>
          </w:p>
          <w:p w14:paraId="71C60D3C">
            <w:pPr>
              <w:pStyle w:val="56"/>
              <w:rPr>
                <w:highlight w:val="none"/>
              </w:rPr>
            </w:pPr>
          </w:p>
          <w:p w14:paraId="55F6A072">
            <w:pPr>
              <w:pStyle w:val="56"/>
              <w:rPr>
                <w:highlight w:val="none"/>
              </w:rPr>
            </w:pPr>
          </w:p>
          <w:p w14:paraId="717613BF">
            <w:pPr>
              <w:pStyle w:val="56"/>
              <w:rPr>
                <w:highlight w:val="none"/>
              </w:rPr>
            </w:pPr>
          </w:p>
          <w:p w14:paraId="59E07A86">
            <w:pPr>
              <w:pStyle w:val="56"/>
              <w:rPr>
                <w:highlight w:val="none"/>
              </w:rPr>
            </w:pPr>
          </w:p>
          <w:p w14:paraId="13C95580">
            <w:pPr>
              <w:pStyle w:val="56"/>
              <w:rPr>
                <w:highlight w:val="none"/>
              </w:rPr>
            </w:pPr>
          </w:p>
          <w:p w14:paraId="2DE1DBC7">
            <w:pPr>
              <w:pStyle w:val="56"/>
              <w:rPr>
                <w:highlight w:val="none"/>
              </w:rPr>
            </w:pPr>
          </w:p>
          <w:p w14:paraId="4CB937AF">
            <w:pPr>
              <w:pStyle w:val="56"/>
              <w:rPr>
                <w:highlight w:val="none"/>
              </w:rPr>
            </w:pPr>
          </w:p>
          <w:p w14:paraId="789A1EF8">
            <w:pPr>
              <w:pStyle w:val="56"/>
              <w:rPr>
                <w:highlight w:val="none"/>
              </w:rPr>
            </w:pPr>
          </w:p>
          <w:p w14:paraId="4BA30D99">
            <w:pPr>
              <w:pStyle w:val="56"/>
              <w:rPr>
                <w:highlight w:val="none"/>
              </w:rPr>
            </w:pPr>
          </w:p>
          <w:p w14:paraId="494D8A03">
            <w:pPr>
              <w:pStyle w:val="56"/>
              <w:rPr>
                <w:highlight w:val="none"/>
              </w:rPr>
            </w:pPr>
          </w:p>
          <w:p w14:paraId="3EB4705A">
            <w:pPr>
              <w:pStyle w:val="56"/>
              <w:rPr>
                <w:highlight w:val="none"/>
              </w:rPr>
            </w:pPr>
          </w:p>
          <w:p w14:paraId="2B470FAD">
            <w:pPr>
              <w:pStyle w:val="56"/>
              <w:rPr>
                <w:highlight w:val="none"/>
              </w:rPr>
            </w:pPr>
          </w:p>
          <w:p w14:paraId="603137A9">
            <w:pPr>
              <w:pStyle w:val="56"/>
              <w:rPr>
                <w:highlight w:val="none"/>
              </w:rPr>
            </w:pPr>
          </w:p>
          <w:p w14:paraId="5B314A1A">
            <w:pPr>
              <w:pStyle w:val="56"/>
              <w:rPr>
                <w:highlight w:val="none"/>
              </w:rPr>
            </w:pPr>
            <w:r>
              <w:rPr>
                <w:rFonts w:hint="eastAsia"/>
                <w:highlight w:val="none"/>
              </w:rPr>
              <w:t>运营</w:t>
            </w:r>
          </w:p>
          <w:p w14:paraId="0CF49D04">
            <w:pPr>
              <w:pStyle w:val="56"/>
              <w:rPr>
                <w:highlight w:val="none"/>
              </w:rPr>
            </w:pPr>
            <w:r>
              <w:rPr>
                <w:rFonts w:hint="eastAsia"/>
                <w:highlight w:val="none"/>
              </w:rPr>
              <w:t>期环</w:t>
            </w:r>
          </w:p>
          <w:p w14:paraId="1F386691">
            <w:pPr>
              <w:pStyle w:val="56"/>
              <w:rPr>
                <w:highlight w:val="none"/>
              </w:rPr>
            </w:pPr>
            <w:r>
              <w:rPr>
                <w:rFonts w:hint="eastAsia"/>
                <w:highlight w:val="none"/>
              </w:rPr>
              <w:t>境影</w:t>
            </w:r>
          </w:p>
          <w:p w14:paraId="51C3806C">
            <w:pPr>
              <w:pStyle w:val="56"/>
              <w:rPr>
                <w:highlight w:val="none"/>
              </w:rPr>
            </w:pPr>
            <w:r>
              <w:rPr>
                <w:rFonts w:hint="eastAsia"/>
                <w:highlight w:val="none"/>
              </w:rPr>
              <w:t>响和</w:t>
            </w:r>
          </w:p>
          <w:p w14:paraId="54228E78">
            <w:pPr>
              <w:pStyle w:val="56"/>
              <w:rPr>
                <w:highlight w:val="none"/>
              </w:rPr>
            </w:pPr>
            <w:r>
              <w:rPr>
                <w:rFonts w:hint="eastAsia"/>
                <w:highlight w:val="none"/>
              </w:rPr>
              <w:t>保护</w:t>
            </w:r>
          </w:p>
          <w:p w14:paraId="4CC06643">
            <w:pPr>
              <w:pStyle w:val="56"/>
              <w:rPr>
                <w:highlight w:val="none"/>
              </w:rPr>
            </w:pPr>
            <w:r>
              <w:rPr>
                <w:rFonts w:hint="eastAsia"/>
                <w:highlight w:val="none"/>
              </w:rPr>
              <w:t>措施</w:t>
            </w:r>
          </w:p>
          <w:p w14:paraId="0C1FFBEC">
            <w:pPr>
              <w:pStyle w:val="56"/>
              <w:rPr>
                <w:highlight w:val="none"/>
              </w:rPr>
            </w:pPr>
          </w:p>
          <w:p w14:paraId="42104F92">
            <w:pPr>
              <w:pStyle w:val="56"/>
              <w:rPr>
                <w:highlight w:val="none"/>
              </w:rPr>
            </w:pPr>
          </w:p>
          <w:p w14:paraId="06C96EC8">
            <w:pPr>
              <w:pStyle w:val="56"/>
              <w:rPr>
                <w:highlight w:val="none"/>
              </w:rPr>
            </w:pPr>
          </w:p>
          <w:p w14:paraId="78ABA0DB">
            <w:pPr>
              <w:pStyle w:val="56"/>
              <w:rPr>
                <w:highlight w:val="none"/>
              </w:rPr>
            </w:pPr>
          </w:p>
          <w:p w14:paraId="6B46E638">
            <w:pPr>
              <w:pStyle w:val="56"/>
              <w:rPr>
                <w:highlight w:val="none"/>
              </w:rPr>
            </w:pPr>
          </w:p>
          <w:p w14:paraId="19FAEB81">
            <w:pPr>
              <w:pStyle w:val="56"/>
              <w:rPr>
                <w:highlight w:val="none"/>
              </w:rPr>
            </w:pPr>
          </w:p>
          <w:p w14:paraId="4A2982C3">
            <w:pPr>
              <w:pStyle w:val="56"/>
              <w:rPr>
                <w:highlight w:val="none"/>
              </w:rPr>
            </w:pPr>
          </w:p>
          <w:p w14:paraId="358A56F2">
            <w:pPr>
              <w:pStyle w:val="56"/>
              <w:rPr>
                <w:highlight w:val="none"/>
              </w:rPr>
            </w:pPr>
          </w:p>
          <w:p w14:paraId="17364F2B">
            <w:pPr>
              <w:pStyle w:val="56"/>
              <w:rPr>
                <w:highlight w:val="none"/>
              </w:rPr>
            </w:pPr>
          </w:p>
          <w:p w14:paraId="1987E284">
            <w:pPr>
              <w:pStyle w:val="56"/>
              <w:rPr>
                <w:highlight w:val="none"/>
              </w:rPr>
            </w:pPr>
          </w:p>
          <w:p w14:paraId="0D0996C8">
            <w:pPr>
              <w:pStyle w:val="56"/>
              <w:rPr>
                <w:highlight w:val="none"/>
              </w:rPr>
            </w:pPr>
          </w:p>
          <w:p w14:paraId="43EA2C4E">
            <w:pPr>
              <w:pStyle w:val="56"/>
              <w:rPr>
                <w:highlight w:val="none"/>
              </w:rPr>
            </w:pPr>
          </w:p>
          <w:p w14:paraId="09B28847">
            <w:pPr>
              <w:pStyle w:val="56"/>
              <w:rPr>
                <w:highlight w:val="none"/>
              </w:rPr>
            </w:pPr>
          </w:p>
          <w:p w14:paraId="2122BA67">
            <w:pPr>
              <w:pStyle w:val="56"/>
              <w:rPr>
                <w:highlight w:val="none"/>
              </w:rPr>
            </w:pPr>
          </w:p>
          <w:p w14:paraId="4C55B425">
            <w:pPr>
              <w:pStyle w:val="56"/>
              <w:rPr>
                <w:highlight w:val="none"/>
              </w:rPr>
            </w:pPr>
          </w:p>
          <w:p w14:paraId="0EECC829">
            <w:pPr>
              <w:pStyle w:val="56"/>
              <w:rPr>
                <w:highlight w:val="none"/>
              </w:rPr>
            </w:pPr>
          </w:p>
          <w:p w14:paraId="2CC782C5">
            <w:pPr>
              <w:pStyle w:val="56"/>
              <w:rPr>
                <w:highlight w:val="none"/>
              </w:rPr>
            </w:pPr>
          </w:p>
          <w:p w14:paraId="7CF08A0B">
            <w:pPr>
              <w:pStyle w:val="56"/>
              <w:rPr>
                <w:highlight w:val="none"/>
              </w:rPr>
            </w:pPr>
          </w:p>
          <w:p w14:paraId="32ECB6F7">
            <w:pPr>
              <w:pStyle w:val="56"/>
              <w:rPr>
                <w:highlight w:val="none"/>
              </w:rPr>
            </w:pPr>
          </w:p>
          <w:p w14:paraId="3E33FC05">
            <w:pPr>
              <w:pStyle w:val="56"/>
              <w:rPr>
                <w:highlight w:val="none"/>
              </w:rPr>
            </w:pPr>
          </w:p>
          <w:p w14:paraId="6B5820EF">
            <w:pPr>
              <w:pStyle w:val="56"/>
              <w:rPr>
                <w:highlight w:val="none"/>
              </w:rPr>
            </w:pPr>
          </w:p>
          <w:p w14:paraId="2EF457DA">
            <w:pPr>
              <w:pStyle w:val="56"/>
              <w:rPr>
                <w:highlight w:val="none"/>
              </w:rPr>
            </w:pPr>
          </w:p>
          <w:p w14:paraId="6EDB16BE">
            <w:pPr>
              <w:pStyle w:val="56"/>
              <w:rPr>
                <w:highlight w:val="none"/>
              </w:rPr>
            </w:pPr>
          </w:p>
          <w:p w14:paraId="66045AFA">
            <w:pPr>
              <w:pStyle w:val="56"/>
              <w:rPr>
                <w:highlight w:val="none"/>
              </w:rPr>
            </w:pPr>
          </w:p>
          <w:p w14:paraId="50230EA6">
            <w:pPr>
              <w:pStyle w:val="56"/>
              <w:rPr>
                <w:highlight w:val="none"/>
              </w:rPr>
            </w:pPr>
          </w:p>
          <w:p w14:paraId="6BF5CA5F">
            <w:pPr>
              <w:pStyle w:val="56"/>
              <w:rPr>
                <w:highlight w:val="none"/>
              </w:rPr>
            </w:pPr>
          </w:p>
          <w:p w14:paraId="4F619712">
            <w:pPr>
              <w:pStyle w:val="56"/>
              <w:rPr>
                <w:highlight w:val="none"/>
              </w:rPr>
            </w:pPr>
          </w:p>
          <w:p w14:paraId="6DED716A">
            <w:pPr>
              <w:pStyle w:val="56"/>
              <w:rPr>
                <w:highlight w:val="none"/>
              </w:rPr>
            </w:pPr>
          </w:p>
          <w:p w14:paraId="4924F495">
            <w:pPr>
              <w:pStyle w:val="56"/>
              <w:rPr>
                <w:highlight w:val="none"/>
              </w:rPr>
            </w:pPr>
          </w:p>
          <w:p w14:paraId="29C7C262">
            <w:pPr>
              <w:pStyle w:val="56"/>
              <w:rPr>
                <w:highlight w:val="none"/>
              </w:rPr>
            </w:pPr>
          </w:p>
          <w:p w14:paraId="6F7903AA">
            <w:pPr>
              <w:pStyle w:val="56"/>
              <w:rPr>
                <w:highlight w:val="none"/>
              </w:rPr>
            </w:pPr>
          </w:p>
          <w:p w14:paraId="108E7756">
            <w:pPr>
              <w:pStyle w:val="56"/>
              <w:rPr>
                <w:highlight w:val="none"/>
              </w:rPr>
            </w:pPr>
          </w:p>
          <w:p w14:paraId="4484EB58">
            <w:pPr>
              <w:pStyle w:val="56"/>
              <w:rPr>
                <w:highlight w:val="none"/>
              </w:rPr>
            </w:pPr>
          </w:p>
          <w:p w14:paraId="3A456549">
            <w:pPr>
              <w:pStyle w:val="56"/>
              <w:rPr>
                <w:highlight w:val="none"/>
              </w:rPr>
            </w:pPr>
          </w:p>
          <w:p w14:paraId="134B84F4">
            <w:pPr>
              <w:pStyle w:val="56"/>
              <w:rPr>
                <w:highlight w:val="none"/>
              </w:rPr>
            </w:pPr>
          </w:p>
          <w:p w14:paraId="5338398A">
            <w:pPr>
              <w:pStyle w:val="56"/>
              <w:rPr>
                <w:highlight w:val="none"/>
              </w:rPr>
            </w:pPr>
          </w:p>
          <w:p w14:paraId="2F04461D">
            <w:pPr>
              <w:pStyle w:val="56"/>
              <w:rPr>
                <w:highlight w:val="none"/>
              </w:rPr>
            </w:pPr>
          </w:p>
          <w:p w14:paraId="52029E5A">
            <w:pPr>
              <w:pStyle w:val="56"/>
              <w:rPr>
                <w:highlight w:val="none"/>
              </w:rPr>
            </w:pPr>
          </w:p>
          <w:p w14:paraId="4981B80A">
            <w:pPr>
              <w:pStyle w:val="56"/>
              <w:rPr>
                <w:highlight w:val="none"/>
              </w:rPr>
            </w:pPr>
          </w:p>
          <w:p w14:paraId="107E2D34">
            <w:pPr>
              <w:pStyle w:val="56"/>
              <w:rPr>
                <w:highlight w:val="none"/>
              </w:rPr>
            </w:pPr>
            <w:r>
              <w:rPr>
                <w:rFonts w:hint="eastAsia"/>
                <w:highlight w:val="none"/>
              </w:rPr>
              <w:t>运营</w:t>
            </w:r>
          </w:p>
          <w:p w14:paraId="5398E800">
            <w:pPr>
              <w:pStyle w:val="56"/>
              <w:rPr>
                <w:highlight w:val="none"/>
              </w:rPr>
            </w:pPr>
            <w:r>
              <w:rPr>
                <w:rFonts w:hint="eastAsia"/>
                <w:highlight w:val="none"/>
              </w:rPr>
              <w:t>期环</w:t>
            </w:r>
          </w:p>
          <w:p w14:paraId="2C09261D">
            <w:pPr>
              <w:pStyle w:val="56"/>
              <w:rPr>
                <w:highlight w:val="none"/>
              </w:rPr>
            </w:pPr>
            <w:r>
              <w:rPr>
                <w:rFonts w:hint="eastAsia"/>
                <w:highlight w:val="none"/>
              </w:rPr>
              <w:t>境影</w:t>
            </w:r>
          </w:p>
          <w:p w14:paraId="7607DF67">
            <w:pPr>
              <w:pStyle w:val="56"/>
              <w:rPr>
                <w:highlight w:val="none"/>
              </w:rPr>
            </w:pPr>
            <w:r>
              <w:rPr>
                <w:rFonts w:hint="eastAsia"/>
                <w:highlight w:val="none"/>
              </w:rPr>
              <w:t>响和</w:t>
            </w:r>
          </w:p>
          <w:p w14:paraId="27126D74">
            <w:pPr>
              <w:pStyle w:val="56"/>
              <w:rPr>
                <w:highlight w:val="none"/>
              </w:rPr>
            </w:pPr>
            <w:r>
              <w:rPr>
                <w:rFonts w:hint="eastAsia"/>
                <w:highlight w:val="none"/>
              </w:rPr>
              <w:t>保护</w:t>
            </w:r>
          </w:p>
          <w:p w14:paraId="08FDB883">
            <w:pPr>
              <w:pStyle w:val="56"/>
              <w:rPr>
                <w:highlight w:val="none"/>
              </w:rPr>
            </w:pPr>
            <w:r>
              <w:rPr>
                <w:rFonts w:hint="eastAsia"/>
                <w:highlight w:val="none"/>
              </w:rPr>
              <w:t>措施</w:t>
            </w:r>
          </w:p>
          <w:p w14:paraId="089C2401">
            <w:pPr>
              <w:pStyle w:val="56"/>
              <w:rPr>
                <w:highlight w:val="none"/>
              </w:rPr>
            </w:pPr>
          </w:p>
          <w:p w14:paraId="691DE67E">
            <w:pPr>
              <w:pStyle w:val="56"/>
              <w:rPr>
                <w:highlight w:val="none"/>
              </w:rPr>
            </w:pPr>
          </w:p>
          <w:p w14:paraId="3B206F74">
            <w:pPr>
              <w:pStyle w:val="56"/>
              <w:rPr>
                <w:highlight w:val="none"/>
              </w:rPr>
            </w:pPr>
          </w:p>
          <w:p w14:paraId="66607C65">
            <w:pPr>
              <w:pStyle w:val="56"/>
              <w:rPr>
                <w:highlight w:val="none"/>
              </w:rPr>
            </w:pPr>
          </w:p>
          <w:p w14:paraId="1E9124EE">
            <w:pPr>
              <w:pStyle w:val="56"/>
              <w:rPr>
                <w:highlight w:val="none"/>
              </w:rPr>
            </w:pPr>
          </w:p>
          <w:p w14:paraId="41428A10">
            <w:pPr>
              <w:pStyle w:val="56"/>
              <w:rPr>
                <w:highlight w:val="none"/>
              </w:rPr>
            </w:pPr>
          </w:p>
          <w:p w14:paraId="30B76C38">
            <w:pPr>
              <w:pStyle w:val="56"/>
              <w:rPr>
                <w:highlight w:val="none"/>
              </w:rPr>
            </w:pPr>
          </w:p>
          <w:p w14:paraId="07BF631C">
            <w:pPr>
              <w:pStyle w:val="56"/>
              <w:rPr>
                <w:highlight w:val="none"/>
              </w:rPr>
            </w:pPr>
          </w:p>
          <w:p w14:paraId="5449D694">
            <w:pPr>
              <w:pStyle w:val="56"/>
              <w:rPr>
                <w:highlight w:val="none"/>
              </w:rPr>
            </w:pPr>
          </w:p>
          <w:p w14:paraId="2FB9C874">
            <w:pPr>
              <w:pStyle w:val="56"/>
              <w:rPr>
                <w:highlight w:val="none"/>
              </w:rPr>
            </w:pPr>
          </w:p>
          <w:p w14:paraId="054BD812">
            <w:pPr>
              <w:pStyle w:val="56"/>
              <w:rPr>
                <w:highlight w:val="none"/>
              </w:rPr>
            </w:pPr>
          </w:p>
          <w:p w14:paraId="49ACDA6B">
            <w:pPr>
              <w:pStyle w:val="56"/>
              <w:rPr>
                <w:highlight w:val="none"/>
              </w:rPr>
            </w:pPr>
          </w:p>
          <w:p w14:paraId="07441756">
            <w:pPr>
              <w:pStyle w:val="56"/>
              <w:rPr>
                <w:highlight w:val="none"/>
              </w:rPr>
            </w:pPr>
          </w:p>
          <w:p w14:paraId="5A3FF743">
            <w:pPr>
              <w:pStyle w:val="56"/>
              <w:rPr>
                <w:highlight w:val="none"/>
              </w:rPr>
            </w:pPr>
          </w:p>
          <w:p w14:paraId="62FDA7F2">
            <w:pPr>
              <w:pStyle w:val="56"/>
              <w:rPr>
                <w:highlight w:val="none"/>
              </w:rPr>
            </w:pPr>
          </w:p>
          <w:p w14:paraId="3820CA41">
            <w:pPr>
              <w:pStyle w:val="56"/>
              <w:rPr>
                <w:highlight w:val="none"/>
              </w:rPr>
            </w:pPr>
          </w:p>
          <w:p w14:paraId="5CFBE332">
            <w:pPr>
              <w:pStyle w:val="56"/>
              <w:rPr>
                <w:highlight w:val="none"/>
              </w:rPr>
            </w:pPr>
          </w:p>
          <w:p w14:paraId="4647EF39">
            <w:pPr>
              <w:pStyle w:val="56"/>
              <w:rPr>
                <w:highlight w:val="none"/>
              </w:rPr>
            </w:pPr>
          </w:p>
          <w:p w14:paraId="50B1336D">
            <w:pPr>
              <w:pStyle w:val="56"/>
              <w:rPr>
                <w:highlight w:val="none"/>
              </w:rPr>
            </w:pPr>
          </w:p>
          <w:p w14:paraId="390EAEA5">
            <w:pPr>
              <w:pStyle w:val="56"/>
              <w:rPr>
                <w:highlight w:val="none"/>
              </w:rPr>
            </w:pPr>
          </w:p>
          <w:p w14:paraId="034EC5D0">
            <w:pPr>
              <w:pStyle w:val="56"/>
              <w:rPr>
                <w:highlight w:val="none"/>
              </w:rPr>
            </w:pPr>
          </w:p>
          <w:p w14:paraId="00077630">
            <w:pPr>
              <w:pStyle w:val="56"/>
              <w:rPr>
                <w:highlight w:val="none"/>
              </w:rPr>
            </w:pPr>
          </w:p>
          <w:p w14:paraId="394DB6B4">
            <w:pPr>
              <w:pStyle w:val="56"/>
              <w:rPr>
                <w:highlight w:val="none"/>
              </w:rPr>
            </w:pPr>
          </w:p>
          <w:p w14:paraId="7566E8C1">
            <w:pPr>
              <w:pStyle w:val="56"/>
              <w:rPr>
                <w:highlight w:val="none"/>
              </w:rPr>
            </w:pPr>
          </w:p>
          <w:p w14:paraId="07FC2D6D">
            <w:pPr>
              <w:pStyle w:val="56"/>
              <w:rPr>
                <w:highlight w:val="none"/>
              </w:rPr>
            </w:pPr>
          </w:p>
          <w:p w14:paraId="70676511">
            <w:pPr>
              <w:pStyle w:val="56"/>
              <w:rPr>
                <w:highlight w:val="none"/>
              </w:rPr>
            </w:pPr>
          </w:p>
          <w:p w14:paraId="499D3F67">
            <w:pPr>
              <w:pStyle w:val="56"/>
              <w:rPr>
                <w:highlight w:val="none"/>
              </w:rPr>
            </w:pPr>
          </w:p>
          <w:p w14:paraId="30962092">
            <w:pPr>
              <w:pStyle w:val="56"/>
              <w:rPr>
                <w:highlight w:val="none"/>
              </w:rPr>
            </w:pPr>
          </w:p>
          <w:p w14:paraId="0A6C45D4">
            <w:pPr>
              <w:pStyle w:val="56"/>
              <w:rPr>
                <w:highlight w:val="none"/>
              </w:rPr>
            </w:pPr>
          </w:p>
          <w:p w14:paraId="76BF7FBF">
            <w:pPr>
              <w:pStyle w:val="56"/>
              <w:rPr>
                <w:highlight w:val="none"/>
              </w:rPr>
            </w:pPr>
          </w:p>
          <w:p w14:paraId="2B94C942">
            <w:pPr>
              <w:pStyle w:val="56"/>
              <w:rPr>
                <w:highlight w:val="none"/>
              </w:rPr>
            </w:pPr>
          </w:p>
          <w:p w14:paraId="05F9C105">
            <w:pPr>
              <w:pStyle w:val="56"/>
              <w:rPr>
                <w:highlight w:val="none"/>
              </w:rPr>
            </w:pPr>
          </w:p>
          <w:p w14:paraId="596EA0B3">
            <w:pPr>
              <w:pStyle w:val="56"/>
              <w:rPr>
                <w:highlight w:val="none"/>
              </w:rPr>
            </w:pPr>
          </w:p>
          <w:p w14:paraId="0417E299">
            <w:pPr>
              <w:pStyle w:val="56"/>
              <w:rPr>
                <w:highlight w:val="none"/>
              </w:rPr>
            </w:pPr>
          </w:p>
          <w:p w14:paraId="235CCCD1">
            <w:pPr>
              <w:pStyle w:val="56"/>
              <w:rPr>
                <w:highlight w:val="none"/>
              </w:rPr>
            </w:pPr>
          </w:p>
          <w:p w14:paraId="3A2A4179">
            <w:pPr>
              <w:pStyle w:val="56"/>
              <w:rPr>
                <w:highlight w:val="none"/>
              </w:rPr>
            </w:pPr>
          </w:p>
          <w:p w14:paraId="021E86BE">
            <w:pPr>
              <w:pStyle w:val="56"/>
              <w:rPr>
                <w:highlight w:val="none"/>
              </w:rPr>
            </w:pPr>
          </w:p>
          <w:p w14:paraId="6823DAF2">
            <w:pPr>
              <w:pStyle w:val="56"/>
              <w:rPr>
                <w:highlight w:val="none"/>
              </w:rPr>
            </w:pPr>
          </w:p>
          <w:p w14:paraId="42937166">
            <w:pPr>
              <w:pStyle w:val="56"/>
              <w:rPr>
                <w:highlight w:val="none"/>
              </w:rPr>
            </w:pPr>
          </w:p>
          <w:p w14:paraId="2D722DB9">
            <w:pPr>
              <w:pStyle w:val="56"/>
              <w:rPr>
                <w:highlight w:val="none"/>
              </w:rPr>
            </w:pPr>
          </w:p>
          <w:p w14:paraId="1050D99E">
            <w:pPr>
              <w:pStyle w:val="56"/>
              <w:rPr>
                <w:highlight w:val="none"/>
              </w:rPr>
            </w:pPr>
          </w:p>
          <w:p w14:paraId="08B939D9">
            <w:pPr>
              <w:pStyle w:val="56"/>
              <w:rPr>
                <w:highlight w:val="none"/>
              </w:rPr>
            </w:pPr>
            <w:r>
              <w:rPr>
                <w:rFonts w:hint="eastAsia"/>
                <w:highlight w:val="none"/>
              </w:rPr>
              <w:t>运营</w:t>
            </w:r>
          </w:p>
          <w:p w14:paraId="44ECFD31">
            <w:pPr>
              <w:pStyle w:val="56"/>
              <w:rPr>
                <w:highlight w:val="none"/>
              </w:rPr>
            </w:pPr>
            <w:r>
              <w:rPr>
                <w:rFonts w:hint="eastAsia"/>
                <w:highlight w:val="none"/>
              </w:rPr>
              <w:t>期环</w:t>
            </w:r>
          </w:p>
          <w:p w14:paraId="52BA25F4">
            <w:pPr>
              <w:pStyle w:val="56"/>
              <w:rPr>
                <w:highlight w:val="none"/>
              </w:rPr>
            </w:pPr>
            <w:r>
              <w:rPr>
                <w:rFonts w:hint="eastAsia"/>
                <w:highlight w:val="none"/>
              </w:rPr>
              <w:t>境影</w:t>
            </w:r>
          </w:p>
          <w:p w14:paraId="4A4EE3B9">
            <w:pPr>
              <w:pStyle w:val="56"/>
              <w:rPr>
                <w:highlight w:val="none"/>
              </w:rPr>
            </w:pPr>
            <w:r>
              <w:rPr>
                <w:rFonts w:hint="eastAsia"/>
                <w:highlight w:val="none"/>
              </w:rPr>
              <w:t>响和</w:t>
            </w:r>
          </w:p>
          <w:p w14:paraId="4F830121">
            <w:pPr>
              <w:pStyle w:val="56"/>
              <w:rPr>
                <w:highlight w:val="none"/>
              </w:rPr>
            </w:pPr>
            <w:r>
              <w:rPr>
                <w:rFonts w:hint="eastAsia"/>
                <w:highlight w:val="none"/>
              </w:rPr>
              <w:t>保护</w:t>
            </w:r>
          </w:p>
          <w:p w14:paraId="6FCF2F6B">
            <w:pPr>
              <w:pStyle w:val="56"/>
              <w:rPr>
                <w:highlight w:val="none"/>
              </w:rPr>
            </w:pPr>
            <w:r>
              <w:rPr>
                <w:rFonts w:hint="eastAsia"/>
                <w:highlight w:val="none"/>
              </w:rPr>
              <w:t>措施</w:t>
            </w:r>
          </w:p>
          <w:p w14:paraId="7A5B134E">
            <w:pPr>
              <w:pStyle w:val="56"/>
              <w:rPr>
                <w:highlight w:val="none"/>
              </w:rPr>
            </w:pPr>
          </w:p>
          <w:p w14:paraId="130085DC">
            <w:pPr>
              <w:pStyle w:val="56"/>
              <w:rPr>
                <w:highlight w:val="none"/>
              </w:rPr>
            </w:pPr>
          </w:p>
          <w:p w14:paraId="161BF967">
            <w:pPr>
              <w:pStyle w:val="56"/>
              <w:rPr>
                <w:highlight w:val="none"/>
              </w:rPr>
            </w:pPr>
          </w:p>
          <w:p w14:paraId="4A3BABE6">
            <w:pPr>
              <w:pStyle w:val="56"/>
              <w:rPr>
                <w:highlight w:val="none"/>
              </w:rPr>
            </w:pPr>
          </w:p>
          <w:p w14:paraId="6E3E7B55">
            <w:pPr>
              <w:pStyle w:val="56"/>
              <w:rPr>
                <w:highlight w:val="none"/>
              </w:rPr>
            </w:pPr>
          </w:p>
          <w:p w14:paraId="6E0E517B">
            <w:pPr>
              <w:pStyle w:val="56"/>
              <w:rPr>
                <w:highlight w:val="none"/>
              </w:rPr>
            </w:pPr>
          </w:p>
          <w:p w14:paraId="3658C136">
            <w:pPr>
              <w:pStyle w:val="56"/>
              <w:rPr>
                <w:highlight w:val="none"/>
              </w:rPr>
            </w:pPr>
          </w:p>
          <w:p w14:paraId="05F91341">
            <w:pPr>
              <w:pStyle w:val="56"/>
              <w:rPr>
                <w:highlight w:val="none"/>
              </w:rPr>
            </w:pPr>
          </w:p>
          <w:p w14:paraId="3F6467E6">
            <w:pPr>
              <w:pStyle w:val="56"/>
              <w:rPr>
                <w:highlight w:val="none"/>
              </w:rPr>
            </w:pPr>
          </w:p>
          <w:p w14:paraId="09F2C0BE">
            <w:pPr>
              <w:pStyle w:val="56"/>
              <w:rPr>
                <w:highlight w:val="none"/>
              </w:rPr>
            </w:pPr>
          </w:p>
          <w:p w14:paraId="40D8F8DD">
            <w:pPr>
              <w:pStyle w:val="56"/>
              <w:rPr>
                <w:highlight w:val="none"/>
              </w:rPr>
            </w:pPr>
          </w:p>
          <w:p w14:paraId="5ED006D5">
            <w:pPr>
              <w:pStyle w:val="56"/>
              <w:rPr>
                <w:highlight w:val="none"/>
              </w:rPr>
            </w:pPr>
          </w:p>
          <w:p w14:paraId="6DA2FD55">
            <w:pPr>
              <w:pStyle w:val="56"/>
              <w:rPr>
                <w:highlight w:val="none"/>
              </w:rPr>
            </w:pPr>
          </w:p>
          <w:p w14:paraId="20DD8B8F">
            <w:pPr>
              <w:pStyle w:val="56"/>
              <w:rPr>
                <w:highlight w:val="none"/>
              </w:rPr>
            </w:pPr>
          </w:p>
          <w:p w14:paraId="6E3FB328">
            <w:pPr>
              <w:pStyle w:val="56"/>
              <w:rPr>
                <w:highlight w:val="none"/>
              </w:rPr>
            </w:pPr>
          </w:p>
          <w:p w14:paraId="1CC8E6F1">
            <w:pPr>
              <w:pStyle w:val="56"/>
              <w:rPr>
                <w:highlight w:val="none"/>
              </w:rPr>
            </w:pPr>
          </w:p>
          <w:p w14:paraId="6250641F">
            <w:pPr>
              <w:pStyle w:val="56"/>
              <w:rPr>
                <w:highlight w:val="none"/>
              </w:rPr>
            </w:pPr>
          </w:p>
          <w:p w14:paraId="411DD86C">
            <w:pPr>
              <w:pStyle w:val="56"/>
              <w:rPr>
                <w:highlight w:val="none"/>
              </w:rPr>
            </w:pPr>
          </w:p>
          <w:p w14:paraId="310474F0">
            <w:pPr>
              <w:pStyle w:val="56"/>
              <w:rPr>
                <w:highlight w:val="none"/>
              </w:rPr>
            </w:pPr>
          </w:p>
          <w:p w14:paraId="1306DC87">
            <w:pPr>
              <w:pStyle w:val="56"/>
              <w:rPr>
                <w:highlight w:val="none"/>
              </w:rPr>
            </w:pPr>
          </w:p>
          <w:p w14:paraId="0946E982">
            <w:pPr>
              <w:pStyle w:val="56"/>
              <w:rPr>
                <w:highlight w:val="none"/>
              </w:rPr>
            </w:pPr>
          </w:p>
          <w:p w14:paraId="0078D821">
            <w:pPr>
              <w:pStyle w:val="56"/>
              <w:rPr>
                <w:highlight w:val="none"/>
              </w:rPr>
            </w:pPr>
          </w:p>
          <w:p w14:paraId="37080A6F">
            <w:pPr>
              <w:pStyle w:val="56"/>
              <w:rPr>
                <w:highlight w:val="none"/>
              </w:rPr>
            </w:pPr>
          </w:p>
          <w:p w14:paraId="4A8510C0">
            <w:pPr>
              <w:pStyle w:val="56"/>
              <w:rPr>
                <w:highlight w:val="none"/>
              </w:rPr>
            </w:pPr>
          </w:p>
          <w:p w14:paraId="6DE0858A">
            <w:pPr>
              <w:pStyle w:val="56"/>
              <w:rPr>
                <w:highlight w:val="none"/>
              </w:rPr>
            </w:pPr>
          </w:p>
          <w:p w14:paraId="596FFFA2">
            <w:pPr>
              <w:pStyle w:val="56"/>
              <w:rPr>
                <w:highlight w:val="none"/>
              </w:rPr>
            </w:pPr>
          </w:p>
          <w:p w14:paraId="38AED779">
            <w:pPr>
              <w:pStyle w:val="56"/>
              <w:rPr>
                <w:highlight w:val="none"/>
              </w:rPr>
            </w:pPr>
          </w:p>
          <w:p w14:paraId="268D0CD5">
            <w:pPr>
              <w:pStyle w:val="56"/>
              <w:rPr>
                <w:highlight w:val="none"/>
              </w:rPr>
            </w:pPr>
          </w:p>
          <w:p w14:paraId="0C3212FC">
            <w:pPr>
              <w:pStyle w:val="56"/>
              <w:rPr>
                <w:highlight w:val="none"/>
              </w:rPr>
            </w:pPr>
          </w:p>
          <w:p w14:paraId="780F0B96">
            <w:pPr>
              <w:pStyle w:val="56"/>
              <w:rPr>
                <w:highlight w:val="none"/>
              </w:rPr>
            </w:pPr>
          </w:p>
          <w:p w14:paraId="743C629D">
            <w:pPr>
              <w:pStyle w:val="56"/>
              <w:rPr>
                <w:highlight w:val="none"/>
              </w:rPr>
            </w:pPr>
          </w:p>
          <w:p w14:paraId="4BA01B3E">
            <w:pPr>
              <w:pStyle w:val="56"/>
              <w:rPr>
                <w:highlight w:val="none"/>
              </w:rPr>
            </w:pPr>
          </w:p>
          <w:p w14:paraId="5841FD40">
            <w:pPr>
              <w:pStyle w:val="56"/>
              <w:rPr>
                <w:highlight w:val="none"/>
              </w:rPr>
            </w:pPr>
          </w:p>
          <w:p w14:paraId="769D7762">
            <w:pPr>
              <w:pStyle w:val="56"/>
              <w:rPr>
                <w:highlight w:val="none"/>
              </w:rPr>
            </w:pPr>
          </w:p>
          <w:p w14:paraId="11F9E377">
            <w:pPr>
              <w:pStyle w:val="56"/>
              <w:rPr>
                <w:highlight w:val="none"/>
              </w:rPr>
            </w:pPr>
          </w:p>
          <w:p w14:paraId="3A97FF42">
            <w:pPr>
              <w:pStyle w:val="56"/>
              <w:rPr>
                <w:highlight w:val="none"/>
              </w:rPr>
            </w:pPr>
          </w:p>
          <w:p w14:paraId="74285533">
            <w:pPr>
              <w:pStyle w:val="56"/>
              <w:rPr>
                <w:highlight w:val="none"/>
              </w:rPr>
            </w:pPr>
          </w:p>
          <w:p w14:paraId="4A5977A5">
            <w:pPr>
              <w:pStyle w:val="56"/>
              <w:rPr>
                <w:highlight w:val="none"/>
              </w:rPr>
            </w:pPr>
          </w:p>
          <w:p w14:paraId="654FC0FE">
            <w:pPr>
              <w:pStyle w:val="56"/>
              <w:rPr>
                <w:highlight w:val="none"/>
              </w:rPr>
            </w:pPr>
          </w:p>
          <w:p w14:paraId="3FABB820">
            <w:pPr>
              <w:pStyle w:val="56"/>
              <w:rPr>
                <w:highlight w:val="none"/>
              </w:rPr>
            </w:pPr>
            <w:r>
              <w:rPr>
                <w:rFonts w:hint="eastAsia"/>
                <w:highlight w:val="none"/>
              </w:rPr>
              <w:t>运营</w:t>
            </w:r>
          </w:p>
          <w:p w14:paraId="39C37406">
            <w:pPr>
              <w:pStyle w:val="56"/>
              <w:rPr>
                <w:highlight w:val="none"/>
              </w:rPr>
            </w:pPr>
            <w:r>
              <w:rPr>
                <w:rFonts w:hint="eastAsia"/>
                <w:highlight w:val="none"/>
              </w:rPr>
              <w:t>期环</w:t>
            </w:r>
          </w:p>
          <w:p w14:paraId="1A46E033">
            <w:pPr>
              <w:pStyle w:val="56"/>
              <w:rPr>
                <w:highlight w:val="none"/>
              </w:rPr>
            </w:pPr>
            <w:r>
              <w:rPr>
                <w:rFonts w:hint="eastAsia"/>
                <w:highlight w:val="none"/>
              </w:rPr>
              <w:t>境影</w:t>
            </w:r>
          </w:p>
          <w:p w14:paraId="2C13CC16">
            <w:pPr>
              <w:pStyle w:val="56"/>
              <w:rPr>
                <w:highlight w:val="none"/>
              </w:rPr>
            </w:pPr>
            <w:r>
              <w:rPr>
                <w:rFonts w:hint="eastAsia"/>
                <w:highlight w:val="none"/>
              </w:rPr>
              <w:t>响和</w:t>
            </w:r>
          </w:p>
          <w:p w14:paraId="0E892D61">
            <w:pPr>
              <w:pStyle w:val="56"/>
              <w:rPr>
                <w:highlight w:val="none"/>
              </w:rPr>
            </w:pPr>
            <w:r>
              <w:rPr>
                <w:rFonts w:hint="eastAsia"/>
                <w:highlight w:val="none"/>
              </w:rPr>
              <w:t>保护</w:t>
            </w:r>
          </w:p>
          <w:p w14:paraId="3F9E9D5B">
            <w:pPr>
              <w:pStyle w:val="56"/>
              <w:rPr>
                <w:highlight w:val="none"/>
              </w:rPr>
            </w:pPr>
            <w:r>
              <w:rPr>
                <w:rFonts w:hint="eastAsia"/>
                <w:highlight w:val="none"/>
              </w:rPr>
              <w:t>措施</w:t>
            </w:r>
          </w:p>
          <w:p w14:paraId="430791F6">
            <w:pPr>
              <w:pStyle w:val="56"/>
              <w:rPr>
                <w:highlight w:val="none"/>
              </w:rPr>
            </w:pPr>
          </w:p>
          <w:p w14:paraId="14776568">
            <w:pPr>
              <w:pStyle w:val="56"/>
              <w:rPr>
                <w:highlight w:val="none"/>
              </w:rPr>
            </w:pPr>
          </w:p>
          <w:p w14:paraId="437A14DB">
            <w:pPr>
              <w:pStyle w:val="56"/>
              <w:rPr>
                <w:highlight w:val="none"/>
              </w:rPr>
            </w:pPr>
          </w:p>
          <w:p w14:paraId="3D7EF9BD">
            <w:pPr>
              <w:pStyle w:val="56"/>
              <w:rPr>
                <w:highlight w:val="none"/>
              </w:rPr>
            </w:pPr>
          </w:p>
          <w:p w14:paraId="4B3F9BE1">
            <w:pPr>
              <w:pStyle w:val="56"/>
              <w:rPr>
                <w:highlight w:val="none"/>
              </w:rPr>
            </w:pPr>
          </w:p>
          <w:p w14:paraId="624BE6DF">
            <w:pPr>
              <w:pStyle w:val="56"/>
              <w:rPr>
                <w:highlight w:val="none"/>
              </w:rPr>
            </w:pPr>
          </w:p>
          <w:p w14:paraId="14E4D494">
            <w:pPr>
              <w:pStyle w:val="56"/>
              <w:rPr>
                <w:highlight w:val="none"/>
              </w:rPr>
            </w:pPr>
          </w:p>
          <w:p w14:paraId="29BBE3E5">
            <w:pPr>
              <w:pStyle w:val="56"/>
              <w:rPr>
                <w:highlight w:val="none"/>
              </w:rPr>
            </w:pPr>
          </w:p>
          <w:p w14:paraId="28228F86">
            <w:pPr>
              <w:pStyle w:val="56"/>
              <w:rPr>
                <w:highlight w:val="none"/>
              </w:rPr>
            </w:pPr>
          </w:p>
          <w:p w14:paraId="50E8DE85">
            <w:pPr>
              <w:pStyle w:val="56"/>
              <w:rPr>
                <w:highlight w:val="none"/>
              </w:rPr>
            </w:pPr>
          </w:p>
          <w:p w14:paraId="10AD822A">
            <w:pPr>
              <w:pStyle w:val="56"/>
              <w:rPr>
                <w:highlight w:val="none"/>
              </w:rPr>
            </w:pPr>
          </w:p>
          <w:p w14:paraId="6B6743AC">
            <w:pPr>
              <w:pStyle w:val="56"/>
              <w:rPr>
                <w:highlight w:val="none"/>
              </w:rPr>
            </w:pPr>
          </w:p>
          <w:p w14:paraId="739C0316">
            <w:pPr>
              <w:pStyle w:val="56"/>
              <w:rPr>
                <w:highlight w:val="none"/>
              </w:rPr>
            </w:pPr>
          </w:p>
          <w:p w14:paraId="432F4885">
            <w:pPr>
              <w:pStyle w:val="56"/>
              <w:rPr>
                <w:highlight w:val="none"/>
              </w:rPr>
            </w:pPr>
          </w:p>
          <w:p w14:paraId="07FDF4F4">
            <w:pPr>
              <w:pStyle w:val="56"/>
              <w:rPr>
                <w:highlight w:val="none"/>
              </w:rPr>
            </w:pPr>
          </w:p>
          <w:p w14:paraId="34AAF7ED">
            <w:pPr>
              <w:pStyle w:val="56"/>
              <w:rPr>
                <w:highlight w:val="none"/>
              </w:rPr>
            </w:pPr>
          </w:p>
          <w:p w14:paraId="1DF61D49">
            <w:pPr>
              <w:pStyle w:val="56"/>
              <w:rPr>
                <w:highlight w:val="none"/>
              </w:rPr>
            </w:pPr>
          </w:p>
          <w:p w14:paraId="05CE395D">
            <w:pPr>
              <w:pStyle w:val="56"/>
              <w:rPr>
                <w:highlight w:val="none"/>
              </w:rPr>
            </w:pPr>
          </w:p>
          <w:p w14:paraId="537B4EF8">
            <w:pPr>
              <w:pStyle w:val="56"/>
              <w:rPr>
                <w:highlight w:val="none"/>
              </w:rPr>
            </w:pPr>
          </w:p>
          <w:p w14:paraId="3C91640C">
            <w:pPr>
              <w:pStyle w:val="56"/>
              <w:rPr>
                <w:highlight w:val="none"/>
              </w:rPr>
            </w:pPr>
          </w:p>
          <w:p w14:paraId="30B8060A">
            <w:pPr>
              <w:pStyle w:val="56"/>
              <w:rPr>
                <w:highlight w:val="none"/>
              </w:rPr>
            </w:pPr>
          </w:p>
          <w:p w14:paraId="1ECC73C5">
            <w:pPr>
              <w:pStyle w:val="56"/>
              <w:rPr>
                <w:highlight w:val="none"/>
              </w:rPr>
            </w:pPr>
          </w:p>
          <w:p w14:paraId="248200A5">
            <w:pPr>
              <w:pStyle w:val="56"/>
              <w:rPr>
                <w:highlight w:val="none"/>
              </w:rPr>
            </w:pPr>
          </w:p>
          <w:p w14:paraId="2A5F76A3">
            <w:pPr>
              <w:pStyle w:val="56"/>
              <w:rPr>
                <w:highlight w:val="none"/>
              </w:rPr>
            </w:pPr>
          </w:p>
          <w:p w14:paraId="2B5703A3">
            <w:pPr>
              <w:pStyle w:val="56"/>
              <w:rPr>
                <w:highlight w:val="none"/>
              </w:rPr>
            </w:pPr>
          </w:p>
          <w:p w14:paraId="44335570">
            <w:pPr>
              <w:pStyle w:val="56"/>
              <w:rPr>
                <w:highlight w:val="none"/>
              </w:rPr>
            </w:pPr>
          </w:p>
          <w:p w14:paraId="00617FA2">
            <w:pPr>
              <w:pStyle w:val="56"/>
              <w:rPr>
                <w:highlight w:val="none"/>
              </w:rPr>
            </w:pPr>
          </w:p>
          <w:p w14:paraId="376A2A71">
            <w:pPr>
              <w:pStyle w:val="56"/>
              <w:rPr>
                <w:highlight w:val="none"/>
              </w:rPr>
            </w:pPr>
          </w:p>
          <w:p w14:paraId="7EEAFA8E">
            <w:pPr>
              <w:pStyle w:val="56"/>
              <w:rPr>
                <w:highlight w:val="none"/>
              </w:rPr>
            </w:pPr>
          </w:p>
          <w:p w14:paraId="179B0915">
            <w:pPr>
              <w:pStyle w:val="56"/>
              <w:rPr>
                <w:highlight w:val="none"/>
              </w:rPr>
            </w:pPr>
          </w:p>
          <w:p w14:paraId="31B828E5">
            <w:pPr>
              <w:pStyle w:val="56"/>
              <w:rPr>
                <w:highlight w:val="none"/>
              </w:rPr>
            </w:pPr>
          </w:p>
          <w:p w14:paraId="0105B0DD">
            <w:pPr>
              <w:pStyle w:val="56"/>
              <w:rPr>
                <w:highlight w:val="none"/>
              </w:rPr>
            </w:pPr>
          </w:p>
          <w:p w14:paraId="525EAF54">
            <w:pPr>
              <w:pStyle w:val="56"/>
              <w:rPr>
                <w:highlight w:val="none"/>
              </w:rPr>
            </w:pPr>
          </w:p>
          <w:p w14:paraId="15790754">
            <w:pPr>
              <w:pStyle w:val="56"/>
              <w:rPr>
                <w:highlight w:val="none"/>
              </w:rPr>
            </w:pPr>
          </w:p>
          <w:p w14:paraId="5F1AF057">
            <w:pPr>
              <w:pStyle w:val="56"/>
              <w:rPr>
                <w:highlight w:val="none"/>
              </w:rPr>
            </w:pPr>
          </w:p>
          <w:p w14:paraId="278316BE">
            <w:pPr>
              <w:pStyle w:val="56"/>
              <w:rPr>
                <w:highlight w:val="none"/>
              </w:rPr>
            </w:pPr>
          </w:p>
          <w:p w14:paraId="6B0C4865">
            <w:pPr>
              <w:pStyle w:val="56"/>
              <w:rPr>
                <w:highlight w:val="none"/>
              </w:rPr>
            </w:pPr>
          </w:p>
          <w:p w14:paraId="51422E92">
            <w:pPr>
              <w:pStyle w:val="56"/>
              <w:rPr>
                <w:highlight w:val="none"/>
              </w:rPr>
            </w:pPr>
          </w:p>
          <w:p w14:paraId="730175D2">
            <w:pPr>
              <w:pStyle w:val="56"/>
              <w:rPr>
                <w:highlight w:val="none"/>
              </w:rPr>
            </w:pPr>
          </w:p>
          <w:p w14:paraId="1A11F0E1">
            <w:pPr>
              <w:pStyle w:val="56"/>
              <w:rPr>
                <w:highlight w:val="none"/>
              </w:rPr>
            </w:pPr>
            <w:r>
              <w:rPr>
                <w:rFonts w:hint="eastAsia"/>
                <w:highlight w:val="none"/>
              </w:rPr>
              <w:t>运营</w:t>
            </w:r>
          </w:p>
          <w:p w14:paraId="3D529751">
            <w:pPr>
              <w:pStyle w:val="56"/>
              <w:rPr>
                <w:highlight w:val="none"/>
              </w:rPr>
            </w:pPr>
            <w:r>
              <w:rPr>
                <w:rFonts w:hint="eastAsia"/>
                <w:highlight w:val="none"/>
              </w:rPr>
              <w:t>期环</w:t>
            </w:r>
          </w:p>
          <w:p w14:paraId="2483E561">
            <w:pPr>
              <w:pStyle w:val="56"/>
              <w:rPr>
                <w:highlight w:val="none"/>
              </w:rPr>
            </w:pPr>
            <w:r>
              <w:rPr>
                <w:rFonts w:hint="eastAsia"/>
                <w:highlight w:val="none"/>
              </w:rPr>
              <w:t>境影</w:t>
            </w:r>
          </w:p>
          <w:p w14:paraId="730383BD">
            <w:pPr>
              <w:pStyle w:val="56"/>
              <w:rPr>
                <w:highlight w:val="none"/>
              </w:rPr>
            </w:pPr>
            <w:r>
              <w:rPr>
                <w:rFonts w:hint="eastAsia"/>
                <w:highlight w:val="none"/>
              </w:rPr>
              <w:t>响和</w:t>
            </w:r>
          </w:p>
          <w:p w14:paraId="68E1F121">
            <w:pPr>
              <w:pStyle w:val="56"/>
              <w:rPr>
                <w:highlight w:val="none"/>
              </w:rPr>
            </w:pPr>
            <w:r>
              <w:rPr>
                <w:rFonts w:hint="eastAsia"/>
                <w:highlight w:val="none"/>
              </w:rPr>
              <w:t>保护</w:t>
            </w:r>
          </w:p>
          <w:p w14:paraId="3EEC686A">
            <w:pPr>
              <w:pStyle w:val="56"/>
              <w:rPr>
                <w:highlight w:val="none"/>
              </w:rPr>
            </w:pPr>
            <w:r>
              <w:rPr>
                <w:rFonts w:hint="eastAsia"/>
                <w:highlight w:val="none"/>
              </w:rPr>
              <w:t>措施</w:t>
            </w:r>
          </w:p>
          <w:p w14:paraId="0E6E73CB">
            <w:pPr>
              <w:pStyle w:val="56"/>
              <w:rPr>
                <w:highlight w:val="none"/>
              </w:rPr>
            </w:pPr>
          </w:p>
          <w:p w14:paraId="3E5CD896">
            <w:pPr>
              <w:pStyle w:val="56"/>
              <w:rPr>
                <w:highlight w:val="none"/>
              </w:rPr>
            </w:pPr>
          </w:p>
          <w:p w14:paraId="0AEDC1EB">
            <w:pPr>
              <w:pStyle w:val="56"/>
              <w:rPr>
                <w:highlight w:val="none"/>
              </w:rPr>
            </w:pPr>
          </w:p>
          <w:p w14:paraId="5E351C87">
            <w:pPr>
              <w:pStyle w:val="56"/>
              <w:rPr>
                <w:highlight w:val="none"/>
              </w:rPr>
            </w:pPr>
          </w:p>
          <w:p w14:paraId="36943DD0">
            <w:pPr>
              <w:pStyle w:val="56"/>
              <w:rPr>
                <w:highlight w:val="none"/>
              </w:rPr>
            </w:pPr>
          </w:p>
          <w:p w14:paraId="70141513">
            <w:pPr>
              <w:pStyle w:val="56"/>
              <w:rPr>
                <w:highlight w:val="none"/>
              </w:rPr>
            </w:pPr>
          </w:p>
          <w:p w14:paraId="4D7962CD">
            <w:pPr>
              <w:pStyle w:val="56"/>
              <w:rPr>
                <w:highlight w:val="none"/>
              </w:rPr>
            </w:pPr>
          </w:p>
          <w:p w14:paraId="44D037B3">
            <w:pPr>
              <w:pStyle w:val="56"/>
              <w:rPr>
                <w:highlight w:val="none"/>
              </w:rPr>
            </w:pPr>
          </w:p>
          <w:p w14:paraId="02F5B715">
            <w:pPr>
              <w:pStyle w:val="56"/>
              <w:rPr>
                <w:highlight w:val="none"/>
              </w:rPr>
            </w:pPr>
          </w:p>
          <w:p w14:paraId="277D4712">
            <w:pPr>
              <w:pStyle w:val="56"/>
              <w:rPr>
                <w:highlight w:val="none"/>
              </w:rPr>
            </w:pPr>
          </w:p>
          <w:p w14:paraId="0C1C37FD">
            <w:pPr>
              <w:pStyle w:val="56"/>
              <w:rPr>
                <w:highlight w:val="none"/>
              </w:rPr>
            </w:pPr>
          </w:p>
          <w:p w14:paraId="319CA31A">
            <w:pPr>
              <w:pStyle w:val="56"/>
              <w:rPr>
                <w:highlight w:val="none"/>
              </w:rPr>
            </w:pPr>
          </w:p>
          <w:p w14:paraId="6129ED24">
            <w:pPr>
              <w:pStyle w:val="56"/>
              <w:rPr>
                <w:highlight w:val="none"/>
              </w:rPr>
            </w:pPr>
          </w:p>
          <w:p w14:paraId="207B6FF9">
            <w:pPr>
              <w:pStyle w:val="56"/>
              <w:rPr>
                <w:highlight w:val="none"/>
              </w:rPr>
            </w:pPr>
          </w:p>
        </w:tc>
        <w:tc>
          <w:tcPr>
            <w:tcW w:w="8162" w:type="dxa"/>
            <w:vAlign w:val="center"/>
          </w:tcPr>
          <w:p w14:paraId="3A835A88">
            <w:pPr>
              <w:ind w:firstLine="0" w:firstLineChars="0"/>
              <w:rPr>
                <w:b/>
                <w:bCs/>
                <w:highlight w:val="none"/>
              </w:rPr>
            </w:pPr>
            <w:r>
              <w:rPr>
                <w:b/>
                <w:bCs/>
                <w:highlight w:val="none"/>
              </w:rPr>
              <w:t>4.</w:t>
            </w:r>
            <w:r>
              <w:rPr>
                <w:rFonts w:hint="eastAsia"/>
                <w:b/>
                <w:bCs/>
                <w:highlight w:val="none"/>
              </w:rPr>
              <w:t>2</w:t>
            </w:r>
            <w:r>
              <w:rPr>
                <w:rFonts w:hint="eastAsia"/>
                <w:b/>
                <w:bCs/>
                <w:szCs w:val="32"/>
                <w:highlight w:val="none"/>
              </w:rPr>
              <w:t>运营期环境影响和保护措施</w:t>
            </w:r>
            <w:r>
              <w:rPr>
                <w:b/>
                <w:bCs/>
                <w:highlight w:val="none"/>
              </w:rPr>
              <w:t>：</w:t>
            </w:r>
          </w:p>
          <w:p w14:paraId="5C34DA49">
            <w:pPr>
              <w:pStyle w:val="3"/>
              <w:rPr>
                <w:rFonts w:ascii="Times New Roman" w:hAnsi="Times New Roman"/>
                <w:bCs/>
                <w:szCs w:val="32"/>
                <w:highlight w:val="none"/>
              </w:rPr>
            </w:pPr>
            <w:r>
              <w:rPr>
                <w:rFonts w:hint="eastAsia" w:ascii="Times New Roman" w:hAnsi="Times New Roman"/>
                <w:bCs/>
                <w:szCs w:val="32"/>
                <w:highlight w:val="none"/>
              </w:rPr>
              <w:t>4.2.1废气</w:t>
            </w:r>
          </w:p>
          <w:p w14:paraId="72A71C46">
            <w:pPr>
              <w:ind w:firstLine="480"/>
              <w:rPr>
                <w:rFonts w:hint="eastAsia"/>
                <w:highlight w:val="none"/>
              </w:rPr>
            </w:pPr>
            <w:r>
              <w:rPr>
                <w:highlight w:val="none"/>
              </w:rPr>
              <w:t>本项目运营期</w:t>
            </w:r>
            <w:r>
              <w:rPr>
                <w:rFonts w:hint="eastAsia"/>
                <w:highlight w:val="none"/>
              </w:rPr>
              <w:t>废气主要是</w:t>
            </w:r>
            <w:r>
              <w:rPr>
                <w:rFonts w:hint="eastAsia"/>
                <w:highlight w:val="none"/>
                <w:lang w:val="en-US" w:eastAsia="zh-CN"/>
              </w:rPr>
              <w:t>粉煤灰</w:t>
            </w:r>
            <w:r>
              <w:rPr>
                <w:rFonts w:hint="eastAsia"/>
                <w:highlight w:val="none"/>
              </w:rPr>
              <w:t>生产线颗粒物</w:t>
            </w:r>
            <w:r>
              <w:rPr>
                <w:rFonts w:hint="eastAsia"/>
                <w:highlight w:val="none"/>
                <w:lang w:eastAsia="zh-CN"/>
              </w:rPr>
              <w:t>、</w:t>
            </w:r>
            <w:r>
              <w:rPr>
                <w:rFonts w:hint="eastAsia"/>
                <w:bCs/>
                <w:color w:val="000000"/>
                <w:highlight w:val="none"/>
              </w:rPr>
              <w:t>食堂</w:t>
            </w:r>
            <w:r>
              <w:rPr>
                <w:highlight w:val="none"/>
              </w:rPr>
              <w:t>餐饮油烟废气</w:t>
            </w:r>
            <w:r>
              <w:rPr>
                <w:rFonts w:hint="eastAsia"/>
                <w:highlight w:val="none"/>
              </w:rPr>
              <w:t>。</w:t>
            </w:r>
          </w:p>
          <w:p w14:paraId="63772BA7">
            <w:pPr>
              <w:pStyle w:val="1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highlight w:val="none"/>
                <w:vertAlign w:val="baseline"/>
                <w:lang w:val="en-US" w:eastAsia="zh-CN"/>
              </w:rPr>
            </w:pPr>
            <w:r>
              <w:rPr>
                <w:rFonts w:hint="eastAsia"/>
                <w:color w:val="auto"/>
                <w:highlight w:val="none"/>
                <w:vertAlign w:val="baseline"/>
                <w:lang w:val="en-US" w:eastAsia="zh-CN"/>
              </w:rPr>
              <w:t>①规划粉煤灰环保库粉尘：</w:t>
            </w:r>
          </w:p>
          <w:p w14:paraId="022D83E4">
            <w:pPr>
              <w:pStyle w:val="1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highlight w:val="none"/>
                <w:vertAlign w:val="baseline"/>
                <w:lang w:val="en-US" w:eastAsia="zh-CN"/>
              </w:rPr>
            </w:pPr>
            <w:r>
              <w:rPr>
                <w:rFonts w:hint="eastAsia"/>
                <w:color w:val="auto"/>
                <w:highlight w:val="none"/>
                <w:vertAlign w:val="baseline"/>
                <w:lang w:val="en-US" w:eastAsia="zh-CN"/>
              </w:rPr>
              <w:t>炉灰进入规划粉煤灰环保库中会产生扬尘，</w:t>
            </w:r>
            <w:r>
              <w:rPr>
                <w:rFonts w:hint="eastAsia"/>
                <w:highlight w:val="none"/>
              </w:rPr>
              <w:t>参照《工业源产排污核算方法和系数手册》中的“3021水泥制品制造（含3022砼结构构件制造、3029其他水泥类似制品制造）行业系数手册”可知，各种水泥制品物料输送和存储过程</w:t>
            </w:r>
            <w:r>
              <w:rPr>
                <w:rFonts w:hint="eastAsia"/>
                <w:highlight w:val="none"/>
                <w:lang w:val="en-US" w:eastAsia="zh-CN"/>
              </w:rPr>
              <w:t>颗粒物</w:t>
            </w:r>
            <w:r>
              <w:rPr>
                <w:rFonts w:hint="eastAsia"/>
                <w:highlight w:val="none"/>
              </w:rPr>
              <w:t>产污系数为0.1</w:t>
            </w:r>
            <w:r>
              <w:rPr>
                <w:rFonts w:hint="eastAsia"/>
                <w:highlight w:val="none"/>
                <w:lang w:val="en-US" w:eastAsia="zh-CN"/>
              </w:rPr>
              <w:t>2</w:t>
            </w:r>
            <w:r>
              <w:rPr>
                <w:rFonts w:hint="eastAsia"/>
                <w:highlight w:val="none"/>
              </w:rPr>
              <w:t>kg/t-产品。</w:t>
            </w:r>
            <w:r>
              <w:rPr>
                <w:rFonts w:hint="eastAsia"/>
                <w:color w:val="auto"/>
                <w:highlight w:val="none"/>
                <w:vertAlign w:val="baseline"/>
                <w:lang w:val="en-US" w:eastAsia="zh-CN"/>
              </w:rPr>
              <w:t>呼吸通过仓顶除尘器，去除效率为99%。根据原辅料消耗可知项目原料用量为20万t/a，则过程中粉尘无组织排放量为0.24t/a，对外环境影响较小。</w:t>
            </w:r>
          </w:p>
          <w:p w14:paraId="6DADB00B">
            <w:pPr>
              <w:ind w:firstLine="480"/>
              <w:rPr>
                <w:rFonts w:hint="eastAsia"/>
                <w:highlight w:val="none"/>
                <w:lang w:val="en-US" w:eastAsia="zh-CN"/>
              </w:rPr>
            </w:pPr>
            <w:r>
              <w:rPr>
                <w:rFonts w:hint="eastAsia" w:ascii="宋体" w:hAnsi="宋体" w:cs="宋体"/>
                <w:highlight w:val="none"/>
                <w:lang w:val="en-US" w:eastAsia="zh-CN"/>
              </w:rPr>
              <w:t>②车辆运输扬尘</w:t>
            </w:r>
            <w:r>
              <w:rPr>
                <w:rFonts w:hint="eastAsia"/>
                <w:highlight w:val="none"/>
                <w:lang w:val="en-US" w:eastAsia="zh-CN"/>
              </w:rPr>
              <w:t>：</w:t>
            </w:r>
          </w:p>
          <w:p w14:paraId="721B5B1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车辆运输过程中会带起扬尘，运输线路上的起尘量按下式计算：</w:t>
            </w:r>
          </w:p>
          <w:p w14:paraId="2926A2A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Q=0.123(V/5)(W/6.8)</w:t>
            </w:r>
            <w:r>
              <w:rPr>
                <w:rFonts w:hint="eastAsia"/>
                <w:color w:val="000000" w:themeColor="text1"/>
                <w:highlight w:val="none"/>
                <w:vertAlign w:val="superscript"/>
                <w14:textFill>
                  <w14:solidFill>
                    <w14:schemeClr w14:val="tx1"/>
                  </w14:solidFill>
                </w14:textFill>
              </w:rPr>
              <w:t>0.85</w:t>
            </w:r>
            <w:r>
              <w:rPr>
                <w:rFonts w:hint="eastAsia"/>
                <w:color w:val="000000" w:themeColor="text1"/>
                <w:highlight w:val="none"/>
                <w14:textFill>
                  <w14:solidFill>
                    <w14:schemeClr w14:val="tx1"/>
                  </w14:solidFill>
                </w14:textFill>
              </w:rPr>
              <w:t>(P/0.5)</w:t>
            </w:r>
            <w:r>
              <w:rPr>
                <w:rFonts w:hint="eastAsia"/>
                <w:color w:val="000000" w:themeColor="text1"/>
                <w:highlight w:val="none"/>
                <w:vertAlign w:val="superscript"/>
                <w14:textFill>
                  <w14:solidFill>
                    <w14:schemeClr w14:val="tx1"/>
                  </w14:solidFill>
                </w14:textFill>
              </w:rPr>
              <w:t>0.72</w:t>
            </w:r>
            <w:r>
              <w:rPr>
                <w:rFonts w:hint="eastAsia"/>
                <w:color w:val="000000" w:themeColor="text1"/>
                <w:highlight w:val="none"/>
                <w14:textFill>
                  <w14:solidFill>
                    <w14:schemeClr w14:val="tx1"/>
                  </w14:solidFill>
                </w14:textFill>
              </w:rPr>
              <w:t>·L</w:t>
            </w:r>
          </w:p>
          <w:p w14:paraId="3D96F621">
            <w:pPr>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式中：Q——汽车行驶时的扬尘，kg/辆；</w:t>
            </w:r>
          </w:p>
          <w:p w14:paraId="49C09B32">
            <w:pPr>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V——汽车速度，取15km/h；</w:t>
            </w:r>
          </w:p>
          <w:p w14:paraId="24768F9C">
            <w:pPr>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W——汽车载重量，空车取10吨，满载取30吨</w:t>
            </w:r>
          </w:p>
          <w:p w14:paraId="0E9371F2">
            <w:pPr>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P——道路表面粉尘量，取0.1kg/m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70AD37AC">
            <w:pPr>
              <w:pStyle w:val="4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L——道路长度，</w:t>
            </w:r>
            <w:r>
              <w:rPr>
                <w:rFonts w:hint="eastAsia"/>
                <w:color w:val="000000" w:themeColor="text1"/>
                <w:highlight w:val="none"/>
                <w:lang w:val="en-US" w:eastAsia="zh-CN"/>
                <w14:textFill>
                  <w14:solidFill>
                    <w14:schemeClr w14:val="tx1"/>
                  </w14:solidFill>
                </w14:textFill>
              </w:rPr>
              <w:t>0.1k</w:t>
            </w:r>
            <w:r>
              <w:rPr>
                <w:rFonts w:hint="eastAsia"/>
                <w:color w:val="000000" w:themeColor="text1"/>
                <w:highlight w:val="none"/>
                <w14:textFill>
                  <w14:solidFill>
                    <w14:schemeClr w14:val="tx1"/>
                  </w14:solidFill>
                </w14:textFill>
              </w:rPr>
              <w:t>m</w:t>
            </w:r>
          </w:p>
          <w:p w14:paraId="4BFA6B9D">
            <w:pPr>
              <w:pStyle w:val="4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本项目厂区大门至加工区的平均运输距离按100m计，运输车辆速度按15km/h计，每年运载次数约1000次，在采取洒水抑尘、篷布遮盖、严禁超载、控制车速等措施后扬尘控制率约80%，道路表面粉尘量按0.1kg/m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计算。则汽车空车行驶扬尘强度为0.016kg/辆，满载行驶扬尘强度为0.041kg/辆，运营期车辆运输起尘量计算结果见下表：</w:t>
            </w:r>
          </w:p>
          <w:p w14:paraId="193A6EE2">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center"/>
              <w:rPr>
                <w:rFonts w:hint="eastAsia" w:ascii="宋体" w:hAnsi="宋体" w:eastAsia="Times New Roman" w:cs="Times New Roman"/>
                <w:b/>
                <w:bCs/>
                <w:color w:val="auto"/>
                <w:kern w:val="2"/>
                <w:sz w:val="21"/>
                <w:szCs w:val="21"/>
                <w:highlight w:val="none"/>
                <w:lang w:val="en-US" w:eastAsia="zh-CN" w:bidi="ar-SA"/>
              </w:rPr>
            </w:pPr>
            <w:r>
              <w:rPr>
                <w:rFonts w:hint="default" w:ascii="Times New Roman" w:hAnsi="Times New Roman" w:eastAsia="Times New Roman" w:cs="Times New Roman"/>
                <w:b/>
                <w:bCs/>
                <w:color w:val="auto"/>
                <w:kern w:val="2"/>
                <w:sz w:val="21"/>
                <w:szCs w:val="21"/>
                <w:highlight w:val="none"/>
                <w:lang w:val="en-US" w:eastAsia="zh-CN" w:bidi="ar-SA"/>
              </w:rPr>
              <w:t>表4-1  车辆运输过程颗粒物排放情况一览表</w:t>
            </w:r>
          </w:p>
          <w:tbl>
            <w:tblPr>
              <w:tblStyle w:val="30"/>
              <w:tblW w:w="78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908"/>
              <w:gridCol w:w="1163"/>
              <w:gridCol w:w="1012"/>
              <w:gridCol w:w="2158"/>
              <w:gridCol w:w="1311"/>
            </w:tblGrid>
            <w:tr w14:paraId="66FF1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l2br w:val="nil"/>
                    <w:tr2bl w:val="nil"/>
                  </w:tcBorders>
                  <w:vAlign w:val="center"/>
                </w:tcPr>
                <w:p w14:paraId="59865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产污环节</w:t>
                  </w:r>
                </w:p>
              </w:tc>
              <w:tc>
                <w:tcPr>
                  <w:tcW w:w="908" w:type="dxa"/>
                  <w:tcBorders>
                    <w:tl2br w:val="nil"/>
                    <w:tr2bl w:val="nil"/>
                  </w:tcBorders>
                  <w:vAlign w:val="center"/>
                </w:tcPr>
                <w:p w14:paraId="04D3B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平均运距（</w:t>
                  </w:r>
                  <w:r>
                    <w:rPr>
                      <w:rFonts w:hint="eastAsia"/>
                      <w:b/>
                      <w:bCs/>
                      <w:color w:val="000000" w:themeColor="text1"/>
                      <w:sz w:val="21"/>
                      <w:szCs w:val="21"/>
                      <w:highlight w:val="none"/>
                      <w:lang w:val="en-US" w:eastAsia="zh-CN"/>
                      <w14:textFill>
                        <w14:solidFill>
                          <w14:schemeClr w14:val="tx1"/>
                        </w14:solidFill>
                      </w14:textFill>
                    </w:rPr>
                    <w:t>k</w:t>
                  </w:r>
                  <w:r>
                    <w:rPr>
                      <w:rFonts w:hint="eastAsia"/>
                      <w:b/>
                      <w:bCs/>
                      <w:color w:val="000000" w:themeColor="text1"/>
                      <w:sz w:val="21"/>
                      <w:szCs w:val="21"/>
                      <w:highlight w:val="none"/>
                      <w14:textFill>
                        <w14:solidFill>
                          <w14:schemeClr w14:val="tx1"/>
                        </w14:solidFill>
                      </w14:textFill>
                    </w:rPr>
                    <w:t>m）</w:t>
                  </w:r>
                </w:p>
              </w:tc>
              <w:tc>
                <w:tcPr>
                  <w:tcW w:w="1163" w:type="dxa"/>
                  <w:tcBorders>
                    <w:tl2br w:val="nil"/>
                    <w:tr2bl w:val="nil"/>
                  </w:tcBorders>
                  <w:vAlign w:val="center"/>
                </w:tcPr>
                <w:p w14:paraId="4990A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运输车次（辆/a）</w:t>
                  </w:r>
                </w:p>
              </w:tc>
              <w:tc>
                <w:tcPr>
                  <w:tcW w:w="1012" w:type="dxa"/>
                  <w:tcBorders>
                    <w:tl2br w:val="nil"/>
                    <w:tr2bl w:val="nil"/>
                  </w:tcBorders>
                  <w:vAlign w:val="center"/>
                </w:tcPr>
                <w:p w14:paraId="47928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产尘量（t/a）</w:t>
                  </w:r>
                </w:p>
              </w:tc>
              <w:tc>
                <w:tcPr>
                  <w:tcW w:w="2158" w:type="dxa"/>
                  <w:tcBorders>
                    <w:tl2br w:val="nil"/>
                    <w:tr2bl w:val="nil"/>
                  </w:tcBorders>
                  <w:vAlign w:val="center"/>
                </w:tcPr>
                <w:p w14:paraId="7665C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治理措施</w:t>
                  </w:r>
                </w:p>
              </w:tc>
              <w:tc>
                <w:tcPr>
                  <w:tcW w:w="1311" w:type="dxa"/>
                  <w:tcBorders>
                    <w:tl2br w:val="nil"/>
                    <w:tr2bl w:val="nil"/>
                  </w:tcBorders>
                  <w:vAlign w:val="center"/>
                </w:tcPr>
                <w:p w14:paraId="1781C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排放量（t/a）</w:t>
                  </w:r>
                </w:p>
              </w:tc>
            </w:tr>
            <w:tr w14:paraId="7DDFC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9" w:type="dxa"/>
                  <w:tcBorders>
                    <w:tl2br w:val="nil"/>
                    <w:tr2bl w:val="nil"/>
                  </w:tcBorders>
                  <w:vAlign w:val="center"/>
                </w:tcPr>
                <w:p w14:paraId="60EAF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空车</w:t>
                  </w:r>
                </w:p>
              </w:tc>
              <w:tc>
                <w:tcPr>
                  <w:tcW w:w="908" w:type="dxa"/>
                  <w:tcBorders>
                    <w:tl2br w:val="nil"/>
                    <w:tr2bl w:val="nil"/>
                  </w:tcBorders>
                  <w:vAlign w:val="center"/>
                </w:tcPr>
                <w:p w14:paraId="64DCB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163" w:type="dxa"/>
                  <w:tcBorders>
                    <w:tl2br w:val="nil"/>
                    <w:tr2bl w:val="nil"/>
                  </w:tcBorders>
                  <w:vAlign w:val="center"/>
                </w:tcPr>
                <w:p w14:paraId="69D51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1000</w:t>
                  </w:r>
                </w:p>
              </w:tc>
              <w:tc>
                <w:tcPr>
                  <w:tcW w:w="1012" w:type="dxa"/>
                  <w:tcBorders>
                    <w:tl2br w:val="nil"/>
                    <w:tr2bl w:val="nil"/>
                  </w:tcBorders>
                  <w:vAlign w:val="center"/>
                </w:tcPr>
                <w:p w14:paraId="14B80D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0.016</w:t>
                  </w:r>
                </w:p>
              </w:tc>
              <w:tc>
                <w:tcPr>
                  <w:tcW w:w="2158" w:type="dxa"/>
                  <w:vMerge w:val="restart"/>
                  <w:tcBorders>
                    <w:tl2br w:val="nil"/>
                    <w:tr2bl w:val="nil"/>
                  </w:tcBorders>
                  <w:vAlign w:val="center"/>
                </w:tcPr>
                <w:p w14:paraId="6DC49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洒水抑尘、篷布遮盖、严禁超载、控制车速</w:t>
                  </w:r>
                </w:p>
              </w:tc>
              <w:tc>
                <w:tcPr>
                  <w:tcW w:w="1311" w:type="dxa"/>
                  <w:tcBorders>
                    <w:tl2br w:val="nil"/>
                    <w:tr2bl w:val="nil"/>
                  </w:tcBorders>
                  <w:vAlign w:val="center"/>
                </w:tcPr>
                <w:p w14:paraId="5DF41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0.0032</w:t>
                  </w:r>
                </w:p>
              </w:tc>
            </w:tr>
            <w:tr w14:paraId="051F3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l2br w:val="nil"/>
                    <w:tr2bl w:val="nil"/>
                  </w:tcBorders>
                  <w:vAlign w:val="center"/>
                </w:tcPr>
                <w:p w14:paraId="4DB12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满载</w:t>
                  </w:r>
                </w:p>
              </w:tc>
              <w:tc>
                <w:tcPr>
                  <w:tcW w:w="908" w:type="dxa"/>
                  <w:tcBorders>
                    <w:tl2br w:val="nil"/>
                    <w:tr2bl w:val="nil"/>
                  </w:tcBorders>
                  <w:vAlign w:val="center"/>
                </w:tcPr>
                <w:p w14:paraId="6FBF0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163" w:type="dxa"/>
                  <w:tcBorders>
                    <w:tl2br w:val="nil"/>
                    <w:tr2bl w:val="nil"/>
                  </w:tcBorders>
                  <w:vAlign w:val="center"/>
                </w:tcPr>
                <w:p w14:paraId="008F39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1000</w:t>
                  </w:r>
                </w:p>
              </w:tc>
              <w:tc>
                <w:tcPr>
                  <w:tcW w:w="1012" w:type="dxa"/>
                  <w:tcBorders>
                    <w:tl2br w:val="nil"/>
                    <w:tr2bl w:val="nil"/>
                  </w:tcBorders>
                  <w:vAlign w:val="center"/>
                </w:tcPr>
                <w:p w14:paraId="7E4B7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0.041</w:t>
                  </w:r>
                </w:p>
              </w:tc>
              <w:tc>
                <w:tcPr>
                  <w:tcW w:w="2158" w:type="dxa"/>
                  <w:vMerge w:val="continue"/>
                  <w:tcBorders>
                    <w:tl2br w:val="nil"/>
                    <w:tr2bl w:val="nil"/>
                  </w:tcBorders>
                  <w:vAlign w:val="center"/>
                </w:tcPr>
                <w:p w14:paraId="5E4A96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p>
              </w:tc>
              <w:tc>
                <w:tcPr>
                  <w:tcW w:w="1311" w:type="dxa"/>
                  <w:tcBorders>
                    <w:tl2br w:val="nil"/>
                    <w:tr2bl w:val="nil"/>
                  </w:tcBorders>
                  <w:vAlign w:val="center"/>
                </w:tcPr>
                <w:p w14:paraId="3912A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0.0082</w:t>
                  </w:r>
                </w:p>
              </w:tc>
            </w:tr>
            <w:tr w14:paraId="5E47D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tcBorders>
                    <w:tl2br w:val="nil"/>
                    <w:tr2bl w:val="nil"/>
                  </w:tcBorders>
                  <w:vAlign w:val="center"/>
                </w:tcPr>
                <w:p w14:paraId="15C95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合计</w:t>
                  </w:r>
                </w:p>
              </w:tc>
              <w:tc>
                <w:tcPr>
                  <w:tcW w:w="908" w:type="dxa"/>
                  <w:tcBorders>
                    <w:tl2br w:val="nil"/>
                    <w:tr2bl w:val="nil"/>
                  </w:tcBorders>
                  <w:vAlign w:val="center"/>
                </w:tcPr>
                <w:p w14:paraId="6CCD9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163" w:type="dxa"/>
                  <w:tcBorders>
                    <w:tl2br w:val="nil"/>
                    <w:tr2bl w:val="nil"/>
                  </w:tcBorders>
                  <w:vAlign w:val="center"/>
                </w:tcPr>
                <w:p w14:paraId="11573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012" w:type="dxa"/>
                  <w:tcBorders>
                    <w:tl2br w:val="nil"/>
                    <w:tr2bl w:val="nil"/>
                  </w:tcBorders>
                  <w:vAlign w:val="center"/>
                </w:tcPr>
                <w:p w14:paraId="3EC18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0.057</w:t>
                  </w:r>
                </w:p>
              </w:tc>
              <w:tc>
                <w:tcPr>
                  <w:tcW w:w="2158" w:type="dxa"/>
                  <w:tcBorders>
                    <w:tl2br w:val="nil"/>
                    <w:tr2bl w:val="nil"/>
                  </w:tcBorders>
                  <w:vAlign w:val="center"/>
                </w:tcPr>
                <w:p w14:paraId="3B53E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311" w:type="dxa"/>
                  <w:tcBorders>
                    <w:tl2br w:val="nil"/>
                    <w:tr2bl w:val="nil"/>
                  </w:tcBorders>
                  <w:vAlign w:val="center"/>
                </w:tcPr>
                <w:p w14:paraId="76B9E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0114</w:t>
                  </w:r>
                </w:p>
              </w:tc>
            </w:tr>
          </w:tbl>
          <w:p w14:paraId="47F26021">
            <w:pPr>
              <w:ind w:firstLine="480"/>
              <w:rPr>
                <w:highlight w:val="none"/>
              </w:rPr>
            </w:pPr>
            <w:r>
              <w:rPr>
                <w:rFonts w:hint="eastAsia" w:cs="Times New Roman"/>
                <w:highlight w:val="none"/>
                <w:lang w:val="en-US" w:eastAsia="zh-CN"/>
              </w:rPr>
              <w:t>③</w:t>
            </w:r>
            <w:r>
              <w:rPr>
                <w:rFonts w:ascii="宋体" w:hAnsi="宋体"/>
                <w:highlight w:val="none"/>
              </w:rPr>
              <w:t>餐饮油烟废气</w:t>
            </w:r>
          </w:p>
          <w:p w14:paraId="71892993">
            <w:pPr>
              <w:ind w:firstLine="480"/>
              <w:rPr>
                <w:rFonts w:hint="eastAsia"/>
                <w:highlight w:val="none"/>
                <w:lang w:val="en-US" w:eastAsia="zh-CN"/>
              </w:rPr>
            </w:pPr>
            <w:r>
              <w:rPr>
                <w:rFonts w:hint="eastAsia"/>
                <w:color w:val="000000"/>
                <w:highlight w:val="none"/>
              </w:rPr>
              <w:t>本项目设置1个职工食堂，食物在烹饪、加工过程中将挥发出油脂、有机质及热分解或裂解产物，从而产生油烟废气。项目劳动定员</w:t>
            </w:r>
            <w:r>
              <w:rPr>
                <w:rFonts w:hint="eastAsia"/>
                <w:color w:val="000000"/>
                <w:highlight w:val="none"/>
                <w:lang w:val="en-US" w:eastAsia="zh-CN"/>
              </w:rPr>
              <w:t>20</w:t>
            </w:r>
            <w:r>
              <w:rPr>
                <w:rFonts w:hint="eastAsia"/>
                <w:color w:val="000000"/>
                <w:highlight w:val="none"/>
              </w:rPr>
              <w:t>人，年工作</w:t>
            </w:r>
            <w:r>
              <w:rPr>
                <w:rFonts w:hint="eastAsia"/>
                <w:color w:val="000000"/>
                <w:highlight w:val="none"/>
                <w:lang w:val="en-US" w:eastAsia="zh-CN"/>
              </w:rPr>
              <w:t>180</w:t>
            </w:r>
            <w:r>
              <w:rPr>
                <w:rFonts w:hint="eastAsia"/>
                <w:color w:val="000000"/>
                <w:highlight w:val="none"/>
              </w:rPr>
              <w:t>天。经调查，食用油消耗系数按每人0.03kg/d，则总用量为</w:t>
            </w:r>
            <w:r>
              <w:rPr>
                <w:rFonts w:hint="eastAsia"/>
                <w:color w:val="000000"/>
                <w:highlight w:val="none"/>
                <w:lang w:val="en-US" w:eastAsia="zh-CN"/>
              </w:rPr>
              <w:t>108</w:t>
            </w:r>
            <w:r>
              <w:rPr>
                <w:rFonts w:hint="eastAsia"/>
                <w:color w:val="000000"/>
                <w:highlight w:val="none"/>
              </w:rPr>
              <w:t>kg/a。一般油烟挥发量占总耗油量的2%-4%，取3%，则油烟产生量约为</w:t>
            </w:r>
            <w:r>
              <w:rPr>
                <w:rFonts w:hint="eastAsia"/>
                <w:color w:val="000000"/>
                <w:highlight w:val="none"/>
                <w:lang w:val="en-US" w:eastAsia="zh-CN"/>
              </w:rPr>
              <w:t>3.24</w:t>
            </w:r>
            <w:r>
              <w:rPr>
                <w:rFonts w:hint="eastAsia"/>
                <w:color w:val="000000"/>
                <w:highlight w:val="none"/>
              </w:rPr>
              <w:t>kg/a。项目厨房安装一台油烟净化器</w:t>
            </w:r>
            <w:r>
              <w:rPr>
                <w:rFonts w:hint="eastAsia"/>
                <w:color w:val="auto"/>
                <w:highlight w:val="none"/>
              </w:rPr>
              <w:t>（每天工作</w:t>
            </w:r>
            <w:r>
              <w:rPr>
                <w:rFonts w:hint="eastAsia"/>
                <w:color w:val="auto"/>
                <w:highlight w:val="none"/>
                <w:lang w:val="en-US" w:eastAsia="zh-CN"/>
              </w:rPr>
              <w:t>4</w:t>
            </w:r>
            <w:r>
              <w:rPr>
                <w:rFonts w:hint="eastAsia"/>
                <w:color w:val="auto"/>
                <w:highlight w:val="none"/>
              </w:rPr>
              <w:t>h）</w:t>
            </w:r>
            <w:r>
              <w:rPr>
                <w:rFonts w:hint="eastAsia"/>
                <w:color w:val="000000"/>
                <w:highlight w:val="none"/>
              </w:rPr>
              <w:t>，去除率约为75%，经过油烟净化器处理后排放量为</w:t>
            </w:r>
            <w:r>
              <w:rPr>
                <w:rFonts w:hint="eastAsia"/>
                <w:color w:val="000000"/>
                <w:highlight w:val="none"/>
                <w:lang w:val="en-US" w:eastAsia="zh-CN"/>
              </w:rPr>
              <w:t>0.81</w:t>
            </w:r>
            <w:r>
              <w:rPr>
                <w:rFonts w:hint="eastAsia"/>
                <w:color w:val="000000"/>
                <w:highlight w:val="none"/>
              </w:rPr>
              <w:t>kg/a，油烟净化器风量为</w:t>
            </w:r>
            <w:r>
              <w:rPr>
                <w:rFonts w:hint="eastAsia"/>
                <w:color w:val="000000"/>
                <w:highlight w:val="none"/>
                <w:lang w:val="en-US" w:eastAsia="zh-CN"/>
              </w:rPr>
              <w:t>2</w:t>
            </w:r>
            <w:r>
              <w:rPr>
                <w:rFonts w:hint="eastAsia"/>
                <w:color w:val="000000"/>
                <w:highlight w:val="none"/>
              </w:rPr>
              <w:t>000m</w:t>
            </w:r>
            <w:r>
              <w:rPr>
                <w:rFonts w:hint="eastAsia"/>
                <w:color w:val="000000"/>
                <w:highlight w:val="none"/>
                <w:vertAlign w:val="superscript"/>
              </w:rPr>
              <w:t>3</w:t>
            </w:r>
            <w:r>
              <w:rPr>
                <w:rFonts w:hint="eastAsia"/>
                <w:color w:val="000000"/>
                <w:highlight w:val="none"/>
              </w:rPr>
              <w:t>/h，油烟排放速率为0.</w:t>
            </w:r>
            <w:r>
              <w:rPr>
                <w:rFonts w:hint="eastAsia"/>
                <w:color w:val="000000"/>
                <w:highlight w:val="none"/>
                <w:lang w:val="en-US" w:eastAsia="zh-CN"/>
              </w:rPr>
              <w:t>001125</w:t>
            </w:r>
            <w:r>
              <w:rPr>
                <w:rFonts w:hint="eastAsia"/>
                <w:color w:val="000000"/>
                <w:highlight w:val="none"/>
              </w:rPr>
              <w:t>kg/h，则油烟排放浓度为</w:t>
            </w:r>
            <w:r>
              <w:rPr>
                <w:rFonts w:hint="eastAsia"/>
                <w:color w:val="000000"/>
                <w:highlight w:val="none"/>
                <w:lang w:val="en-US" w:eastAsia="zh-CN"/>
              </w:rPr>
              <w:t>0.56</w:t>
            </w:r>
            <w:r>
              <w:rPr>
                <w:rFonts w:hint="eastAsia"/>
                <w:color w:val="000000"/>
                <w:highlight w:val="none"/>
              </w:rPr>
              <w:t>mg/m</w:t>
            </w:r>
            <w:r>
              <w:rPr>
                <w:rFonts w:hint="eastAsia"/>
                <w:color w:val="000000"/>
                <w:highlight w:val="none"/>
                <w:vertAlign w:val="superscript"/>
              </w:rPr>
              <w:t>3</w:t>
            </w:r>
            <w:r>
              <w:rPr>
                <w:rFonts w:hint="eastAsia"/>
                <w:color w:val="000000"/>
                <w:highlight w:val="none"/>
              </w:rPr>
              <w:t>。油烟经油烟净化器处理后能够达到《饮食行业油烟排放标准</w:t>
            </w:r>
            <w:bookmarkStart w:id="14" w:name="_GoBack"/>
            <w:r>
              <w:rPr>
                <w:rFonts w:hint="eastAsia"/>
                <w:color w:val="000000"/>
                <w:highlight w:val="none"/>
                <w:lang w:eastAsia="zh-CN"/>
              </w:rPr>
              <w:t>（试行）》</w:t>
            </w:r>
            <w:bookmarkEnd w:id="14"/>
            <w:r>
              <w:rPr>
                <w:rFonts w:hint="eastAsia"/>
                <w:color w:val="000000"/>
                <w:highlight w:val="none"/>
                <w:lang w:eastAsia="zh-CN"/>
              </w:rPr>
              <w:t>（</w:t>
            </w:r>
            <w:r>
              <w:rPr>
                <w:rFonts w:hint="eastAsia"/>
                <w:color w:val="000000"/>
                <w:highlight w:val="none"/>
              </w:rPr>
              <w:t>GB18483-2001）中规定的最高允许排放浓度2.0mg/m</w:t>
            </w:r>
            <w:r>
              <w:rPr>
                <w:rFonts w:hint="eastAsia"/>
                <w:color w:val="000000"/>
                <w:highlight w:val="none"/>
                <w:vertAlign w:val="superscript"/>
              </w:rPr>
              <w:t>3</w:t>
            </w:r>
            <w:r>
              <w:rPr>
                <w:rFonts w:hint="eastAsia"/>
                <w:color w:val="000000"/>
                <w:highlight w:val="none"/>
              </w:rPr>
              <w:t>的要求。因此，食堂油烟对周围环境影响较小。</w:t>
            </w:r>
          </w:p>
          <w:p w14:paraId="1B990646">
            <w:pPr>
              <w:ind w:firstLine="480"/>
              <w:rPr>
                <w:highlight w:val="none"/>
              </w:rPr>
            </w:pPr>
            <w:r>
              <w:rPr>
                <w:rFonts w:hint="eastAsia"/>
                <w:highlight w:val="none"/>
                <w:lang w:val="en-US" w:eastAsia="zh-CN"/>
              </w:rPr>
              <w:t>④</w:t>
            </w:r>
            <w:r>
              <w:rPr>
                <w:rFonts w:hint="eastAsia"/>
                <w:highlight w:val="none"/>
              </w:rPr>
              <w:t>本项目年产</w:t>
            </w:r>
            <w:r>
              <w:rPr>
                <w:rFonts w:hint="eastAsia"/>
                <w:highlight w:val="none"/>
                <w:lang w:val="en-US" w:eastAsia="zh-CN"/>
              </w:rPr>
              <w:t>20</w:t>
            </w:r>
            <w:r>
              <w:rPr>
                <w:rFonts w:hint="eastAsia"/>
                <w:highlight w:val="none"/>
              </w:rPr>
              <w:t>万吨</w:t>
            </w:r>
            <w:r>
              <w:rPr>
                <w:rFonts w:hint="eastAsia"/>
                <w:highlight w:val="none"/>
                <w:lang w:val="en-US" w:eastAsia="zh-CN"/>
              </w:rPr>
              <w:t>粉煤灰（其中16万吨的炉灰只进行储存之后外售，仅对4万吨炉渣进行加工处理）</w:t>
            </w:r>
            <w:r>
              <w:rPr>
                <w:rFonts w:hint="eastAsia"/>
                <w:highlight w:val="none"/>
              </w:rPr>
              <w:t>，</w:t>
            </w:r>
            <w:r>
              <w:rPr>
                <w:rFonts w:hint="eastAsia"/>
                <w:highlight w:val="none"/>
                <w:lang w:val="en-US" w:eastAsia="zh-CN"/>
              </w:rPr>
              <w:t>粉煤灰</w:t>
            </w:r>
            <w:r>
              <w:rPr>
                <w:rFonts w:hint="eastAsia"/>
                <w:highlight w:val="none"/>
              </w:rPr>
              <w:t>生产线</w:t>
            </w:r>
            <w:r>
              <w:rPr>
                <w:rFonts w:hint="eastAsia"/>
                <w:highlight w:val="none"/>
                <w:lang w:val="en-US" w:eastAsia="zh-CN"/>
              </w:rPr>
              <w:t>上料、</w:t>
            </w:r>
            <w:r>
              <w:rPr>
                <w:rFonts w:hint="eastAsia"/>
                <w:highlight w:val="none"/>
              </w:rPr>
              <w:t>球磨分选过程产生的颗粒物经密闭收集（收集效率按</w:t>
            </w:r>
            <w:r>
              <w:rPr>
                <w:rFonts w:hint="eastAsia"/>
                <w:highlight w:val="none"/>
                <w:lang w:val="en-US" w:eastAsia="zh-CN"/>
              </w:rPr>
              <w:t>95</w:t>
            </w:r>
            <w:r>
              <w:rPr>
                <w:rFonts w:hint="eastAsia"/>
                <w:highlight w:val="none"/>
              </w:rPr>
              <w:t>%计）后</w:t>
            </w:r>
            <w:r>
              <w:rPr>
                <w:rFonts w:hint="eastAsia"/>
                <w:highlight w:val="none"/>
                <w:lang w:val="en-US" w:eastAsia="zh-CN"/>
              </w:rPr>
              <w:t>通过1</w:t>
            </w:r>
            <w:r>
              <w:rPr>
                <w:rFonts w:hint="eastAsia"/>
                <w:highlight w:val="none"/>
              </w:rPr>
              <w:t>台布袋除尘器处理后由1根</w:t>
            </w:r>
            <w:r>
              <w:rPr>
                <w:rFonts w:hint="eastAsia"/>
                <w:highlight w:val="none"/>
                <w:lang w:eastAsia="zh-CN"/>
              </w:rPr>
              <w:t>22m</w:t>
            </w:r>
            <w:r>
              <w:rPr>
                <w:rFonts w:hint="eastAsia"/>
                <w:highlight w:val="none"/>
              </w:rPr>
              <w:t>高排气筒排放。根据</w:t>
            </w:r>
            <w:r>
              <w:rPr>
                <w:highlight w:val="none"/>
              </w:rPr>
              <w:t>《排放源统计调查产排污核算方法和系数手册》</w:t>
            </w:r>
            <w:r>
              <w:rPr>
                <w:rFonts w:hint="eastAsia"/>
                <w:highlight w:val="none"/>
              </w:rPr>
              <w:t>，参考《42</w:t>
            </w:r>
            <w:r>
              <w:rPr>
                <w:rFonts w:ascii="宋体" w:hAnsi="宋体" w:cs="宋体"/>
                <w:highlight w:val="none"/>
              </w:rPr>
              <w:t>废弃资源综合利用行业系数手册</w:t>
            </w:r>
            <w:r>
              <w:rPr>
                <w:rFonts w:hint="eastAsia"/>
                <w:highlight w:val="none"/>
              </w:rPr>
              <w:t>》4210金属废料和碎屑加工处理行业系数表中矿渣/钢渣/水渣/炉渣/铁矿渣</w:t>
            </w:r>
            <w:r>
              <w:rPr>
                <w:rFonts w:hint="eastAsia"/>
                <w:highlight w:val="none"/>
                <w:lang w:eastAsia="zh-CN"/>
              </w:rPr>
              <w:t>，</w:t>
            </w:r>
            <w:r>
              <w:rPr>
                <w:rFonts w:hint="eastAsia"/>
                <w:highlight w:val="none"/>
              </w:rPr>
              <w:t>破碎+筛分过程（工业废气量为541</w:t>
            </w:r>
            <w:r>
              <w:rPr>
                <w:rFonts w:hint="eastAsia"/>
                <w:highlight w:val="none"/>
                <w:lang w:val="en-US" w:eastAsia="zh-CN"/>
              </w:rPr>
              <w:t>标立方米</w:t>
            </w:r>
            <w:r>
              <w:rPr>
                <w:rFonts w:hint="eastAsia"/>
                <w:highlight w:val="none"/>
              </w:rPr>
              <w:t>/吨-产</w:t>
            </w:r>
            <w:r>
              <w:rPr>
                <w:rFonts w:hint="eastAsia"/>
                <w:color w:val="auto"/>
                <w:highlight w:val="none"/>
              </w:rPr>
              <w:t>品，颗粒物为660</w:t>
            </w:r>
            <w:r>
              <w:rPr>
                <w:rFonts w:hint="eastAsia"/>
                <w:color w:val="auto"/>
                <w:highlight w:val="none"/>
                <w:lang w:val="en-US" w:eastAsia="zh-CN"/>
              </w:rPr>
              <w:t>克</w:t>
            </w:r>
            <w:r>
              <w:rPr>
                <w:rFonts w:hint="eastAsia"/>
                <w:color w:val="auto"/>
                <w:highlight w:val="none"/>
              </w:rPr>
              <w:t>/吨-产品），袋式除尘末端治理技术平均去除效率为95%，因此，本项目</w:t>
            </w:r>
            <w:r>
              <w:rPr>
                <w:rFonts w:hint="eastAsia"/>
                <w:color w:val="auto"/>
                <w:highlight w:val="none"/>
                <w:lang w:val="en-US" w:eastAsia="zh-CN"/>
              </w:rPr>
              <w:t>粉煤灰</w:t>
            </w:r>
            <w:r>
              <w:rPr>
                <w:rFonts w:hint="eastAsia"/>
                <w:color w:val="auto"/>
                <w:highlight w:val="none"/>
              </w:rPr>
              <w:t>生产线生产过程颗粒物产生量</w:t>
            </w:r>
            <w:r>
              <w:rPr>
                <w:rFonts w:hint="eastAsia"/>
                <w:color w:val="auto"/>
                <w:highlight w:val="none"/>
                <w:lang w:val="en-US" w:eastAsia="zh-CN"/>
              </w:rPr>
              <w:t>26.4</w:t>
            </w:r>
            <w:r>
              <w:rPr>
                <w:rFonts w:hint="eastAsia"/>
                <w:color w:val="auto"/>
                <w:highlight w:val="none"/>
              </w:rPr>
              <w:t>t/a，颗粒物产生速率为</w:t>
            </w:r>
            <w:r>
              <w:rPr>
                <w:rFonts w:hint="eastAsia"/>
                <w:color w:val="auto"/>
                <w:highlight w:val="none"/>
                <w:lang w:val="en-US" w:eastAsia="zh-CN"/>
              </w:rPr>
              <w:t>18.33</w:t>
            </w:r>
            <w:r>
              <w:rPr>
                <w:rFonts w:hint="eastAsia"/>
                <w:color w:val="auto"/>
                <w:highlight w:val="none"/>
              </w:rPr>
              <w:t>kg/h（年工作</w:t>
            </w:r>
            <w:r>
              <w:rPr>
                <w:rFonts w:hint="eastAsia"/>
                <w:color w:val="auto"/>
                <w:highlight w:val="none"/>
                <w:lang w:val="en-US" w:eastAsia="zh-CN"/>
              </w:rPr>
              <w:t>18</w:t>
            </w:r>
            <w:r>
              <w:rPr>
                <w:rFonts w:hint="eastAsia"/>
                <w:color w:val="auto"/>
                <w:highlight w:val="none"/>
              </w:rPr>
              <w:t>0天，每天工作</w:t>
            </w:r>
            <w:r>
              <w:rPr>
                <w:rFonts w:hint="eastAsia"/>
                <w:color w:val="auto"/>
                <w:highlight w:val="none"/>
                <w:lang w:val="en-US" w:eastAsia="zh-CN"/>
              </w:rPr>
              <w:t>8</w:t>
            </w:r>
            <w:r>
              <w:rPr>
                <w:rFonts w:hint="eastAsia"/>
                <w:color w:val="auto"/>
                <w:highlight w:val="none"/>
              </w:rPr>
              <w:t>h），有组织颗粒物排放量</w:t>
            </w:r>
            <w:r>
              <w:rPr>
                <w:rFonts w:hint="eastAsia"/>
                <w:color w:val="auto"/>
                <w:highlight w:val="none"/>
                <w:lang w:val="en-US" w:eastAsia="zh-CN"/>
              </w:rPr>
              <w:t>1.25</w:t>
            </w:r>
            <w:r>
              <w:rPr>
                <w:rFonts w:hint="eastAsia"/>
                <w:color w:val="auto"/>
                <w:highlight w:val="none"/>
              </w:rPr>
              <w:t>t/a，有组织颗粒物排放速率为</w:t>
            </w:r>
            <w:r>
              <w:rPr>
                <w:rFonts w:hint="eastAsia"/>
                <w:color w:val="auto"/>
                <w:highlight w:val="none"/>
                <w:lang w:val="en-US" w:eastAsia="zh-CN"/>
              </w:rPr>
              <w:t>0.87</w:t>
            </w:r>
            <w:r>
              <w:rPr>
                <w:rFonts w:hint="eastAsia"/>
                <w:color w:val="auto"/>
                <w:highlight w:val="none"/>
              </w:rPr>
              <w:t>kg/h，有组织颗粒物排放浓度为</w:t>
            </w:r>
            <w:r>
              <w:rPr>
                <w:rFonts w:hint="eastAsia"/>
                <w:color w:val="auto"/>
                <w:highlight w:val="none"/>
                <w:lang w:val="en-US" w:eastAsia="zh-CN"/>
              </w:rPr>
              <w:t>87</w:t>
            </w:r>
            <w:r>
              <w:rPr>
                <w:rFonts w:hint="eastAsia"/>
                <w:color w:val="auto"/>
                <w:highlight w:val="none"/>
              </w:rPr>
              <w:t>mg/m</w:t>
            </w:r>
            <w:r>
              <w:rPr>
                <w:rFonts w:hint="eastAsia"/>
                <w:color w:val="auto"/>
                <w:highlight w:val="none"/>
                <w:vertAlign w:val="superscript"/>
              </w:rPr>
              <w:t>3</w:t>
            </w:r>
            <w:r>
              <w:rPr>
                <w:rFonts w:hint="eastAsia"/>
                <w:color w:val="auto"/>
                <w:highlight w:val="none"/>
              </w:rPr>
              <w:t>（每台风机风量为</w:t>
            </w:r>
            <w:r>
              <w:rPr>
                <w:rFonts w:hint="eastAsia"/>
                <w:color w:val="auto"/>
                <w:highlight w:val="none"/>
                <w:lang w:val="en-US" w:eastAsia="zh-CN"/>
              </w:rPr>
              <w:t>1</w:t>
            </w:r>
            <w:r>
              <w:rPr>
                <w:rFonts w:hint="eastAsia"/>
                <w:color w:val="auto"/>
                <w:highlight w:val="none"/>
              </w:rPr>
              <w:t>0000m</w:t>
            </w:r>
            <w:r>
              <w:rPr>
                <w:rFonts w:hint="eastAsia"/>
                <w:color w:val="auto"/>
                <w:highlight w:val="none"/>
                <w:vertAlign w:val="superscript"/>
              </w:rPr>
              <w:t>3</w:t>
            </w:r>
            <w:r>
              <w:rPr>
                <w:rFonts w:hint="eastAsia"/>
                <w:color w:val="auto"/>
                <w:highlight w:val="none"/>
              </w:rPr>
              <w:t>/h，共</w:t>
            </w:r>
            <w:r>
              <w:rPr>
                <w:rFonts w:hint="eastAsia"/>
                <w:color w:val="auto"/>
                <w:highlight w:val="none"/>
                <w:lang w:val="en-US" w:eastAsia="zh-CN"/>
              </w:rPr>
              <w:t>1</w:t>
            </w:r>
            <w:r>
              <w:rPr>
                <w:rFonts w:hint="eastAsia"/>
                <w:color w:val="auto"/>
                <w:highlight w:val="none"/>
              </w:rPr>
              <w:t>台）。无组织颗粒物产生量</w:t>
            </w:r>
            <w:r>
              <w:rPr>
                <w:rFonts w:hint="eastAsia"/>
                <w:color w:val="auto"/>
                <w:highlight w:val="none"/>
                <w:lang w:val="en-US" w:eastAsia="zh-CN"/>
              </w:rPr>
              <w:t>1.32</w:t>
            </w:r>
            <w:r>
              <w:rPr>
                <w:rFonts w:hint="eastAsia"/>
                <w:color w:val="auto"/>
                <w:highlight w:val="none"/>
              </w:rPr>
              <w:t>t/a，无组织颗粒物产生速率为0.</w:t>
            </w:r>
            <w:r>
              <w:rPr>
                <w:rFonts w:hint="eastAsia"/>
                <w:color w:val="auto"/>
                <w:highlight w:val="none"/>
                <w:lang w:val="en-US" w:eastAsia="zh-CN"/>
              </w:rPr>
              <w:t>92</w:t>
            </w:r>
            <w:r>
              <w:rPr>
                <w:rFonts w:hint="eastAsia"/>
                <w:color w:val="auto"/>
                <w:highlight w:val="none"/>
              </w:rPr>
              <w:t>kg/h，</w:t>
            </w:r>
            <w:r>
              <w:rPr>
                <w:rFonts w:hint="eastAsia"/>
                <w:color w:val="auto"/>
                <w:highlight w:val="none"/>
                <w:lang w:val="en-US" w:eastAsia="zh-CN"/>
              </w:rPr>
              <w:t>块状或颗粒状物料通过密闭传送带输送、粉状物料均通过密闭螺旋输送机和风机输送，</w:t>
            </w:r>
            <w:r>
              <w:rPr>
                <w:rFonts w:hint="eastAsia"/>
                <w:color w:val="auto"/>
                <w:szCs w:val="21"/>
                <w:highlight w:val="none"/>
              </w:rPr>
              <w:t>厂房内</w:t>
            </w:r>
            <w:r>
              <w:rPr>
                <w:color w:val="auto"/>
                <w:szCs w:val="21"/>
                <w:highlight w:val="none"/>
              </w:rPr>
              <w:t>定期洒水降尘</w:t>
            </w:r>
            <w:r>
              <w:rPr>
                <w:rFonts w:hint="eastAsia"/>
                <w:color w:val="auto"/>
                <w:szCs w:val="21"/>
                <w:highlight w:val="none"/>
              </w:rPr>
              <w:t>、清扫</w:t>
            </w:r>
            <w:r>
              <w:rPr>
                <w:rFonts w:hint="eastAsia"/>
                <w:color w:val="auto"/>
                <w:highlight w:val="none"/>
              </w:rPr>
              <w:t>。</w:t>
            </w:r>
          </w:p>
          <w:p w14:paraId="58926007">
            <w:pPr>
              <w:ind w:firstLine="480"/>
              <w:rPr>
                <w:highlight w:val="none"/>
              </w:rPr>
            </w:pPr>
            <w:r>
              <w:rPr>
                <w:highlight w:val="none"/>
              </w:rPr>
              <w:t>项目</w:t>
            </w:r>
            <w:r>
              <w:rPr>
                <w:rFonts w:hint="eastAsia"/>
                <w:highlight w:val="none"/>
              </w:rPr>
              <w:t>废气</w:t>
            </w:r>
            <w:r>
              <w:rPr>
                <w:highlight w:val="none"/>
              </w:rPr>
              <w:t>产生及排放情况见表</w:t>
            </w:r>
            <w:r>
              <w:rPr>
                <w:rFonts w:hint="eastAsia"/>
                <w:highlight w:val="none"/>
              </w:rPr>
              <w:t>4-</w:t>
            </w:r>
            <w:r>
              <w:rPr>
                <w:rFonts w:hint="eastAsia"/>
                <w:highlight w:val="none"/>
                <w:lang w:val="en-US" w:eastAsia="zh-CN"/>
              </w:rPr>
              <w:t>2</w:t>
            </w:r>
            <w:r>
              <w:rPr>
                <w:highlight w:val="none"/>
              </w:rPr>
              <w:t>。</w:t>
            </w:r>
          </w:p>
          <w:p w14:paraId="027ADA04">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rPr>
            </w:pPr>
            <w:r>
              <w:rPr>
                <w:sz w:val="21"/>
                <w:szCs w:val="21"/>
                <w:highlight w:val="none"/>
              </w:rPr>
              <w:t>表</w:t>
            </w:r>
            <w:r>
              <w:rPr>
                <w:rFonts w:hint="eastAsia" w:ascii="Times New Roman" w:hAnsi="Times New Roman" w:eastAsia="Times New Roman" w:cs="Times New Roman"/>
                <w:b/>
                <w:bCs/>
                <w:kern w:val="2"/>
                <w:sz w:val="21"/>
                <w:szCs w:val="21"/>
                <w:highlight w:val="none"/>
                <w:lang w:val="en-US" w:eastAsia="zh-CN" w:bidi="ar-SA"/>
              </w:rPr>
              <w:t>4-</w:t>
            </w:r>
            <w:r>
              <w:rPr>
                <w:rFonts w:hint="eastAsia" w:ascii="Times New Roman" w:hAnsi="Times New Roman" w:cs="Times New Roman"/>
                <w:b/>
                <w:bCs/>
                <w:kern w:val="2"/>
                <w:sz w:val="21"/>
                <w:szCs w:val="21"/>
                <w:highlight w:val="none"/>
                <w:lang w:val="en-US" w:eastAsia="zh-CN" w:bidi="ar-SA"/>
              </w:rPr>
              <w:t>2</w:t>
            </w:r>
            <w:r>
              <w:rPr>
                <w:sz w:val="21"/>
                <w:szCs w:val="21"/>
                <w:highlight w:val="none"/>
              </w:rPr>
              <w:t xml:space="preserve">  项目</w:t>
            </w:r>
            <w:r>
              <w:rPr>
                <w:rFonts w:hint="eastAsia"/>
                <w:sz w:val="21"/>
                <w:szCs w:val="21"/>
                <w:highlight w:val="none"/>
              </w:rPr>
              <w:t>废气</w:t>
            </w:r>
            <w:r>
              <w:rPr>
                <w:sz w:val="21"/>
                <w:szCs w:val="21"/>
                <w:highlight w:val="none"/>
              </w:rPr>
              <w:t>产生及排放情况表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416"/>
              <w:gridCol w:w="834"/>
              <w:gridCol w:w="1100"/>
              <w:gridCol w:w="525"/>
              <w:gridCol w:w="1650"/>
              <w:gridCol w:w="416"/>
              <w:gridCol w:w="718"/>
              <w:gridCol w:w="615"/>
              <w:gridCol w:w="1010"/>
            </w:tblGrid>
            <w:tr w14:paraId="2F98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l2br w:val="nil"/>
                    <w:tr2bl w:val="nil"/>
                  </w:tcBorders>
                  <w:vAlign w:val="center"/>
                </w:tcPr>
                <w:p w14:paraId="3E0A8D64">
                  <w:pPr>
                    <w:pStyle w:val="60"/>
                    <w:rPr>
                      <w:rFonts w:hint="default"/>
                      <w:sz w:val="21"/>
                      <w:szCs w:val="21"/>
                      <w:highlight w:val="none"/>
                    </w:rPr>
                  </w:pPr>
                  <w:r>
                    <w:rPr>
                      <w:sz w:val="21"/>
                      <w:szCs w:val="21"/>
                      <w:highlight w:val="none"/>
                    </w:rPr>
                    <w:t>产污环节</w:t>
                  </w:r>
                </w:p>
              </w:tc>
              <w:tc>
                <w:tcPr>
                  <w:tcW w:w="416" w:type="dxa"/>
                  <w:tcBorders>
                    <w:tl2br w:val="nil"/>
                    <w:tr2bl w:val="nil"/>
                  </w:tcBorders>
                  <w:vAlign w:val="center"/>
                </w:tcPr>
                <w:p w14:paraId="35DF092D">
                  <w:pPr>
                    <w:pStyle w:val="60"/>
                    <w:rPr>
                      <w:rFonts w:hint="default"/>
                      <w:sz w:val="21"/>
                      <w:szCs w:val="21"/>
                      <w:highlight w:val="none"/>
                    </w:rPr>
                  </w:pPr>
                  <w:r>
                    <w:rPr>
                      <w:sz w:val="21"/>
                      <w:szCs w:val="21"/>
                      <w:highlight w:val="none"/>
                    </w:rPr>
                    <w:t>污染物种类</w:t>
                  </w:r>
                </w:p>
              </w:tc>
              <w:tc>
                <w:tcPr>
                  <w:tcW w:w="834" w:type="dxa"/>
                  <w:tcBorders>
                    <w:tl2br w:val="nil"/>
                    <w:tr2bl w:val="nil"/>
                  </w:tcBorders>
                  <w:vAlign w:val="center"/>
                </w:tcPr>
                <w:p w14:paraId="486FD7A4">
                  <w:pPr>
                    <w:pStyle w:val="60"/>
                    <w:rPr>
                      <w:rFonts w:hint="default"/>
                      <w:sz w:val="21"/>
                      <w:szCs w:val="21"/>
                      <w:highlight w:val="none"/>
                    </w:rPr>
                  </w:pPr>
                  <w:r>
                    <w:rPr>
                      <w:sz w:val="21"/>
                      <w:szCs w:val="21"/>
                      <w:highlight w:val="none"/>
                    </w:rPr>
                    <w:t>排放方式及排气筒编号</w:t>
                  </w:r>
                </w:p>
              </w:tc>
              <w:tc>
                <w:tcPr>
                  <w:tcW w:w="1100" w:type="dxa"/>
                  <w:tcBorders>
                    <w:tl2br w:val="nil"/>
                    <w:tr2bl w:val="nil"/>
                  </w:tcBorders>
                  <w:vAlign w:val="center"/>
                </w:tcPr>
                <w:p w14:paraId="05B095AF">
                  <w:pPr>
                    <w:pStyle w:val="60"/>
                    <w:rPr>
                      <w:rFonts w:hint="default"/>
                      <w:sz w:val="21"/>
                      <w:szCs w:val="21"/>
                      <w:highlight w:val="none"/>
                    </w:rPr>
                  </w:pPr>
                  <w:r>
                    <w:rPr>
                      <w:sz w:val="21"/>
                      <w:szCs w:val="21"/>
                      <w:highlight w:val="none"/>
                    </w:rPr>
                    <w:t>污染物产生量、产生速率、产生浓度</w:t>
                  </w:r>
                </w:p>
              </w:tc>
              <w:tc>
                <w:tcPr>
                  <w:tcW w:w="525" w:type="dxa"/>
                  <w:tcBorders>
                    <w:tl2br w:val="nil"/>
                    <w:tr2bl w:val="nil"/>
                  </w:tcBorders>
                  <w:vAlign w:val="center"/>
                </w:tcPr>
                <w:p w14:paraId="626B0BA7">
                  <w:pPr>
                    <w:pStyle w:val="60"/>
                    <w:rPr>
                      <w:rFonts w:hint="default"/>
                      <w:sz w:val="21"/>
                      <w:szCs w:val="21"/>
                      <w:highlight w:val="none"/>
                    </w:rPr>
                  </w:pPr>
                  <w:r>
                    <w:rPr>
                      <w:sz w:val="21"/>
                      <w:szCs w:val="21"/>
                      <w:highlight w:val="none"/>
                    </w:rPr>
                    <w:t>收集效率</w:t>
                  </w:r>
                </w:p>
              </w:tc>
              <w:tc>
                <w:tcPr>
                  <w:tcW w:w="1650" w:type="dxa"/>
                  <w:tcBorders>
                    <w:tl2br w:val="nil"/>
                    <w:tr2bl w:val="nil"/>
                  </w:tcBorders>
                  <w:vAlign w:val="center"/>
                </w:tcPr>
                <w:p w14:paraId="3FAADE89">
                  <w:pPr>
                    <w:pStyle w:val="60"/>
                    <w:rPr>
                      <w:rFonts w:hint="default"/>
                      <w:sz w:val="21"/>
                      <w:szCs w:val="21"/>
                      <w:highlight w:val="none"/>
                    </w:rPr>
                  </w:pPr>
                  <w:r>
                    <w:rPr>
                      <w:sz w:val="21"/>
                      <w:szCs w:val="21"/>
                      <w:highlight w:val="none"/>
                    </w:rPr>
                    <w:t>治理措施</w:t>
                  </w:r>
                </w:p>
              </w:tc>
              <w:tc>
                <w:tcPr>
                  <w:tcW w:w="416" w:type="dxa"/>
                  <w:tcBorders>
                    <w:tl2br w:val="nil"/>
                    <w:tr2bl w:val="nil"/>
                  </w:tcBorders>
                  <w:vAlign w:val="center"/>
                </w:tcPr>
                <w:p w14:paraId="1927F195">
                  <w:pPr>
                    <w:pStyle w:val="60"/>
                    <w:rPr>
                      <w:rFonts w:hint="default"/>
                      <w:sz w:val="21"/>
                      <w:szCs w:val="21"/>
                      <w:highlight w:val="none"/>
                    </w:rPr>
                  </w:pPr>
                  <w:r>
                    <w:rPr>
                      <w:sz w:val="21"/>
                      <w:szCs w:val="21"/>
                      <w:highlight w:val="none"/>
                    </w:rPr>
                    <w:t>是否</w:t>
                  </w:r>
                </w:p>
                <w:p w14:paraId="2C6BA35E">
                  <w:pPr>
                    <w:pStyle w:val="60"/>
                    <w:rPr>
                      <w:rFonts w:hint="default"/>
                      <w:sz w:val="21"/>
                      <w:szCs w:val="21"/>
                      <w:highlight w:val="none"/>
                    </w:rPr>
                  </w:pPr>
                  <w:r>
                    <w:rPr>
                      <w:sz w:val="21"/>
                      <w:szCs w:val="21"/>
                      <w:highlight w:val="none"/>
                    </w:rPr>
                    <w:t>可行</w:t>
                  </w:r>
                </w:p>
              </w:tc>
              <w:tc>
                <w:tcPr>
                  <w:tcW w:w="718" w:type="dxa"/>
                  <w:tcBorders>
                    <w:tl2br w:val="nil"/>
                    <w:tr2bl w:val="nil"/>
                  </w:tcBorders>
                  <w:vAlign w:val="center"/>
                </w:tcPr>
                <w:p w14:paraId="38671681">
                  <w:pPr>
                    <w:pStyle w:val="60"/>
                    <w:rPr>
                      <w:rFonts w:hint="default"/>
                      <w:sz w:val="21"/>
                      <w:szCs w:val="21"/>
                      <w:highlight w:val="none"/>
                    </w:rPr>
                  </w:pPr>
                  <w:r>
                    <w:rPr>
                      <w:sz w:val="21"/>
                      <w:szCs w:val="21"/>
                      <w:highlight w:val="none"/>
                    </w:rPr>
                    <w:t>风量（m</w:t>
                  </w:r>
                  <w:r>
                    <w:rPr>
                      <w:sz w:val="21"/>
                      <w:szCs w:val="21"/>
                      <w:highlight w:val="none"/>
                      <w:vertAlign w:val="superscript"/>
                    </w:rPr>
                    <w:t>3</w:t>
                  </w:r>
                  <w:r>
                    <w:rPr>
                      <w:sz w:val="21"/>
                      <w:szCs w:val="21"/>
                      <w:highlight w:val="none"/>
                    </w:rPr>
                    <w:t>/h）</w:t>
                  </w:r>
                </w:p>
              </w:tc>
              <w:tc>
                <w:tcPr>
                  <w:tcW w:w="615" w:type="dxa"/>
                  <w:tcBorders>
                    <w:tl2br w:val="nil"/>
                    <w:tr2bl w:val="nil"/>
                  </w:tcBorders>
                  <w:vAlign w:val="center"/>
                </w:tcPr>
                <w:p w14:paraId="65D72608">
                  <w:pPr>
                    <w:pStyle w:val="60"/>
                    <w:rPr>
                      <w:rFonts w:hint="default"/>
                      <w:sz w:val="21"/>
                      <w:szCs w:val="21"/>
                      <w:highlight w:val="none"/>
                    </w:rPr>
                  </w:pPr>
                  <w:r>
                    <w:rPr>
                      <w:sz w:val="21"/>
                      <w:szCs w:val="21"/>
                      <w:highlight w:val="none"/>
                    </w:rPr>
                    <w:t>治理效率</w:t>
                  </w:r>
                </w:p>
              </w:tc>
              <w:tc>
                <w:tcPr>
                  <w:tcW w:w="1010" w:type="dxa"/>
                  <w:tcBorders>
                    <w:tl2br w:val="nil"/>
                    <w:tr2bl w:val="nil"/>
                  </w:tcBorders>
                  <w:vAlign w:val="center"/>
                </w:tcPr>
                <w:p w14:paraId="09DAF293">
                  <w:pPr>
                    <w:pStyle w:val="60"/>
                    <w:rPr>
                      <w:rFonts w:hint="default"/>
                      <w:sz w:val="21"/>
                      <w:szCs w:val="21"/>
                      <w:highlight w:val="none"/>
                    </w:rPr>
                  </w:pPr>
                  <w:r>
                    <w:rPr>
                      <w:sz w:val="21"/>
                      <w:szCs w:val="21"/>
                      <w:highlight w:val="none"/>
                    </w:rPr>
                    <w:t>污染物排放量、排放浓度、排放速率</w:t>
                  </w:r>
                </w:p>
              </w:tc>
            </w:tr>
            <w:tr w14:paraId="5712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l2br w:val="nil"/>
                    <w:tr2bl w:val="nil"/>
                  </w:tcBorders>
                  <w:vAlign w:val="center"/>
                </w:tcPr>
                <w:p w14:paraId="629AFCED">
                  <w:pPr>
                    <w:pStyle w:val="60"/>
                    <w:ind w:firstLine="0" w:firstLineChars="0"/>
                    <w:rPr>
                      <w:sz w:val="21"/>
                      <w:szCs w:val="21"/>
                      <w:highlight w:val="none"/>
                    </w:rPr>
                  </w:pPr>
                  <w:r>
                    <w:rPr>
                      <w:rFonts w:hint="eastAsia"/>
                      <w:sz w:val="21"/>
                      <w:szCs w:val="21"/>
                      <w:highlight w:val="none"/>
                      <w:lang w:val="en-US" w:eastAsia="zh-CN"/>
                    </w:rPr>
                    <w:t>规划粉煤灰环保库粉尘</w:t>
                  </w:r>
                </w:p>
              </w:tc>
              <w:tc>
                <w:tcPr>
                  <w:tcW w:w="416" w:type="dxa"/>
                  <w:tcBorders>
                    <w:tl2br w:val="nil"/>
                    <w:tr2bl w:val="nil"/>
                  </w:tcBorders>
                  <w:vAlign w:val="center"/>
                </w:tcPr>
                <w:p w14:paraId="5DCA6D69">
                  <w:pPr>
                    <w:pStyle w:val="60"/>
                    <w:ind w:firstLine="0" w:firstLineChars="0"/>
                    <w:rPr>
                      <w:sz w:val="21"/>
                      <w:szCs w:val="21"/>
                      <w:highlight w:val="none"/>
                    </w:rPr>
                  </w:pPr>
                  <w:r>
                    <w:rPr>
                      <w:rFonts w:hint="eastAsia"/>
                      <w:sz w:val="21"/>
                      <w:szCs w:val="21"/>
                      <w:highlight w:val="none"/>
                      <w:lang w:val="en-US" w:eastAsia="zh-CN"/>
                    </w:rPr>
                    <w:t>颗粒物</w:t>
                  </w:r>
                </w:p>
              </w:tc>
              <w:tc>
                <w:tcPr>
                  <w:tcW w:w="834" w:type="dxa"/>
                  <w:tcBorders>
                    <w:tl2br w:val="nil"/>
                    <w:tr2bl w:val="nil"/>
                  </w:tcBorders>
                  <w:vAlign w:val="center"/>
                </w:tcPr>
                <w:p w14:paraId="459C9F1F">
                  <w:pPr>
                    <w:pStyle w:val="60"/>
                    <w:ind w:firstLine="0" w:firstLineChars="0"/>
                    <w:rPr>
                      <w:sz w:val="21"/>
                      <w:szCs w:val="21"/>
                      <w:highlight w:val="none"/>
                    </w:rPr>
                  </w:pPr>
                  <w:r>
                    <w:rPr>
                      <w:rFonts w:hint="eastAsia"/>
                      <w:sz w:val="21"/>
                      <w:szCs w:val="21"/>
                      <w:highlight w:val="none"/>
                      <w:lang w:val="en-US" w:eastAsia="zh-CN"/>
                    </w:rPr>
                    <w:t>无组织</w:t>
                  </w:r>
                </w:p>
              </w:tc>
              <w:tc>
                <w:tcPr>
                  <w:tcW w:w="1100" w:type="dxa"/>
                  <w:tcBorders>
                    <w:tl2br w:val="nil"/>
                    <w:tr2bl w:val="nil"/>
                  </w:tcBorders>
                  <w:vAlign w:val="center"/>
                </w:tcPr>
                <w:p w14:paraId="4E10B9AF">
                  <w:pPr>
                    <w:pStyle w:val="60"/>
                    <w:ind w:firstLine="0" w:firstLineChars="0"/>
                    <w:rPr>
                      <w:sz w:val="21"/>
                      <w:szCs w:val="21"/>
                      <w:highlight w:val="none"/>
                    </w:rPr>
                  </w:pPr>
                  <w:r>
                    <w:rPr>
                      <w:rFonts w:hint="eastAsia"/>
                      <w:sz w:val="21"/>
                      <w:szCs w:val="21"/>
                      <w:highlight w:val="none"/>
                      <w:lang w:val="en-US" w:eastAsia="zh-CN"/>
                    </w:rPr>
                    <w:t>24</w:t>
                  </w:r>
                  <w:r>
                    <w:rPr>
                      <w:sz w:val="21"/>
                      <w:szCs w:val="21"/>
                      <w:highlight w:val="none"/>
                    </w:rPr>
                    <w:t>t/a</w:t>
                  </w:r>
                </w:p>
              </w:tc>
              <w:tc>
                <w:tcPr>
                  <w:tcW w:w="525" w:type="dxa"/>
                  <w:tcBorders>
                    <w:tl2br w:val="nil"/>
                    <w:tr2bl w:val="nil"/>
                  </w:tcBorders>
                  <w:vAlign w:val="center"/>
                </w:tcPr>
                <w:p w14:paraId="487D7565">
                  <w:pPr>
                    <w:pStyle w:val="60"/>
                    <w:ind w:firstLine="0" w:firstLineChars="0"/>
                    <w:rPr>
                      <w:sz w:val="21"/>
                      <w:szCs w:val="21"/>
                      <w:highlight w:val="none"/>
                    </w:rPr>
                  </w:pPr>
                  <w:r>
                    <w:rPr>
                      <w:rFonts w:hint="eastAsia"/>
                      <w:sz w:val="21"/>
                      <w:szCs w:val="21"/>
                      <w:highlight w:val="none"/>
                      <w:lang w:val="en-US" w:eastAsia="zh-CN"/>
                    </w:rPr>
                    <w:t>/</w:t>
                  </w:r>
                </w:p>
              </w:tc>
              <w:tc>
                <w:tcPr>
                  <w:tcW w:w="1650" w:type="dxa"/>
                  <w:tcBorders>
                    <w:tl2br w:val="nil"/>
                    <w:tr2bl w:val="nil"/>
                  </w:tcBorders>
                  <w:vAlign w:val="center"/>
                </w:tcPr>
                <w:p w14:paraId="5A662BDC">
                  <w:pPr>
                    <w:pStyle w:val="60"/>
                    <w:ind w:firstLine="0" w:firstLineChars="0"/>
                    <w:rPr>
                      <w:sz w:val="21"/>
                      <w:szCs w:val="21"/>
                      <w:highlight w:val="none"/>
                    </w:rPr>
                  </w:pPr>
                  <w:r>
                    <w:rPr>
                      <w:rFonts w:hint="eastAsia"/>
                      <w:sz w:val="21"/>
                      <w:szCs w:val="21"/>
                      <w:highlight w:val="none"/>
                    </w:rPr>
                    <w:t>规划粉煤灰环保库呼吸通过仓顶除尘器</w:t>
                  </w:r>
                </w:p>
              </w:tc>
              <w:tc>
                <w:tcPr>
                  <w:tcW w:w="416" w:type="dxa"/>
                  <w:tcBorders>
                    <w:tl2br w:val="nil"/>
                    <w:tr2bl w:val="nil"/>
                  </w:tcBorders>
                  <w:vAlign w:val="center"/>
                </w:tcPr>
                <w:p w14:paraId="4A2D9A23">
                  <w:pPr>
                    <w:pStyle w:val="60"/>
                    <w:ind w:firstLine="0" w:firstLineChars="0"/>
                    <w:rPr>
                      <w:sz w:val="21"/>
                      <w:szCs w:val="21"/>
                      <w:highlight w:val="none"/>
                    </w:rPr>
                  </w:pPr>
                  <w:r>
                    <w:rPr>
                      <w:rFonts w:hint="eastAsia"/>
                      <w:sz w:val="21"/>
                      <w:szCs w:val="21"/>
                      <w:highlight w:val="none"/>
                      <w:lang w:val="en-US" w:eastAsia="zh-CN"/>
                    </w:rPr>
                    <w:t>是</w:t>
                  </w:r>
                </w:p>
              </w:tc>
              <w:tc>
                <w:tcPr>
                  <w:tcW w:w="718" w:type="dxa"/>
                  <w:tcBorders>
                    <w:tl2br w:val="nil"/>
                    <w:tr2bl w:val="nil"/>
                  </w:tcBorders>
                  <w:vAlign w:val="center"/>
                </w:tcPr>
                <w:p w14:paraId="3F5B735A">
                  <w:pPr>
                    <w:pStyle w:val="60"/>
                    <w:ind w:firstLine="0" w:firstLineChars="0"/>
                    <w:rPr>
                      <w:sz w:val="21"/>
                      <w:szCs w:val="21"/>
                      <w:highlight w:val="none"/>
                    </w:rPr>
                  </w:pPr>
                  <w:r>
                    <w:rPr>
                      <w:rFonts w:hint="eastAsia"/>
                      <w:sz w:val="21"/>
                      <w:szCs w:val="21"/>
                      <w:highlight w:val="none"/>
                      <w:lang w:val="en-US" w:eastAsia="zh-CN"/>
                    </w:rPr>
                    <w:t>/</w:t>
                  </w:r>
                </w:p>
              </w:tc>
              <w:tc>
                <w:tcPr>
                  <w:tcW w:w="615" w:type="dxa"/>
                  <w:tcBorders>
                    <w:tl2br w:val="nil"/>
                    <w:tr2bl w:val="nil"/>
                  </w:tcBorders>
                  <w:vAlign w:val="center"/>
                </w:tcPr>
                <w:p w14:paraId="26B8C925">
                  <w:pPr>
                    <w:pStyle w:val="60"/>
                    <w:ind w:firstLine="0" w:firstLineChars="0"/>
                    <w:rPr>
                      <w:sz w:val="21"/>
                      <w:szCs w:val="21"/>
                      <w:highlight w:val="none"/>
                    </w:rPr>
                  </w:pPr>
                  <w:r>
                    <w:rPr>
                      <w:rFonts w:hint="eastAsia"/>
                      <w:sz w:val="21"/>
                      <w:szCs w:val="21"/>
                      <w:highlight w:val="none"/>
                      <w:lang w:val="en-US" w:eastAsia="zh-CN"/>
                    </w:rPr>
                    <w:t>99</w:t>
                  </w:r>
                </w:p>
              </w:tc>
              <w:tc>
                <w:tcPr>
                  <w:tcW w:w="1010" w:type="dxa"/>
                  <w:tcBorders>
                    <w:tl2br w:val="nil"/>
                    <w:tr2bl w:val="nil"/>
                  </w:tcBorders>
                  <w:vAlign w:val="center"/>
                </w:tcPr>
                <w:p w14:paraId="508FF856">
                  <w:pPr>
                    <w:pStyle w:val="60"/>
                    <w:ind w:firstLine="0" w:firstLineChars="0"/>
                    <w:rPr>
                      <w:sz w:val="21"/>
                      <w:szCs w:val="21"/>
                      <w:highlight w:val="none"/>
                    </w:rPr>
                  </w:pPr>
                  <w:r>
                    <w:rPr>
                      <w:rFonts w:hint="eastAsia"/>
                      <w:sz w:val="21"/>
                      <w:szCs w:val="21"/>
                      <w:highlight w:val="none"/>
                      <w:lang w:val="en-US" w:eastAsia="zh-CN"/>
                    </w:rPr>
                    <w:t>0.24</w:t>
                  </w:r>
                  <w:r>
                    <w:rPr>
                      <w:sz w:val="21"/>
                      <w:szCs w:val="21"/>
                      <w:highlight w:val="none"/>
                    </w:rPr>
                    <w:t>t/a</w:t>
                  </w:r>
                </w:p>
              </w:tc>
            </w:tr>
            <w:tr w14:paraId="3F2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l2br w:val="nil"/>
                    <w:tr2bl w:val="nil"/>
                  </w:tcBorders>
                  <w:vAlign w:val="center"/>
                </w:tcPr>
                <w:p w14:paraId="540C0915">
                  <w:pPr>
                    <w:pStyle w:val="60"/>
                    <w:ind w:firstLine="0" w:firstLineChars="0"/>
                    <w:rPr>
                      <w:sz w:val="21"/>
                      <w:szCs w:val="21"/>
                      <w:highlight w:val="none"/>
                    </w:rPr>
                  </w:pPr>
                  <w:r>
                    <w:rPr>
                      <w:rFonts w:hint="eastAsia"/>
                      <w:sz w:val="21"/>
                      <w:szCs w:val="21"/>
                      <w:highlight w:val="none"/>
                      <w:lang w:val="en-US" w:eastAsia="zh-CN"/>
                    </w:rPr>
                    <w:t>车辆运输扬尘</w:t>
                  </w:r>
                </w:p>
              </w:tc>
              <w:tc>
                <w:tcPr>
                  <w:tcW w:w="416" w:type="dxa"/>
                  <w:tcBorders>
                    <w:tl2br w:val="nil"/>
                    <w:tr2bl w:val="nil"/>
                  </w:tcBorders>
                  <w:vAlign w:val="center"/>
                </w:tcPr>
                <w:p w14:paraId="272FC790">
                  <w:pPr>
                    <w:pStyle w:val="60"/>
                    <w:ind w:firstLine="0" w:firstLineChars="0"/>
                    <w:rPr>
                      <w:sz w:val="21"/>
                      <w:szCs w:val="21"/>
                      <w:highlight w:val="none"/>
                    </w:rPr>
                  </w:pPr>
                  <w:r>
                    <w:rPr>
                      <w:rFonts w:hint="eastAsia"/>
                      <w:sz w:val="21"/>
                      <w:szCs w:val="21"/>
                      <w:highlight w:val="none"/>
                      <w:lang w:val="en-US" w:eastAsia="zh-CN"/>
                    </w:rPr>
                    <w:t>颗粒物</w:t>
                  </w:r>
                </w:p>
              </w:tc>
              <w:tc>
                <w:tcPr>
                  <w:tcW w:w="834" w:type="dxa"/>
                  <w:tcBorders>
                    <w:tl2br w:val="nil"/>
                    <w:tr2bl w:val="nil"/>
                  </w:tcBorders>
                  <w:vAlign w:val="center"/>
                </w:tcPr>
                <w:p w14:paraId="0B26B715">
                  <w:pPr>
                    <w:pStyle w:val="60"/>
                    <w:ind w:firstLine="0" w:firstLineChars="0"/>
                    <w:rPr>
                      <w:sz w:val="21"/>
                      <w:szCs w:val="21"/>
                      <w:highlight w:val="none"/>
                    </w:rPr>
                  </w:pPr>
                  <w:r>
                    <w:rPr>
                      <w:rFonts w:hint="eastAsia"/>
                      <w:sz w:val="21"/>
                      <w:szCs w:val="21"/>
                      <w:highlight w:val="none"/>
                      <w:lang w:val="en-US" w:eastAsia="zh-CN"/>
                    </w:rPr>
                    <w:t>无组织</w:t>
                  </w:r>
                </w:p>
              </w:tc>
              <w:tc>
                <w:tcPr>
                  <w:tcW w:w="1100" w:type="dxa"/>
                  <w:tcBorders>
                    <w:tl2br w:val="nil"/>
                    <w:tr2bl w:val="nil"/>
                  </w:tcBorders>
                  <w:vAlign w:val="center"/>
                </w:tcPr>
                <w:p w14:paraId="4B2F3E99">
                  <w:pPr>
                    <w:pStyle w:val="60"/>
                    <w:ind w:firstLine="0" w:firstLineChars="0"/>
                    <w:rPr>
                      <w:sz w:val="21"/>
                      <w:szCs w:val="21"/>
                      <w:highlight w:val="none"/>
                    </w:rPr>
                  </w:pPr>
                  <w:r>
                    <w:rPr>
                      <w:rFonts w:hint="eastAsia"/>
                      <w:sz w:val="21"/>
                      <w:szCs w:val="21"/>
                      <w:highlight w:val="none"/>
                      <w:lang w:val="en-US" w:eastAsia="zh-CN"/>
                    </w:rPr>
                    <w:t>0.057</w:t>
                  </w:r>
                  <w:r>
                    <w:rPr>
                      <w:sz w:val="21"/>
                      <w:szCs w:val="21"/>
                      <w:highlight w:val="none"/>
                    </w:rPr>
                    <w:t>t/a</w:t>
                  </w:r>
                </w:p>
              </w:tc>
              <w:tc>
                <w:tcPr>
                  <w:tcW w:w="525" w:type="dxa"/>
                  <w:tcBorders>
                    <w:tl2br w:val="nil"/>
                    <w:tr2bl w:val="nil"/>
                  </w:tcBorders>
                  <w:vAlign w:val="center"/>
                </w:tcPr>
                <w:p w14:paraId="28DE1A4A">
                  <w:pPr>
                    <w:pStyle w:val="60"/>
                    <w:ind w:firstLine="0" w:firstLineChars="0"/>
                    <w:rPr>
                      <w:sz w:val="21"/>
                      <w:szCs w:val="21"/>
                      <w:highlight w:val="none"/>
                    </w:rPr>
                  </w:pPr>
                  <w:r>
                    <w:rPr>
                      <w:rFonts w:hint="eastAsia"/>
                      <w:sz w:val="21"/>
                      <w:szCs w:val="21"/>
                      <w:highlight w:val="none"/>
                      <w:lang w:val="en-US" w:eastAsia="zh-CN"/>
                    </w:rPr>
                    <w:t>/</w:t>
                  </w:r>
                </w:p>
              </w:tc>
              <w:tc>
                <w:tcPr>
                  <w:tcW w:w="1650" w:type="dxa"/>
                  <w:tcBorders>
                    <w:tl2br w:val="nil"/>
                    <w:tr2bl w:val="nil"/>
                  </w:tcBorders>
                  <w:vAlign w:val="center"/>
                </w:tcPr>
                <w:p w14:paraId="340FD049">
                  <w:pPr>
                    <w:pStyle w:val="60"/>
                    <w:ind w:firstLine="0" w:firstLineChars="0"/>
                    <w:rPr>
                      <w:sz w:val="21"/>
                      <w:szCs w:val="21"/>
                      <w:highlight w:val="none"/>
                    </w:rPr>
                  </w:pPr>
                  <w:r>
                    <w:rPr>
                      <w:rFonts w:hint="eastAsia"/>
                      <w:sz w:val="21"/>
                      <w:szCs w:val="21"/>
                      <w:highlight w:val="none"/>
                    </w:rPr>
                    <w:t>洒水抑尘、篷布遮盖、严禁超载、控制车速</w:t>
                  </w:r>
                </w:p>
              </w:tc>
              <w:tc>
                <w:tcPr>
                  <w:tcW w:w="416" w:type="dxa"/>
                  <w:tcBorders>
                    <w:tl2br w:val="nil"/>
                    <w:tr2bl w:val="nil"/>
                  </w:tcBorders>
                  <w:vAlign w:val="center"/>
                </w:tcPr>
                <w:p w14:paraId="740AB5C1">
                  <w:pPr>
                    <w:pStyle w:val="60"/>
                    <w:ind w:firstLine="0" w:firstLineChars="0"/>
                    <w:rPr>
                      <w:sz w:val="21"/>
                      <w:szCs w:val="21"/>
                      <w:highlight w:val="none"/>
                    </w:rPr>
                  </w:pPr>
                  <w:r>
                    <w:rPr>
                      <w:rFonts w:hint="eastAsia"/>
                      <w:sz w:val="21"/>
                      <w:szCs w:val="21"/>
                      <w:highlight w:val="none"/>
                      <w:lang w:val="en-US" w:eastAsia="zh-CN"/>
                    </w:rPr>
                    <w:t>是</w:t>
                  </w:r>
                </w:p>
              </w:tc>
              <w:tc>
                <w:tcPr>
                  <w:tcW w:w="718" w:type="dxa"/>
                  <w:tcBorders>
                    <w:tl2br w:val="nil"/>
                    <w:tr2bl w:val="nil"/>
                  </w:tcBorders>
                  <w:vAlign w:val="center"/>
                </w:tcPr>
                <w:p w14:paraId="7AE388EF">
                  <w:pPr>
                    <w:pStyle w:val="60"/>
                    <w:ind w:firstLine="0" w:firstLineChars="0"/>
                    <w:rPr>
                      <w:sz w:val="21"/>
                      <w:szCs w:val="21"/>
                      <w:highlight w:val="none"/>
                    </w:rPr>
                  </w:pPr>
                  <w:r>
                    <w:rPr>
                      <w:rFonts w:hint="eastAsia"/>
                      <w:sz w:val="21"/>
                      <w:szCs w:val="21"/>
                      <w:highlight w:val="none"/>
                      <w:lang w:val="en-US" w:eastAsia="zh-CN"/>
                    </w:rPr>
                    <w:t>/</w:t>
                  </w:r>
                </w:p>
              </w:tc>
              <w:tc>
                <w:tcPr>
                  <w:tcW w:w="615" w:type="dxa"/>
                  <w:tcBorders>
                    <w:tl2br w:val="nil"/>
                    <w:tr2bl w:val="nil"/>
                  </w:tcBorders>
                  <w:vAlign w:val="center"/>
                </w:tcPr>
                <w:p w14:paraId="695AC885">
                  <w:pPr>
                    <w:pStyle w:val="60"/>
                    <w:ind w:firstLine="0" w:firstLineChars="0"/>
                    <w:rPr>
                      <w:sz w:val="21"/>
                      <w:szCs w:val="21"/>
                      <w:highlight w:val="none"/>
                    </w:rPr>
                  </w:pPr>
                  <w:r>
                    <w:rPr>
                      <w:rFonts w:hint="eastAsia"/>
                      <w:sz w:val="21"/>
                      <w:szCs w:val="21"/>
                      <w:highlight w:val="none"/>
                      <w:lang w:val="en-US" w:eastAsia="zh-CN"/>
                    </w:rPr>
                    <w:t>90</w:t>
                  </w:r>
                </w:p>
              </w:tc>
              <w:tc>
                <w:tcPr>
                  <w:tcW w:w="1010" w:type="dxa"/>
                  <w:tcBorders>
                    <w:tl2br w:val="nil"/>
                    <w:tr2bl w:val="nil"/>
                  </w:tcBorders>
                  <w:vAlign w:val="center"/>
                </w:tcPr>
                <w:p w14:paraId="1DBB7107">
                  <w:pPr>
                    <w:pStyle w:val="60"/>
                    <w:ind w:firstLine="0" w:firstLineChars="0"/>
                    <w:rPr>
                      <w:sz w:val="21"/>
                      <w:szCs w:val="21"/>
                      <w:highlight w:val="none"/>
                    </w:rPr>
                  </w:pPr>
                  <w:r>
                    <w:rPr>
                      <w:rFonts w:hint="eastAsia"/>
                      <w:sz w:val="21"/>
                      <w:szCs w:val="21"/>
                      <w:highlight w:val="none"/>
                      <w:lang w:val="en-US" w:eastAsia="zh-CN"/>
                    </w:rPr>
                    <w:t>0.0114</w:t>
                  </w:r>
                  <w:r>
                    <w:rPr>
                      <w:sz w:val="21"/>
                      <w:szCs w:val="21"/>
                      <w:highlight w:val="none"/>
                    </w:rPr>
                    <w:t>t/a</w:t>
                  </w:r>
                </w:p>
              </w:tc>
            </w:tr>
            <w:tr w14:paraId="0EBC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tcBorders>
                    <w:tl2br w:val="nil"/>
                    <w:tr2bl w:val="nil"/>
                  </w:tcBorders>
                  <w:vAlign w:val="center"/>
                </w:tcPr>
                <w:p w14:paraId="6CABD9E0">
                  <w:pPr>
                    <w:pStyle w:val="60"/>
                    <w:ind w:firstLine="0" w:firstLineChars="0"/>
                    <w:rPr>
                      <w:sz w:val="21"/>
                      <w:szCs w:val="21"/>
                      <w:highlight w:val="none"/>
                    </w:rPr>
                  </w:pPr>
                  <w:r>
                    <w:rPr>
                      <w:sz w:val="21"/>
                      <w:szCs w:val="21"/>
                      <w:highlight w:val="none"/>
                    </w:rPr>
                    <w:t>食堂</w:t>
                  </w:r>
                </w:p>
              </w:tc>
              <w:tc>
                <w:tcPr>
                  <w:tcW w:w="416" w:type="dxa"/>
                  <w:tcBorders>
                    <w:tl2br w:val="nil"/>
                    <w:tr2bl w:val="nil"/>
                  </w:tcBorders>
                  <w:vAlign w:val="center"/>
                </w:tcPr>
                <w:p w14:paraId="72329002">
                  <w:pPr>
                    <w:pStyle w:val="60"/>
                    <w:ind w:firstLine="0" w:firstLineChars="0"/>
                    <w:rPr>
                      <w:sz w:val="21"/>
                      <w:szCs w:val="21"/>
                      <w:highlight w:val="none"/>
                    </w:rPr>
                  </w:pPr>
                  <w:r>
                    <w:rPr>
                      <w:sz w:val="21"/>
                      <w:szCs w:val="21"/>
                      <w:highlight w:val="none"/>
                    </w:rPr>
                    <w:t>餐饮油烟废气</w:t>
                  </w:r>
                </w:p>
              </w:tc>
              <w:tc>
                <w:tcPr>
                  <w:tcW w:w="834" w:type="dxa"/>
                  <w:tcBorders>
                    <w:tl2br w:val="nil"/>
                    <w:tr2bl w:val="nil"/>
                  </w:tcBorders>
                  <w:vAlign w:val="center"/>
                </w:tcPr>
                <w:p w14:paraId="799C86C2">
                  <w:pPr>
                    <w:pStyle w:val="60"/>
                    <w:ind w:firstLine="0" w:firstLineChars="0"/>
                    <w:rPr>
                      <w:sz w:val="21"/>
                      <w:szCs w:val="21"/>
                      <w:highlight w:val="none"/>
                    </w:rPr>
                  </w:pPr>
                  <w:r>
                    <w:rPr>
                      <w:sz w:val="21"/>
                      <w:szCs w:val="21"/>
                      <w:highlight w:val="none"/>
                    </w:rPr>
                    <w:t>无组织</w:t>
                  </w:r>
                </w:p>
              </w:tc>
              <w:tc>
                <w:tcPr>
                  <w:tcW w:w="1100" w:type="dxa"/>
                  <w:tcBorders>
                    <w:tl2br w:val="nil"/>
                    <w:tr2bl w:val="nil"/>
                  </w:tcBorders>
                  <w:vAlign w:val="center"/>
                </w:tcPr>
                <w:p w14:paraId="4AC1B2C3">
                  <w:pPr>
                    <w:pStyle w:val="60"/>
                    <w:rPr>
                      <w:rFonts w:hint="default"/>
                      <w:sz w:val="21"/>
                      <w:szCs w:val="21"/>
                      <w:highlight w:val="none"/>
                    </w:rPr>
                  </w:pPr>
                  <w:r>
                    <w:rPr>
                      <w:rFonts w:hint="eastAsia"/>
                      <w:sz w:val="21"/>
                      <w:szCs w:val="21"/>
                      <w:highlight w:val="none"/>
                      <w:lang w:val="en-US" w:eastAsia="zh-CN"/>
                    </w:rPr>
                    <w:t>0.00324</w:t>
                  </w:r>
                  <w:r>
                    <w:rPr>
                      <w:sz w:val="21"/>
                      <w:szCs w:val="21"/>
                      <w:highlight w:val="none"/>
                    </w:rPr>
                    <w:t>t/a</w:t>
                  </w:r>
                </w:p>
                <w:p w14:paraId="4318AE13">
                  <w:pPr>
                    <w:pStyle w:val="60"/>
                    <w:rPr>
                      <w:rFonts w:hint="default"/>
                      <w:sz w:val="21"/>
                      <w:szCs w:val="21"/>
                      <w:highlight w:val="none"/>
                    </w:rPr>
                  </w:pPr>
                  <w:r>
                    <w:rPr>
                      <w:sz w:val="21"/>
                      <w:szCs w:val="21"/>
                      <w:highlight w:val="none"/>
                    </w:rPr>
                    <w:t>0.00</w:t>
                  </w:r>
                  <w:r>
                    <w:rPr>
                      <w:rFonts w:hint="eastAsia"/>
                      <w:sz w:val="21"/>
                      <w:szCs w:val="21"/>
                      <w:highlight w:val="none"/>
                      <w:lang w:val="en-US" w:eastAsia="zh-CN"/>
                    </w:rPr>
                    <w:t>45</w:t>
                  </w:r>
                  <w:r>
                    <w:rPr>
                      <w:sz w:val="21"/>
                      <w:szCs w:val="21"/>
                      <w:highlight w:val="none"/>
                    </w:rPr>
                    <w:t>kg/h</w:t>
                  </w:r>
                </w:p>
                <w:p w14:paraId="51F3543E">
                  <w:pPr>
                    <w:pStyle w:val="60"/>
                    <w:ind w:firstLine="0" w:firstLineChars="0"/>
                    <w:rPr>
                      <w:sz w:val="21"/>
                      <w:szCs w:val="21"/>
                      <w:highlight w:val="none"/>
                    </w:rPr>
                  </w:pPr>
                  <w:r>
                    <w:rPr>
                      <w:rFonts w:hint="eastAsia"/>
                      <w:sz w:val="21"/>
                      <w:szCs w:val="21"/>
                      <w:highlight w:val="none"/>
                      <w:lang w:val="en-US" w:eastAsia="zh-CN"/>
                    </w:rPr>
                    <w:t>/</w:t>
                  </w:r>
                </w:p>
              </w:tc>
              <w:tc>
                <w:tcPr>
                  <w:tcW w:w="525" w:type="dxa"/>
                  <w:tcBorders>
                    <w:tl2br w:val="nil"/>
                    <w:tr2bl w:val="nil"/>
                  </w:tcBorders>
                  <w:vAlign w:val="center"/>
                </w:tcPr>
                <w:p w14:paraId="658ED110">
                  <w:pPr>
                    <w:pStyle w:val="60"/>
                    <w:ind w:firstLine="0" w:firstLineChars="0"/>
                    <w:rPr>
                      <w:sz w:val="21"/>
                      <w:szCs w:val="21"/>
                      <w:highlight w:val="none"/>
                    </w:rPr>
                  </w:pPr>
                  <w:r>
                    <w:rPr>
                      <w:rFonts w:hint="eastAsia"/>
                      <w:sz w:val="21"/>
                      <w:szCs w:val="21"/>
                      <w:highlight w:val="none"/>
                      <w:lang w:val="en-US" w:eastAsia="zh-CN"/>
                    </w:rPr>
                    <w:t>100</w:t>
                  </w:r>
                  <w:r>
                    <w:rPr>
                      <w:sz w:val="21"/>
                      <w:szCs w:val="21"/>
                      <w:highlight w:val="none"/>
                    </w:rPr>
                    <w:t>%</w:t>
                  </w:r>
                </w:p>
              </w:tc>
              <w:tc>
                <w:tcPr>
                  <w:tcW w:w="1650" w:type="dxa"/>
                  <w:tcBorders>
                    <w:tl2br w:val="nil"/>
                    <w:tr2bl w:val="nil"/>
                  </w:tcBorders>
                  <w:vAlign w:val="center"/>
                </w:tcPr>
                <w:p w14:paraId="0DA50783">
                  <w:pPr>
                    <w:pStyle w:val="60"/>
                    <w:ind w:firstLine="0" w:firstLineChars="0"/>
                    <w:rPr>
                      <w:sz w:val="21"/>
                      <w:szCs w:val="21"/>
                      <w:highlight w:val="none"/>
                    </w:rPr>
                  </w:pPr>
                  <w:r>
                    <w:rPr>
                      <w:sz w:val="21"/>
                      <w:szCs w:val="21"/>
                      <w:highlight w:val="none"/>
                    </w:rPr>
                    <w:t>经油烟净化器（</w:t>
                  </w:r>
                  <w:r>
                    <w:rPr>
                      <w:color w:val="000000"/>
                      <w:sz w:val="21"/>
                      <w:szCs w:val="21"/>
                      <w:highlight w:val="none"/>
                    </w:rPr>
                    <w:t>风机风量</w:t>
                  </w:r>
                  <w:r>
                    <w:rPr>
                      <w:rFonts w:hint="eastAsia"/>
                      <w:color w:val="000000"/>
                      <w:sz w:val="21"/>
                      <w:szCs w:val="21"/>
                      <w:highlight w:val="none"/>
                      <w:lang w:val="en-US" w:eastAsia="zh-CN"/>
                    </w:rPr>
                    <w:t>2000</w:t>
                  </w:r>
                  <w:r>
                    <w:rPr>
                      <w:color w:val="000000"/>
                      <w:sz w:val="21"/>
                      <w:szCs w:val="21"/>
                      <w:highlight w:val="none"/>
                    </w:rPr>
                    <w:t>m</w:t>
                  </w:r>
                  <w:r>
                    <w:rPr>
                      <w:color w:val="000000"/>
                      <w:sz w:val="21"/>
                      <w:szCs w:val="21"/>
                      <w:highlight w:val="none"/>
                      <w:vertAlign w:val="superscript"/>
                    </w:rPr>
                    <w:t>3</w:t>
                  </w:r>
                  <w:r>
                    <w:rPr>
                      <w:color w:val="000000"/>
                      <w:sz w:val="21"/>
                      <w:szCs w:val="21"/>
                      <w:highlight w:val="none"/>
                    </w:rPr>
                    <w:t>/h，年工作</w:t>
                  </w:r>
                  <w:r>
                    <w:rPr>
                      <w:rFonts w:hint="eastAsia"/>
                      <w:color w:val="000000"/>
                      <w:sz w:val="21"/>
                      <w:szCs w:val="21"/>
                      <w:highlight w:val="none"/>
                      <w:lang w:val="en-US" w:eastAsia="zh-CN"/>
                    </w:rPr>
                    <w:t>180</w:t>
                  </w:r>
                  <w:r>
                    <w:rPr>
                      <w:color w:val="000000"/>
                      <w:sz w:val="21"/>
                      <w:szCs w:val="21"/>
                      <w:highlight w:val="none"/>
                    </w:rPr>
                    <w:t>d</w:t>
                  </w:r>
                  <w:r>
                    <w:rPr>
                      <w:rFonts w:hint="eastAsia"/>
                      <w:color w:val="000000"/>
                      <w:sz w:val="21"/>
                      <w:szCs w:val="21"/>
                      <w:highlight w:val="none"/>
                      <w:lang w:eastAsia="zh-CN"/>
                    </w:rPr>
                    <w:t>，</w:t>
                  </w:r>
                  <w:r>
                    <w:rPr>
                      <w:rFonts w:hint="eastAsia"/>
                      <w:color w:val="000000"/>
                      <w:sz w:val="21"/>
                      <w:szCs w:val="21"/>
                      <w:highlight w:val="none"/>
                      <w:lang w:val="en-US" w:eastAsia="zh-CN"/>
                    </w:rPr>
                    <w:t>每天工作4h</w:t>
                  </w:r>
                  <w:r>
                    <w:rPr>
                      <w:sz w:val="21"/>
                      <w:szCs w:val="21"/>
                      <w:highlight w:val="none"/>
                    </w:rPr>
                    <w:t>）处理后通过专用烟道引至屋顶排放</w:t>
                  </w:r>
                </w:p>
              </w:tc>
              <w:tc>
                <w:tcPr>
                  <w:tcW w:w="416" w:type="dxa"/>
                  <w:tcBorders>
                    <w:tl2br w:val="nil"/>
                    <w:tr2bl w:val="nil"/>
                  </w:tcBorders>
                  <w:vAlign w:val="center"/>
                </w:tcPr>
                <w:p w14:paraId="28256172">
                  <w:pPr>
                    <w:pStyle w:val="60"/>
                    <w:ind w:firstLine="0" w:firstLineChars="0"/>
                    <w:rPr>
                      <w:sz w:val="21"/>
                      <w:szCs w:val="21"/>
                      <w:highlight w:val="none"/>
                    </w:rPr>
                  </w:pPr>
                  <w:r>
                    <w:rPr>
                      <w:sz w:val="21"/>
                      <w:szCs w:val="21"/>
                      <w:highlight w:val="none"/>
                    </w:rPr>
                    <w:t>是</w:t>
                  </w:r>
                </w:p>
              </w:tc>
              <w:tc>
                <w:tcPr>
                  <w:tcW w:w="718" w:type="dxa"/>
                  <w:tcBorders>
                    <w:tl2br w:val="nil"/>
                    <w:tr2bl w:val="nil"/>
                  </w:tcBorders>
                  <w:vAlign w:val="center"/>
                </w:tcPr>
                <w:p w14:paraId="390BC78E">
                  <w:pPr>
                    <w:pStyle w:val="60"/>
                    <w:ind w:firstLine="0" w:firstLineChars="0"/>
                    <w:rPr>
                      <w:sz w:val="21"/>
                      <w:szCs w:val="21"/>
                      <w:highlight w:val="none"/>
                    </w:rPr>
                  </w:pPr>
                  <w:r>
                    <w:rPr>
                      <w:rFonts w:hint="eastAsia"/>
                      <w:sz w:val="21"/>
                      <w:szCs w:val="21"/>
                      <w:highlight w:val="none"/>
                      <w:lang w:val="en-US" w:eastAsia="zh-CN"/>
                    </w:rPr>
                    <w:t>2</w:t>
                  </w:r>
                  <w:r>
                    <w:rPr>
                      <w:sz w:val="21"/>
                      <w:szCs w:val="21"/>
                      <w:highlight w:val="none"/>
                    </w:rPr>
                    <w:t>000</w:t>
                  </w:r>
                </w:p>
              </w:tc>
              <w:tc>
                <w:tcPr>
                  <w:tcW w:w="615" w:type="dxa"/>
                  <w:tcBorders>
                    <w:tl2br w:val="nil"/>
                    <w:tr2bl w:val="nil"/>
                  </w:tcBorders>
                  <w:vAlign w:val="center"/>
                </w:tcPr>
                <w:p w14:paraId="196D38EB">
                  <w:pPr>
                    <w:pStyle w:val="60"/>
                    <w:ind w:firstLine="0" w:firstLineChars="0"/>
                    <w:rPr>
                      <w:sz w:val="21"/>
                      <w:szCs w:val="21"/>
                      <w:highlight w:val="none"/>
                    </w:rPr>
                  </w:pPr>
                  <w:r>
                    <w:rPr>
                      <w:rFonts w:hint="eastAsia"/>
                      <w:sz w:val="21"/>
                      <w:szCs w:val="21"/>
                      <w:highlight w:val="none"/>
                      <w:lang w:val="en-US" w:eastAsia="zh-CN"/>
                    </w:rPr>
                    <w:t>75</w:t>
                  </w:r>
                  <w:r>
                    <w:rPr>
                      <w:sz w:val="21"/>
                      <w:szCs w:val="21"/>
                      <w:highlight w:val="none"/>
                    </w:rPr>
                    <w:t>%</w:t>
                  </w:r>
                </w:p>
              </w:tc>
              <w:tc>
                <w:tcPr>
                  <w:tcW w:w="1010" w:type="dxa"/>
                  <w:tcBorders>
                    <w:tl2br w:val="nil"/>
                    <w:tr2bl w:val="nil"/>
                  </w:tcBorders>
                  <w:vAlign w:val="center"/>
                </w:tcPr>
                <w:p w14:paraId="1AF2E28A">
                  <w:pPr>
                    <w:pStyle w:val="60"/>
                    <w:rPr>
                      <w:rFonts w:hint="default"/>
                      <w:sz w:val="21"/>
                      <w:szCs w:val="21"/>
                      <w:highlight w:val="none"/>
                    </w:rPr>
                  </w:pPr>
                  <w:r>
                    <w:rPr>
                      <w:sz w:val="21"/>
                      <w:szCs w:val="21"/>
                      <w:highlight w:val="none"/>
                    </w:rPr>
                    <w:t>0.</w:t>
                  </w:r>
                  <w:r>
                    <w:rPr>
                      <w:rFonts w:hint="eastAsia"/>
                      <w:sz w:val="21"/>
                      <w:szCs w:val="21"/>
                      <w:highlight w:val="none"/>
                      <w:lang w:val="en-US" w:eastAsia="zh-CN"/>
                    </w:rPr>
                    <w:t>00081</w:t>
                  </w:r>
                  <w:r>
                    <w:rPr>
                      <w:sz w:val="21"/>
                      <w:szCs w:val="21"/>
                      <w:highlight w:val="none"/>
                    </w:rPr>
                    <w:t>t/a</w:t>
                  </w:r>
                </w:p>
                <w:p w14:paraId="393A78C2">
                  <w:pPr>
                    <w:pStyle w:val="60"/>
                    <w:rPr>
                      <w:rFonts w:hint="default"/>
                      <w:sz w:val="21"/>
                      <w:szCs w:val="21"/>
                      <w:highlight w:val="none"/>
                    </w:rPr>
                  </w:pPr>
                  <w:r>
                    <w:rPr>
                      <w:sz w:val="21"/>
                      <w:szCs w:val="21"/>
                      <w:highlight w:val="none"/>
                    </w:rPr>
                    <w:t>0.00</w:t>
                  </w:r>
                  <w:r>
                    <w:rPr>
                      <w:rFonts w:hint="eastAsia"/>
                      <w:sz w:val="21"/>
                      <w:szCs w:val="21"/>
                      <w:highlight w:val="none"/>
                      <w:lang w:val="en-US" w:eastAsia="zh-CN"/>
                    </w:rPr>
                    <w:t>1125</w:t>
                  </w:r>
                  <w:r>
                    <w:rPr>
                      <w:sz w:val="21"/>
                      <w:szCs w:val="21"/>
                      <w:highlight w:val="none"/>
                    </w:rPr>
                    <w:t>kg/h</w:t>
                  </w:r>
                </w:p>
                <w:p w14:paraId="3BBECB9B">
                  <w:pPr>
                    <w:pStyle w:val="60"/>
                    <w:ind w:firstLine="0" w:firstLineChars="0"/>
                    <w:rPr>
                      <w:sz w:val="21"/>
                      <w:szCs w:val="21"/>
                      <w:highlight w:val="none"/>
                    </w:rPr>
                  </w:pPr>
                  <w:r>
                    <w:rPr>
                      <w:sz w:val="21"/>
                      <w:szCs w:val="21"/>
                      <w:highlight w:val="none"/>
                    </w:rPr>
                    <w:t>0.</w:t>
                  </w:r>
                  <w:r>
                    <w:rPr>
                      <w:rFonts w:hint="eastAsia"/>
                      <w:sz w:val="21"/>
                      <w:szCs w:val="21"/>
                      <w:highlight w:val="none"/>
                      <w:lang w:val="en-US" w:eastAsia="zh-CN"/>
                    </w:rPr>
                    <w:t>56</w:t>
                  </w:r>
                  <w:r>
                    <w:rPr>
                      <w:sz w:val="21"/>
                      <w:szCs w:val="21"/>
                      <w:highlight w:val="none"/>
                    </w:rPr>
                    <w:t>mg/m</w:t>
                  </w:r>
                  <w:r>
                    <w:rPr>
                      <w:sz w:val="21"/>
                      <w:szCs w:val="21"/>
                      <w:highlight w:val="none"/>
                      <w:vertAlign w:val="superscript"/>
                    </w:rPr>
                    <w:t>3</w:t>
                  </w:r>
                </w:p>
              </w:tc>
            </w:tr>
            <w:tr w14:paraId="5AC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52" w:type="dxa"/>
                  <w:vMerge w:val="restart"/>
                  <w:tcBorders>
                    <w:tl2br w:val="nil"/>
                    <w:tr2bl w:val="nil"/>
                  </w:tcBorders>
                  <w:vAlign w:val="center"/>
                </w:tcPr>
                <w:p w14:paraId="3EAB1DF1">
                  <w:pPr>
                    <w:pStyle w:val="60"/>
                    <w:ind w:firstLine="0" w:firstLineChars="0"/>
                    <w:rPr>
                      <w:rFonts w:hint="eastAsia"/>
                      <w:sz w:val="21"/>
                      <w:szCs w:val="21"/>
                      <w:highlight w:val="none"/>
                      <w:lang w:val="en-US" w:eastAsia="zh-CN"/>
                    </w:rPr>
                  </w:pPr>
                  <w:r>
                    <w:rPr>
                      <w:rFonts w:hint="default"/>
                      <w:sz w:val="21"/>
                      <w:szCs w:val="21"/>
                      <w:highlight w:val="none"/>
                    </w:rPr>
                    <w:t>粉煤灰生产线</w:t>
                  </w:r>
                </w:p>
              </w:tc>
              <w:tc>
                <w:tcPr>
                  <w:tcW w:w="416" w:type="dxa"/>
                  <w:vMerge w:val="restart"/>
                  <w:tcBorders>
                    <w:tl2br w:val="nil"/>
                    <w:tr2bl w:val="nil"/>
                  </w:tcBorders>
                  <w:vAlign w:val="center"/>
                </w:tcPr>
                <w:p w14:paraId="1456AEAC">
                  <w:pPr>
                    <w:pStyle w:val="60"/>
                    <w:ind w:firstLine="0" w:firstLineChars="0"/>
                    <w:rPr>
                      <w:rFonts w:hint="eastAsia"/>
                      <w:sz w:val="21"/>
                      <w:szCs w:val="21"/>
                      <w:highlight w:val="none"/>
                      <w:lang w:val="en-US" w:eastAsia="zh-CN"/>
                    </w:rPr>
                  </w:pPr>
                  <w:r>
                    <w:rPr>
                      <w:sz w:val="21"/>
                      <w:szCs w:val="21"/>
                      <w:highlight w:val="none"/>
                    </w:rPr>
                    <w:t>颗粒物</w:t>
                  </w:r>
                </w:p>
              </w:tc>
              <w:tc>
                <w:tcPr>
                  <w:tcW w:w="834" w:type="dxa"/>
                  <w:tcBorders>
                    <w:tl2br w:val="nil"/>
                    <w:tr2bl w:val="nil"/>
                  </w:tcBorders>
                  <w:vAlign w:val="center"/>
                </w:tcPr>
                <w:p w14:paraId="7719350A">
                  <w:pPr>
                    <w:pStyle w:val="60"/>
                    <w:ind w:firstLine="0" w:firstLineChars="0"/>
                    <w:rPr>
                      <w:rFonts w:hint="eastAsia"/>
                      <w:sz w:val="21"/>
                      <w:szCs w:val="21"/>
                      <w:highlight w:val="none"/>
                      <w:lang w:val="en-US" w:eastAsia="zh-CN"/>
                    </w:rPr>
                  </w:pPr>
                  <w:r>
                    <w:rPr>
                      <w:sz w:val="21"/>
                      <w:szCs w:val="21"/>
                      <w:highlight w:val="none"/>
                    </w:rPr>
                    <w:t>有组织DA001</w:t>
                  </w:r>
                </w:p>
              </w:tc>
              <w:tc>
                <w:tcPr>
                  <w:tcW w:w="1100" w:type="dxa"/>
                  <w:tcBorders>
                    <w:tl2br w:val="nil"/>
                    <w:tr2bl w:val="nil"/>
                  </w:tcBorders>
                  <w:vAlign w:val="center"/>
                </w:tcPr>
                <w:p w14:paraId="1507C719">
                  <w:pPr>
                    <w:pStyle w:val="60"/>
                    <w:rPr>
                      <w:rFonts w:hint="default"/>
                      <w:sz w:val="21"/>
                      <w:szCs w:val="21"/>
                      <w:highlight w:val="none"/>
                    </w:rPr>
                  </w:pPr>
                  <w:r>
                    <w:rPr>
                      <w:rFonts w:hint="eastAsia"/>
                      <w:sz w:val="21"/>
                      <w:szCs w:val="21"/>
                      <w:highlight w:val="none"/>
                      <w:lang w:val="en-US" w:eastAsia="zh-CN"/>
                    </w:rPr>
                    <w:t>26.4</w:t>
                  </w:r>
                  <w:r>
                    <w:rPr>
                      <w:sz w:val="21"/>
                      <w:szCs w:val="21"/>
                      <w:highlight w:val="none"/>
                    </w:rPr>
                    <w:t>t/a</w:t>
                  </w:r>
                </w:p>
                <w:p w14:paraId="212AFFDB">
                  <w:pPr>
                    <w:pStyle w:val="60"/>
                    <w:rPr>
                      <w:rFonts w:hint="default"/>
                      <w:sz w:val="21"/>
                      <w:szCs w:val="21"/>
                      <w:highlight w:val="none"/>
                    </w:rPr>
                  </w:pPr>
                  <w:r>
                    <w:rPr>
                      <w:rFonts w:hint="eastAsia"/>
                      <w:sz w:val="21"/>
                      <w:szCs w:val="21"/>
                      <w:highlight w:val="none"/>
                      <w:lang w:val="en-US" w:eastAsia="zh-CN"/>
                    </w:rPr>
                    <w:t>18.33</w:t>
                  </w:r>
                  <w:r>
                    <w:rPr>
                      <w:sz w:val="21"/>
                      <w:szCs w:val="21"/>
                      <w:highlight w:val="none"/>
                    </w:rPr>
                    <w:t>kg/h</w:t>
                  </w:r>
                </w:p>
                <w:p w14:paraId="6ECCACD9">
                  <w:pPr>
                    <w:pStyle w:val="60"/>
                    <w:ind w:firstLine="0" w:firstLineChars="0"/>
                    <w:rPr>
                      <w:rFonts w:hint="eastAsia"/>
                      <w:sz w:val="21"/>
                      <w:szCs w:val="21"/>
                      <w:highlight w:val="none"/>
                      <w:lang w:val="en-US" w:eastAsia="zh-CN"/>
                    </w:rPr>
                  </w:pPr>
                  <w:r>
                    <w:rPr>
                      <w:rFonts w:hint="eastAsia"/>
                      <w:sz w:val="21"/>
                      <w:szCs w:val="21"/>
                      <w:highlight w:val="none"/>
                      <w:lang w:val="en-US" w:eastAsia="zh-CN"/>
                    </w:rPr>
                    <w:t>/</w:t>
                  </w:r>
                </w:p>
              </w:tc>
              <w:tc>
                <w:tcPr>
                  <w:tcW w:w="525" w:type="dxa"/>
                  <w:tcBorders>
                    <w:tl2br w:val="nil"/>
                    <w:tr2bl w:val="nil"/>
                  </w:tcBorders>
                  <w:vAlign w:val="center"/>
                </w:tcPr>
                <w:p w14:paraId="4BBB140B">
                  <w:pPr>
                    <w:pStyle w:val="60"/>
                    <w:ind w:firstLine="0" w:firstLineChars="0"/>
                    <w:rPr>
                      <w:rFonts w:hint="eastAsia"/>
                      <w:sz w:val="21"/>
                      <w:szCs w:val="21"/>
                      <w:highlight w:val="none"/>
                      <w:lang w:val="en-US" w:eastAsia="zh-CN"/>
                    </w:rPr>
                  </w:pPr>
                  <w:r>
                    <w:rPr>
                      <w:sz w:val="21"/>
                      <w:szCs w:val="21"/>
                      <w:highlight w:val="none"/>
                    </w:rPr>
                    <w:t>9</w:t>
                  </w:r>
                  <w:r>
                    <w:rPr>
                      <w:rFonts w:hint="eastAsia"/>
                      <w:sz w:val="21"/>
                      <w:szCs w:val="21"/>
                      <w:highlight w:val="none"/>
                      <w:lang w:val="en-US" w:eastAsia="zh-CN"/>
                    </w:rPr>
                    <w:t>5</w:t>
                  </w:r>
                  <w:r>
                    <w:rPr>
                      <w:sz w:val="21"/>
                      <w:szCs w:val="21"/>
                      <w:highlight w:val="none"/>
                    </w:rPr>
                    <w:t>%</w:t>
                  </w:r>
                </w:p>
              </w:tc>
              <w:tc>
                <w:tcPr>
                  <w:tcW w:w="1650" w:type="dxa"/>
                  <w:tcBorders>
                    <w:tl2br w:val="nil"/>
                    <w:tr2bl w:val="nil"/>
                  </w:tcBorders>
                  <w:vAlign w:val="center"/>
                </w:tcPr>
                <w:p w14:paraId="43EF1E6C">
                  <w:pPr>
                    <w:pStyle w:val="60"/>
                    <w:ind w:firstLine="0" w:firstLineChars="0"/>
                    <w:rPr>
                      <w:rFonts w:hint="eastAsia"/>
                      <w:sz w:val="21"/>
                      <w:szCs w:val="21"/>
                      <w:highlight w:val="none"/>
                    </w:rPr>
                  </w:pPr>
                  <w:r>
                    <w:rPr>
                      <w:sz w:val="21"/>
                      <w:szCs w:val="21"/>
                      <w:highlight w:val="none"/>
                    </w:rPr>
                    <w:t>通过</w:t>
                  </w:r>
                  <w:r>
                    <w:rPr>
                      <w:rFonts w:hint="eastAsia"/>
                      <w:sz w:val="21"/>
                      <w:szCs w:val="21"/>
                      <w:highlight w:val="none"/>
                      <w:lang w:val="en-US" w:eastAsia="zh-CN"/>
                    </w:rPr>
                    <w:t>1</w:t>
                  </w:r>
                  <w:r>
                    <w:rPr>
                      <w:sz w:val="21"/>
                      <w:szCs w:val="21"/>
                      <w:highlight w:val="none"/>
                    </w:rPr>
                    <w:t>台布袋除尘器处理后由1根</w:t>
                  </w:r>
                  <w:r>
                    <w:rPr>
                      <w:rFonts w:hint="eastAsia"/>
                      <w:sz w:val="21"/>
                      <w:szCs w:val="21"/>
                      <w:highlight w:val="none"/>
                      <w:lang w:eastAsia="zh-CN"/>
                    </w:rPr>
                    <w:t>22m</w:t>
                  </w:r>
                  <w:r>
                    <w:rPr>
                      <w:sz w:val="21"/>
                      <w:szCs w:val="21"/>
                      <w:highlight w:val="none"/>
                    </w:rPr>
                    <w:t>高排气筒排放</w:t>
                  </w:r>
                </w:p>
              </w:tc>
              <w:tc>
                <w:tcPr>
                  <w:tcW w:w="416" w:type="dxa"/>
                  <w:tcBorders>
                    <w:tl2br w:val="nil"/>
                    <w:tr2bl w:val="nil"/>
                  </w:tcBorders>
                  <w:vAlign w:val="center"/>
                </w:tcPr>
                <w:p w14:paraId="1483870E">
                  <w:pPr>
                    <w:pStyle w:val="60"/>
                    <w:ind w:firstLine="0" w:firstLineChars="0"/>
                    <w:rPr>
                      <w:rFonts w:hint="eastAsia"/>
                      <w:sz w:val="21"/>
                      <w:szCs w:val="21"/>
                      <w:highlight w:val="none"/>
                      <w:lang w:val="en-US" w:eastAsia="zh-CN"/>
                    </w:rPr>
                  </w:pPr>
                  <w:r>
                    <w:rPr>
                      <w:sz w:val="21"/>
                      <w:szCs w:val="21"/>
                      <w:highlight w:val="none"/>
                    </w:rPr>
                    <w:t>是</w:t>
                  </w:r>
                </w:p>
              </w:tc>
              <w:tc>
                <w:tcPr>
                  <w:tcW w:w="718" w:type="dxa"/>
                  <w:tcBorders>
                    <w:tl2br w:val="nil"/>
                    <w:tr2bl w:val="nil"/>
                  </w:tcBorders>
                  <w:vAlign w:val="center"/>
                </w:tcPr>
                <w:p w14:paraId="65BD4A6F">
                  <w:pPr>
                    <w:pStyle w:val="60"/>
                    <w:ind w:firstLine="0" w:firstLineChars="0"/>
                    <w:rPr>
                      <w:rFonts w:hint="eastAsia"/>
                      <w:sz w:val="21"/>
                      <w:szCs w:val="21"/>
                      <w:highlight w:val="none"/>
                      <w:lang w:val="en-US" w:eastAsia="zh-CN"/>
                    </w:rPr>
                  </w:pPr>
                  <w:r>
                    <w:rPr>
                      <w:rFonts w:hint="eastAsia"/>
                      <w:sz w:val="21"/>
                      <w:szCs w:val="21"/>
                      <w:highlight w:val="none"/>
                      <w:lang w:val="en-US" w:eastAsia="zh-CN"/>
                    </w:rPr>
                    <w:t>1</w:t>
                  </w:r>
                  <w:r>
                    <w:rPr>
                      <w:sz w:val="21"/>
                      <w:szCs w:val="21"/>
                      <w:highlight w:val="none"/>
                    </w:rPr>
                    <w:t>0000m</w:t>
                  </w:r>
                  <w:r>
                    <w:rPr>
                      <w:sz w:val="21"/>
                      <w:szCs w:val="21"/>
                      <w:highlight w:val="none"/>
                      <w:vertAlign w:val="superscript"/>
                    </w:rPr>
                    <w:t>3</w:t>
                  </w:r>
                  <w:r>
                    <w:rPr>
                      <w:sz w:val="21"/>
                      <w:szCs w:val="21"/>
                      <w:highlight w:val="none"/>
                    </w:rPr>
                    <w:t>/h</w:t>
                  </w:r>
                </w:p>
              </w:tc>
              <w:tc>
                <w:tcPr>
                  <w:tcW w:w="615" w:type="dxa"/>
                  <w:tcBorders>
                    <w:tl2br w:val="nil"/>
                    <w:tr2bl w:val="nil"/>
                  </w:tcBorders>
                  <w:vAlign w:val="center"/>
                </w:tcPr>
                <w:p w14:paraId="2F8094D8">
                  <w:pPr>
                    <w:pStyle w:val="60"/>
                    <w:ind w:firstLine="0" w:firstLineChars="0"/>
                    <w:rPr>
                      <w:rFonts w:hint="eastAsia"/>
                      <w:sz w:val="21"/>
                      <w:szCs w:val="21"/>
                      <w:highlight w:val="none"/>
                      <w:lang w:val="en-US" w:eastAsia="zh-CN"/>
                    </w:rPr>
                  </w:pPr>
                  <w:r>
                    <w:rPr>
                      <w:sz w:val="21"/>
                      <w:szCs w:val="21"/>
                      <w:highlight w:val="none"/>
                    </w:rPr>
                    <w:t>95%</w:t>
                  </w:r>
                </w:p>
              </w:tc>
              <w:tc>
                <w:tcPr>
                  <w:tcW w:w="1010" w:type="dxa"/>
                  <w:tcBorders>
                    <w:tl2br w:val="nil"/>
                    <w:tr2bl w:val="nil"/>
                  </w:tcBorders>
                  <w:vAlign w:val="center"/>
                </w:tcPr>
                <w:p w14:paraId="7A8C5B14">
                  <w:pPr>
                    <w:pStyle w:val="60"/>
                    <w:rPr>
                      <w:rFonts w:hint="default"/>
                      <w:sz w:val="21"/>
                      <w:szCs w:val="21"/>
                      <w:highlight w:val="none"/>
                    </w:rPr>
                  </w:pPr>
                  <w:r>
                    <w:rPr>
                      <w:rFonts w:hint="eastAsia"/>
                      <w:sz w:val="21"/>
                      <w:szCs w:val="21"/>
                      <w:highlight w:val="none"/>
                      <w:lang w:val="en-US" w:eastAsia="zh-CN"/>
                    </w:rPr>
                    <w:t>1.25</w:t>
                  </w:r>
                  <w:r>
                    <w:rPr>
                      <w:sz w:val="21"/>
                      <w:szCs w:val="21"/>
                      <w:highlight w:val="none"/>
                    </w:rPr>
                    <w:t>t/a</w:t>
                  </w:r>
                </w:p>
                <w:p w14:paraId="0D3B7E63">
                  <w:pPr>
                    <w:pStyle w:val="60"/>
                    <w:rPr>
                      <w:rFonts w:hint="default"/>
                      <w:sz w:val="21"/>
                      <w:szCs w:val="21"/>
                      <w:highlight w:val="none"/>
                    </w:rPr>
                  </w:pPr>
                  <w:r>
                    <w:rPr>
                      <w:rFonts w:hint="eastAsia"/>
                      <w:sz w:val="21"/>
                      <w:szCs w:val="21"/>
                      <w:highlight w:val="none"/>
                      <w:lang w:val="en-US" w:eastAsia="zh-CN"/>
                    </w:rPr>
                    <w:t>0.87</w:t>
                  </w:r>
                  <w:r>
                    <w:rPr>
                      <w:sz w:val="21"/>
                      <w:szCs w:val="21"/>
                      <w:highlight w:val="none"/>
                    </w:rPr>
                    <w:t>kg/h</w:t>
                  </w:r>
                </w:p>
                <w:p w14:paraId="2B119CE3">
                  <w:pPr>
                    <w:pStyle w:val="60"/>
                    <w:ind w:firstLine="0" w:firstLineChars="0"/>
                    <w:rPr>
                      <w:rFonts w:hint="eastAsia"/>
                      <w:sz w:val="21"/>
                      <w:szCs w:val="21"/>
                      <w:highlight w:val="none"/>
                      <w:lang w:val="en-US" w:eastAsia="zh-CN"/>
                    </w:rPr>
                  </w:pPr>
                  <w:r>
                    <w:rPr>
                      <w:rFonts w:hint="eastAsia"/>
                      <w:sz w:val="21"/>
                      <w:szCs w:val="21"/>
                      <w:highlight w:val="none"/>
                      <w:lang w:val="en-US" w:eastAsia="zh-CN"/>
                    </w:rPr>
                    <w:t>87</w:t>
                  </w:r>
                  <w:r>
                    <w:rPr>
                      <w:sz w:val="21"/>
                      <w:szCs w:val="21"/>
                      <w:highlight w:val="none"/>
                    </w:rPr>
                    <w:t>mg/m</w:t>
                  </w:r>
                  <w:r>
                    <w:rPr>
                      <w:sz w:val="21"/>
                      <w:szCs w:val="21"/>
                      <w:highlight w:val="none"/>
                      <w:vertAlign w:val="superscript"/>
                    </w:rPr>
                    <w:t>3</w:t>
                  </w:r>
                </w:p>
              </w:tc>
            </w:tr>
            <w:tr w14:paraId="5B41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52" w:type="dxa"/>
                  <w:vMerge w:val="continue"/>
                  <w:tcBorders>
                    <w:tl2br w:val="nil"/>
                    <w:tr2bl w:val="nil"/>
                  </w:tcBorders>
                  <w:vAlign w:val="center"/>
                </w:tcPr>
                <w:p w14:paraId="0B14CB64">
                  <w:pPr>
                    <w:pStyle w:val="60"/>
                    <w:ind w:firstLine="0" w:firstLineChars="0"/>
                    <w:rPr>
                      <w:rFonts w:hint="default"/>
                      <w:sz w:val="21"/>
                      <w:szCs w:val="21"/>
                      <w:highlight w:val="none"/>
                    </w:rPr>
                  </w:pPr>
                </w:p>
              </w:tc>
              <w:tc>
                <w:tcPr>
                  <w:tcW w:w="416" w:type="dxa"/>
                  <w:vMerge w:val="continue"/>
                  <w:tcBorders>
                    <w:tl2br w:val="nil"/>
                    <w:tr2bl w:val="nil"/>
                  </w:tcBorders>
                  <w:vAlign w:val="center"/>
                </w:tcPr>
                <w:p w14:paraId="7EAFD78F">
                  <w:pPr>
                    <w:pStyle w:val="60"/>
                    <w:ind w:firstLine="0" w:firstLineChars="0"/>
                    <w:rPr>
                      <w:sz w:val="21"/>
                      <w:szCs w:val="21"/>
                      <w:highlight w:val="none"/>
                    </w:rPr>
                  </w:pPr>
                </w:p>
              </w:tc>
              <w:tc>
                <w:tcPr>
                  <w:tcW w:w="834" w:type="dxa"/>
                  <w:tcBorders>
                    <w:tl2br w:val="nil"/>
                    <w:tr2bl w:val="nil"/>
                  </w:tcBorders>
                  <w:vAlign w:val="center"/>
                </w:tcPr>
                <w:p w14:paraId="01107B98">
                  <w:pPr>
                    <w:pStyle w:val="60"/>
                    <w:ind w:firstLine="0" w:firstLineChars="0"/>
                    <w:rPr>
                      <w:sz w:val="21"/>
                      <w:szCs w:val="21"/>
                      <w:highlight w:val="none"/>
                    </w:rPr>
                  </w:pPr>
                  <w:r>
                    <w:rPr>
                      <w:sz w:val="21"/>
                      <w:szCs w:val="21"/>
                      <w:highlight w:val="none"/>
                    </w:rPr>
                    <w:t>无组织</w:t>
                  </w:r>
                </w:p>
              </w:tc>
              <w:tc>
                <w:tcPr>
                  <w:tcW w:w="1100" w:type="dxa"/>
                  <w:tcBorders>
                    <w:tl2br w:val="nil"/>
                    <w:tr2bl w:val="nil"/>
                  </w:tcBorders>
                  <w:vAlign w:val="center"/>
                </w:tcPr>
                <w:p w14:paraId="2C811915">
                  <w:pPr>
                    <w:pStyle w:val="60"/>
                    <w:rPr>
                      <w:rFonts w:hint="default"/>
                      <w:sz w:val="21"/>
                      <w:szCs w:val="21"/>
                      <w:highlight w:val="none"/>
                    </w:rPr>
                  </w:pPr>
                  <w:r>
                    <w:rPr>
                      <w:rFonts w:hint="eastAsia"/>
                      <w:sz w:val="21"/>
                      <w:szCs w:val="21"/>
                      <w:highlight w:val="none"/>
                      <w:lang w:val="en-US" w:eastAsia="zh-CN"/>
                    </w:rPr>
                    <w:t>1.32</w:t>
                  </w:r>
                  <w:r>
                    <w:rPr>
                      <w:sz w:val="21"/>
                      <w:szCs w:val="21"/>
                      <w:highlight w:val="none"/>
                    </w:rPr>
                    <w:t>t/a</w:t>
                  </w:r>
                </w:p>
                <w:p w14:paraId="43B1104E">
                  <w:pPr>
                    <w:pStyle w:val="60"/>
                    <w:ind w:firstLine="0" w:firstLineChars="0"/>
                    <w:rPr>
                      <w:rFonts w:hint="eastAsia"/>
                      <w:sz w:val="21"/>
                      <w:szCs w:val="21"/>
                      <w:highlight w:val="none"/>
                      <w:lang w:val="en-US" w:eastAsia="zh-CN"/>
                    </w:rPr>
                  </w:pPr>
                  <w:r>
                    <w:rPr>
                      <w:sz w:val="21"/>
                      <w:szCs w:val="21"/>
                      <w:highlight w:val="none"/>
                    </w:rPr>
                    <w:t>0.</w:t>
                  </w:r>
                  <w:r>
                    <w:rPr>
                      <w:rFonts w:hint="eastAsia"/>
                      <w:sz w:val="21"/>
                      <w:szCs w:val="21"/>
                      <w:highlight w:val="none"/>
                      <w:lang w:val="en-US" w:eastAsia="zh-CN"/>
                    </w:rPr>
                    <w:t>92</w:t>
                  </w:r>
                  <w:r>
                    <w:rPr>
                      <w:sz w:val="21"/>
                      <w:szCs w:val="21"/>
                      <w:highlight w:val="none"/>
                    </w:rPr>
                    <w:t>kg/h</w:t>
                  </w:r>
                </w:p>
              </w:tc>
              <w:tc>
                <w:tcPr>
                  <w:tcW w:w="525" w:type="dxa"/>
                  <w:tcBorders>
                    <w:tl2br w:val="nil"/>
                    <w:tr2bl w:val="nil"/>
                  </w:tcBorders>
                  <w:vAlign w:val="center"/>
                </w:tcPr>
                <w:p w14:paraId="103F5A6B">
                  <w:pPr>
                    <w:pStyle w:val="60"/>
                    <w:ind w:firstLine="0" w:firstLineChars="0"/>
                    <w:rPr>
                      <w:sz w:val="21"/>
                      <w:szCs w:val="21"/>
                      <w:highlight w:val="none"/>
                    </w:rPr>
                  </w:pPr>
                  <w:r>
                    <w:rPr>
                      <w:sz w:val="21"/>
                      <w:szCs w:val="21"/>
                      <w:highlight w:val="none"/>
                    </w:rPr>
                    <w:t>/</w:t>
                  </w:r>
                </w:p>
              </w:tc>
              <w:tc>
                <w:tcPr>
                  <w:tcW w:w="1650" w:type="dxa"/>
                  <w:tcBorders>
                    <w:tl2br w:val="nil"/>
                    <w:tr2bl w:val="nil"/>
                  </w:tcBorders>
                  <w:vAlign w:val="center"/>
                </w:tcPr>
                <w:p w14:paraId="45ACD890">
                  <w:pPr>
                    <w:pStyle w:val="60"/>
                    <w:ind w:firstLine="0" w:firstLineChars="0"/>
                    <w:rPr>
                      <w:sz w:val="21"/>
                      <w:szCs w:val="21"/>
                      <w:highlight w:val="none"/>
                    </w:rPr>
                  </w:pPr>
                  <w:r>
                    <w:rPr>
                      <w:sz w:val="21"/>
                      <w:szCs w:val="21"/>
                      <w:highlight w:val="none"/>
                    </w:rPr>
                    <w:t>生产线在密闭厂房内进行，厂房内定期洒水降尘、清扫</w:t>
                  </w:r>
                </w:p>
              </w:tc>
              <w:tc>
                <w:tcPr>
                  <w:tcW w:w="416" w:type="dxa"/>
                  <w:tcBorders>
                    <w:tl2br w:val="nil"/>
                    <w:tr2bl w:val="nil"/>
                  </w:tcBorders>
                  <w:vAlign w:val="center"/>
                </w:tcPr>
                <w:p w14:paraId="04E9513D">
                  <w:pPr>
                    <w:pStyle w:val="60"/>
                    <w:ind w:firstLine="0" w:firstLineChars="0"/>
                    <w:rPr>
                      <w:sz w:val="21"/>
                      <w:szCs w:val="21"/>
                      <w:highlight w:val="none"/>
                    </w:rPr>
                  </w:pPr>
                  <w:r>
                    <w:rPr>
                      <w:sz w:val="21"/>
                      <w:szCs w:val="21"/>
                      <w:highlight w:val="none"/>
                    </w:rPr>
                    <w:t>是</w:t>
                  </w:r>
                </w:p>
              </w:tc>
              <w:tc>
                <w:tcPr>
                  <w:tcW w:w="718" w:type="dxa"/>
                  <w:tcBorders>
                    <w:tl2br w:val="nil"/>
                    <w:tr2bl w:val="nil"/>
                  </w:tcBorders>
                  <w:vAlign w:val="center"/>
                </w:tcPr>
                <w:p w14:paraId="3ADA5C86">
                  <w:pPr>
                    <w:pStyle w:val="60"/>
                    <w:ind w:firstLine="0" w:firstLineChars="0"/>
                    <w:rPr>
                      <w:rFonts w:hint="eastAsia"/>
                      <w:sz w:val="21"/>
                      <w:szCs w:val="21"/>
                      <w:highlight w:val="none"/>
                      <w:lang w:val="en-US" w:eastAsia="zh-CN"/>
                    </w:rPr>
                  </w:pPr>
                  <w:r>
                    <w:rPr>
                      <w:sz w:val="21"/>
                      <w:szCs w:val="21"/>
                      <w:highlight w:val="none"/>
                    </w:rPr>
                    <w:t>/</w:t>
                  </w:r>
                </w:p>
              </w:tc>
              <w:tc>
                <w:tcPr>
                  <w:tcW w:w="615" w:type="dxa"/>
                  <w:tcBorders>
                    <w:tl2br w:val="nil"/>
                    <w:tr2bl w:val="nil"/>
                  </w:tcBorders>
                  <w:vAlign w:val="center"/>
                </w:tcPr>
                <w:p w14:paraId="0EA20198">
                  <w:pPr>
                    <w:pStyle w:val="60"/>
                    <w:ind w:firstLine="0" w:firstLineChars="0"/>
                    <w:rPr>
                      <w:sz w:val="21"/>
                      <w:szCs w:val="21"/>
                      <w:highlight w:val="none"/>
                    </w:rPr>
                  </w:pPr>
                  <w:r>
                    <w:rPr>
                      <w:rFonts w:hint="eastAsia"/>
                      <w:sz w:val="21"/>
                      <w:szCs w:val="21"/>
                      <w:highlight w:val="none"/>
                      <w:lang w:val="en-US" w:eastAsia="zh-CN"/>
                    </w:rPr>
                    <w:t>/</w:t>
                  </w:r>
                </w:p>
              </w:tc>
              <w:tc>
                <w:tcPr>
                  <w:tcW w:w="1010" w:type="dxa"/>
                  <w:tcBorders>
                    <w:tl2br w:val="nil"/>
                    <w:tr2bl w:val="nil"/>
                  </w:tcBorders>
                  <w:vAlign w:val="center"/>
                </w:tcPr>
                <w:p w14:paraId="6BCBFF72">
                  <w:pPr>
                    <w:pStyle w:val="60"/>
                    <w:rPr>
                      <w:rFonts w:hint="default"/>
                      <w:sz w:val="21"/>
                      <w:szCs w:val="21"/>
                      <w:highlight w:val="none"/>
                    </w:rPr>
                  </w:pPr>
                  <w:r>
                    <w:rPr>
                      <w:rFonts w:hint="eastAsia"/>
                      <w:sz w:val="21"/>
                      <w:szCs w:val="21"/>
                      <w:highlight w:val="none"/>
                      <w:lang w:val="en-US" w:eastAsia="zh-CN"/>
                    </w:rPr>
                    <w:t>1.32</w:t>
                  </w:r>
                  <w:r>
                    <w:rPr>
                      <w:sz w:val="21"/>
                      <w:szCs w:val="21"/>
                      <w:highlight w:val="none"/>
                    </w:rPr>
                    <w:t>t/a</w:t>
                  </w:r>
                </w:p>
                <w:p w14:paraId="18EEB81D">
                  <w:pPr>
                    <w:pStyle w:val="60"/>
                    <w:ind w:firstLine="0" w:firstLineChars="0"/>
                    <w:rPr>
                      <w:rFonts w:hint="eastAsia"/>
                      <w:sz w:val="21"/>
                      <w:szCs w:val="21"/>
                      <w:highlight w:val="none"/>
                      <w:lang w:val="en-US" w:eastAsia="zh-CN"/>
                    </w:rPr>
                  </w:pPr>
                  <w:r>
                    <w:rPr>
                      <w:rFonts w:hint="eastAsia"/>
                      <w:sz w:val="21"/>
                      <w:szCs w:val="21"/>
                      <w:highlight w:val="none"/>
                      <w:lang w:val="en-US" w:eastAsia="zh-CN"/>
                    </w:rPr>
                    <w:t>0.92</w:t>
                  </w:r>
                  <w:r>
                    <w:rPr>
                      <w:sz w:val="21"/>
                      <w:szCs w:val="21"/>
                      <w:highlight w:val="none"/>
                    </w:rPr>
                    <w:t>kg/h</w:t>
                  </w:r>
                </w:p>
              </w:tc>
            </w:tr>
          </w:tbl>
          <w:p w14:paraId="76353812">
            <w:pPr>
              <w:ind w:firstLine="480"/>
              <w:textAlignment w:val="center"/>
              <w:rPr>
                <w:color w:val="000000"/>
                <w:szCs w:val="22"/>
                <w:highlight w:val="none"/>
              </w:rPr>
            </w:pPr>
            <w:r>
              <w:rPr>
                <w:rFonts w:hint="eastAsia"/>
                <w:color w:val="000000"/>
                <w:szCs w:val="22"/>
                <w:highlight w:val="none"/>
              </w:rPr>
              <w:t>由上表可知，采取相应治理措施后，本</w:t>
            </w:r>
            <w:r>
              <w:rPr>
                <w:rFonts w:hint="eastAsia"/>
                <w:highlight w:val="none"/>
              </w:rPr>
              <w:t>项目生产过程产生的颗粒物满足《大气污染物综合排放标准》</w:t>
            </w:r>
            <w:r>
              <w:rPr>
                <w:rFonts w:hint="eastAsia"/>
                <w:highlight w:val="none"/>
                <w:lang w:eastAsia="zh-CN"/>
              </w:rPr>
              <w:t>（</w:t>
            </w:r>
            <w:r>
              <w:rPr>
                <w:rFonts w:hint="eastAsia"/>
                <w:highlight w:val="none"/>
              </w:rPr>
              <w:t>GB16297-1996</w:t>
            </w:r>
            <w:r>
              <w:rPr>
                <w:rFonts w:hint="eastAsia"/>
                <w:highlight w:val="none"/>
                <w:lang w:eastAsia="zh-CN"/>
              </w:rPr>
              <w:t>）</w:t>
            </w:r>
            <w:r>
              <w:rPr>
                <w:rFonts w:hint="eastAsia"/>
                <w:highlight w:val="none"/>
              </w:rPr>
              <w:t>表2新污染源大气污染物排放限值</w:t>
            </w:r>
            <w:r>
              <w:rPr>
                <w:rFonts w:hint="eastAsia"/>
                <w:color w:val="000000"/>
                <w:szCs w:val="22"/>
                <w:highlight w:val="none"/>
              </w:rPr>
              <w:t>。</w:t>
            </w:r>
          </w:p>
          <w:p w14:paraId="72B500EC">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lang w:val="en-GB"/>
              </w:rPr>
            </w:pPr>
            <w:r>
              <w:rPr>
                <w:rFonts w:hint="eastAsia"/>
                <w:sz w:val="21"/>
                <w:szCs w:val="21"/>
                <w:highlight w:val="none"/>
                <w:lang w:val="en-GB"/>
              </w:rPr>
              <w:t>表</w:t>
            </w:r>
            <w:r>
              <w:rPr>
                <w:rFonts w:hint="eastAsia" w:ascii="Times New Roman" w:hAnsi="Times New Roman" w:eastAsia="Times New Roman" w:cs="Times New Roman"/>
                <w:b/>
                <w:bCs/>
                <w:kern w:val="2"/>
                <w:sz w:val="21"/>
                <w:szCs w:val="21"/>
                <w:highlight w:val="none"/>
                <w:lang w:val="en-US" w:eastAsia="zh-CN" w:bidi="ar-SA"/>
              </w:rPr>
              <w:t>4-</w:t>
            </w:r>
            <w:r>
              <w:rPr>
                <w:rFonts w:hint="eastAsia" w:ascii="Times New Roman" w:hAnsi="Times New Roman" w:cs="Times New Roman"/>
                <w:b/>
                <w:bCs/>
                <w:kern w:val="2"/>
                <w:sz w:val="21"/>
                <w:szCs w:val="21"/>
                <w:highlight w:val="none"/>
                <w:lang w:val="en-US" w:eastAsia="zh-CN" w:bidi="ar-SA"/>
              </w:rPr>
              <w:t>3</w:t>
            </w:r>
            <w:r>
              <w:rPr>
                <w:sz w:val="21"/>
                <w:szCs w:val="21"/>
                <w:highlight w:val="none"/>
                <w:lang w:val="en-GB"/>
              </w:rPr>
              <w:t xml:space="preserve">  </w:t>
            </w:r>
            <w:r>
              <w:rPr>
                <w:rFonts w:hint="eastAsia"/>
                <w:sz w:val="21"/>
                <w:szCs w:val="21"/>
                <w:highlight w:val="none"/>
                <w:lang w:val="en-GB"/>
              </w:rPr>
              <w:t>排放口基本情况</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964"/>
              <w:gridCol w:w="803"/>
              <w:gridCol w:w="1083"/>
              <w:gridCol w:w="610"/>
              <w:gridCol w:w="677"/>
              <w:gridCol w:w="678"/>
              <w:gridCol w:w="678"/>
              <w:gridCol w:w="1566"/>
            </w:tblGrid>
            <w:tr w14:paraId="732B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15" w:type="dxa"/>
                  <w:gridSpan w:val="2"/>
                  <w:vAlign w:val="center"/>
                </w:tcPr>
                <w:p w14:paraId="24F15DA4">
                  <w:pPr>
                    <w:pStyle w:val="55"/>
                    <w:rPr>
                      <w:highlight w:val="none"/>
                      <w:lang w:val="en-GB"/>
                    </w:rPr>
                  </w:pPr>
                  <w:r>
                    <w:rPr>
                      <w:highlight w:val="none"/>
                      <w:lang w:val="en-GB"/>
                    </w:rPr>
                    <w:t>污染源</w:t>
                  </w:r>
                </w:p>
              </w:tc>
              <w:tc>
                <w:tcPr>
                  <w:tcW w:w="875" w:type="dxa"/>
                  <w:vMerge w:val="restart"/>
                  <w:vAlign w:val="center"/>
                </w:tcPr>
                <w:p w14:paraId="5AA21273">
                  <w:pPr>
                    <w:pStyle w:val="55"/>
                    <w:rPr>
                      <w:highlight w:val="none"/>
                      <w:lang w:val="en-GB"/>
                    </w:rPr>
                  </w:pPr>
                  <w:r>
                    <w:rPr>
                      <w:highlight w:val="none"/>
                      <w:lang w:val="en-GB"/>
                    </w:rPr>
                    <w:t>污染物</w:t>
                  </w:r>
                </w:p>
              </w:tc>
              <w:tc>
                <w:tcPr>
                  <w:tcW w:w="1189" w:type="dxa"/>
                  <w:vMerge w:val="restart"/>
                  <w:vAlign w:val="center"/>
                </w:tcPr>
                <w:p w14:paraId="16AAB69F">
                  <w:pPr>
                    <w:pStyle w:val="55"/>
                    <w:rPr>
                      <w:highlight w:val="none"/>
                      <w:lang w:val="en-GB"/>
                    </w:rPr>
                  </w:pPr>
                  <w:r>
                    <w:rPr>
                      <w:highlight w:val="none"/>
                      <w:lang w:val="en-GB"/>
                    </w:rPr>
                    <w:t>排放</w:t>
                  </w:r>
                </w:p>
                <w:p w14:paraId="2E2CBA5E">
                  <w:pPr>
                    <w:pStyle w:val="55"/>
                    <w:rPr>
                      <w:highlight w:val="none"/>
                      <w:lang w:val="en-GB"/>
                    </w:rPr>
                  </w:pPr>
                  <w:r>
                    <w:rPr>
                      <w:highlight w:val="none"/>
                      <w:lang w:val="en-GB"/>
                    </w:rPr>
                    <w:t>标准</w:t>
                  </w:r>
                </w:p>
              </w:tc>
              <w:tc>
                <w:tcPr>
                  <w:tcW w:w="2125" w:type="dxa"/>
                  <w:gridSpan w:val="3"/>
                  <w:vAlign w:val="center"/>
                </w:tcPr>
                <w:p w14:paraId="69AF3B9A">
                  <w:pPr>
                    <w:pStyle w:val="55"/>
                    <w:rPr>
                      <w:highlight w:val="none"/>
                      <w:lang w:val="en-GB"/>
                    </w:rPr>
                  </w:pPr>
                  <w:r>
                    <w:rPr>
                      <w:highlight w:val="none"/>
                      <w:lang w:val="en-GB"/>
                    </w:rPr>
                    <w:t>排气筒参数</w:t>
                  </w:r>
                </w:p>
              </w:tc>
              <w:tc>
                <w:tcPr>
                  <w:tcW w:w="734" w:type="dxa"/>
                  <w:vMerge w:val="restart"/>
                  <w:vAlign w:val="center"/>
                </w:tcPr>
                <w:p w14:paraId="7FF3F7EF">
                  <w:pPr>
                    <w:pStyle w:val="55"/>
                    <w:rPr>
                      <w:highlight w:val="none"/>
                      <w:lang w:val="en-GB"/>
                    </w:rPr>
                  </w:pPr>
                  <w:r>
                    <w:rPr>
                      <w:highlight w:val="none"/>
                      <w:lang w:val="en-GB"/>
                    </w:rPr>
                    <w:t>排气筒类型</w:t>
                  </w:r>
                </w:p>
              </w:tc>
              <w:tc>
                <w:tcPr>
                  <w:tcW w:w="1732" w:type="dxa"/>
                  <w:vMerge w:val="restart"/>
                  <w:vAlign w:val="center"/>
                </w:tcPr>
                <w:p w14:paraId="4D7B76F9">
                  <w:pPr>
                    <w:pStyle w:val="55"/>
                    <w:rPr>
                      <w:highlight w:val="none"/>
                      <w:lang w:val="en-GB"/>
                    </w:rPr>
                  </w:pPr>
                  <w:r>
                    <w:rPr>
                      <w:highlight w:val="none"/>
                      <w:lang w:val="en-GB"/>
                    </w:rPr>
                    <w:t>排气筒坐标</w:t>
                  </w:r>
                </w:p>
                <w:p w14:paraId="148FFEB5">
                  <w:pPr>
                    <w:pStyle w:val="55"/>
                    <w:rPr>
                      <w:highlight w:val="none"/>
                      <w:lang w:val="en-GB"/>
                    </w:rPr>
                  </w:pPr>
                  <w:r>
                    <w:rPr>
                      <w:highlight w:val="none"/>
                      <w:lang w:val="en-GB"/>
                    </w:rPr>
                    <w:t>（</w:t>
                  </w:r>
                  <w:r>
                    <w:rPr>
                      <w:highlight w:val="none"/>
                    </w:rPr>
                    <w:t>°</w:t>
                  </w:r>
                  <w:r>
                    <w:rPr>
                      <w:highlight w:val="none"/>
                      <w:lang w:val="en-GB"/>
                    </w:rPr>
                    <w:t>）</w:t>
                  </w:r>
                </w:p>
              </w:tc>
            </w:tr>
            <w:tr w14:paraId="5ED1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Align w:val="center"/>
                </w:tcPr>
                <w:p w14:paraId="5A8A3A8A">
                  <w:pPr>
                    <w:pStyle w:val="55"/>
                    <w:rPr>
                      <w:highlight w:val="none"/>
                      <w:lang w:val="en-GB"/>
                    </w:rPr>
                  </w:pPr>
                  <w:r>
                    <w:rPr>
                      <w:highlight w:val="none"/>
                      <w:lang w:val="en-GB"/>
                    </w:rPr>
                    <w:t>名称</w:t>
                  </w:r>
                </w:p>
              </w:tc>
              <w:tc>
                <w:tcPr>
                  <w:tcW w:w="1056" w:type="dxa"/>
                  <w:vAlign w:val="center"/>
                </w:tcPr>
                <w:p w14:paraId="03F4AB36">
                  <w:pPr>
                    <w:pStyle w:val="55"/>
                    <w:rPr>
                      <w:highlight w:val="none"/>
                      <w:lang w:val="en-GB"/>
                    </w:rPr>
                  </w:pPr>
                  <w:r>
                    <w:rPr>
                      <w:highlight w:val="none"/>
                      <w:lang w:val="en-GB"/>
                    </w:rPr>
                    <w:t>编号</w:t>
                  </w:r>
                </w:p>
              </w:tc>
              <w:tc>
                <w:tcPr>
                  <w:tcW w:w="875" w:type="dxa"/>
                  <w:vMerge w:val="continue"/>
                  <w:vAlign w:val="center"/>
                </w:tcPr>
                <w:p w14:paraId="5C58D962">
                  <w:pPr>
                    <w:pStyle w:val="55"/>
                    <w:rPr>
                      <w:highlight w:val="none"/>
                      <w:lang w:val="en-GB"/>
                    </w:rPr>
                  </w:pPr>
                </w:p>
              </w:tc>
              <w:tc>
                <w:tcPr>
                  <w:tcW w:w="1189" w:type="dxa"/>
                  <w:vMerge w:val="continue"/>
                  <w:vAlign w:val="center"/>
                </w:tcPr>
                <w:p w14:paraId="5798693B">
                  <w:pPr>
                    <w:pStyle w:val="55"/>
                    <w:rPr>
                      <w:highlight w:val="none"/>
                      <w:lang w:val="en-GB"/>
                    </w:rPr>
                  </w:pPr>
                </w:p>
              </w:tc>
              <w:tc>
                <w:tcPr>
                  <w:tcW w:w="658" w:type="dxa"/>
                  <w:vAlign w:val="center"/>
                </w:tcPr>
                <w:p w14:paraId="0D09D41A">
                  <w:pPr>
                    <w:pStyle w:val="55"/>
                    <w:rPr>
                      <w:highlight w:val="none"/>
                      <w:lang w:val="en-GB"/>
                    </w:rPr>
                  </w:pPr>
                  <w:r>
                    <w:rPr>
                      <w:highlight w:val="none"/>
                      <w:lang w:val="en-GB"/>
                    </w:rPr>
                    <w:t>高</w:t>
                  </w:r>
                </w:p>
              </w:tc>
              <w:tc>
                <w:tcPr>
                  <w:tcW w:w="733" w:type="dxa"/>
                  <w:vAlign w:val="center"/>
                </w:tcPr>
                <w:p w14:paraId="13FF7902">
                  <w:pPr>
                    <w:pStyle w:val="55"/>
                    <w:rPr>
                      <w:highlight w:val="none"/>
                      <w:lang w:val="en-GB"/>
                    </w:rPr>
                  </w:pPr>
                  <w:r>
                    <w:rPr>
                      <w:highlight w:val="none"/>
                      <w:lang w:val="en-GB"/>
                    </w:rPr>
                    <w:t>温度</w:t>
                  </w:r>
                </w:p>
              </w:tc>
              <w:tc>
                <w:tcPr>
                  <w:tcW w:w="734" w:type="dxa"/>
                  <w:vAlign w:val="center"/>
                </w:tcPr>
                <w:p w14:paraId="4478872F">
                  <w:pPr>
                    <w:pStyle w:val="55"/>
                    <w:rPr>
                      <w:rFonts w:hint="eastAsia" w:eastAsia="宋体"/>
                      <w:highlight w:val="none"/>
                      <w:lang w:val="en-US" w:eastAsia="zh-CN"/>
                    </w:rPr>
                  </w:pPr>
                  <w:r>
                    <w:rPr>
                      <w:rFonts w:hint="eastAsia"/>
                      <w:highlight w:val="none"/>
                      <w:lang w:val="en-US" w:eastAsia="zh-CN"/>
                    </w:rPr>
                    <w:t>内径</w:t>
                  </w:r>
                </w:p>
              </w:tc>
              <w:tc>
                <w:tcPr>
                  <w:tcW w:w="734" w:type="dxa"/>
                  <w:vMerge w:val="continue"/>
                  <w:vAlign w:val="center"/>
                </w:tcPr>
                <w:p w14:paraId="465D5607">
                  <w:pPr>
                    <w:pStyle w:val="55"/>
                    <w:rPr>
                      <w:highlight w:val="none"/>
                      <w:lang w:val="en-GB"/>
                    </w:rPr>
                  </w:pPr>
                </w:p>
              </w:tc>
              <w:tc>
                <w:tcPr>
                  <w:tcW w:w="1732" w:type="dxa"/>
                  <w:vMerge w:val="continue"/>
                  <w:vAlign w:val="center"/>
                </w:tcPr>
                <w:p w14:paraId="761A0224">
                  <w:pPr>
                    <w:pStyle w:val="55"/>
                    <w:rPr>
                      <w:highlight w:val="none"/>
                      <w:lang w:val="en-GB"/>
                    </w:rPr>
                  </w:pPr>
                </w:p>
              </w:tc>
            </w:tr>
            <w:tr w14:paraId="2589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59" w:type="dxa"/>
                  <w:vAlign w:val="center"/>
                </w:tcPr>
                <w:p w14:paraId="18E610AE">
                  <w:pPr>
                    <w:pStyle w:val="55"/>
                    <w:rPr>
                      <w:highlight w:val="none"/>
                    </w:rPr>
                  </w:pPr>
                  <w:r>
                    <w:rPr>
                      <w:rFonts w:hint="eastAsia"/>
                      <w:highlight w:val="none"/>
                    </w:rPr>
                    <w:t>粉煤灰生产线</w:t>
                  </w:r>
                </w:p>
              </w:tc>
              <w:tc>
                <w:tcPr>
                  <w:tcW w:w="1056" w:type="dxa"/>
                  <w:vAlign w:val="center"/>
                </w:tcPr>
                <w:p w14:paraId="4D1AA440">
                  <w:pPr>
                    <w:pStyle w:val="55"/>
                    <w:rPr>
                      <w:highlight w:val="none"/>
                    </w:rPr>
                  </w:pPr>
                  <w:r>
                    <w:rPr>
                      <w:rFonts w:hint="eastAsia"/>
                      <w:highlight w:val="none"/>
                    </w:rPr>
                    <w:t>DA001</w:t>
                  </w:r>
                </w:p>
              </w:tc>
              <w:tc>
                <w:tcPr>
                  <w:tcW w:w="875" w:type="dxa"/>
                  <w:vAlign w:val="center"/>
                </w:tcPr>
                <w:p w14:paraId="121BF834">
                  <w:pPr>
                    <w:pStyle w:val="55"/>
                    <w:rPr>
                      <w:highlight w:val="none"/>
                    </w:rPr>
                  </w:pPr>
                  <w:r>
                    <w:rPr>
                      <w:rFonts w:hint="eastAsia"/>
                      <w:highlight w:val="none"/>
                    </w:rPr>
                    <w:t>颗粒物</w:t>
                  </w:r>
                </w:p>
              </w:tc>
              <w:tc>
                <w:tcPr>
                  <w:tcW w:w="1189" w:type="dxa"/>
                  <w:vAlign w:val="center"/>
                </w:tcPr>
                <w:p w14:paraId="560DAB45">
                  <w:pPr>
                    <w:pStyle w:val="55"/>
                    <w:rPr>
                      <w:highlight w:val="none"/>
                    </w:rPr>
                  </w:pPr>
                  <w:r>
                    <w:rPr>
                      <w:rFonts w:hint="eastAsia"/>
                      <w:highlight w:val="none"/>
                    </w:rPr>
                    <w:t>120mg/m</w:t>
                  </w:r>
                  <w:r>
                    <w:rPr>
                      <w:rFonts w:hint="eastAsia"/>
                      <w:highlight w:val="none"/>
                      <w:vertAlign w:val="superscript"/>
                    </w:rPr>
                    <w:t>3</w:t>
                  </w:r>
                </w:p>
              </w:tc>
              <w:tc>
                <w:tcPr>
                  <w:tcW w:w="658" w:type="dxa"/>
                  <w:vAlign w:val="center"/>
                </w:tcPr>
                <w:p w14:paraId="657061BD">
                  <w:pPr>
                    <w:pStyle w:val="55"/>
                    <w:rPr>
                      <w:rFonts w:hint="eastAsia" w:eastAsia="宋体"/>
                      <w:highlight w:val="none"/>
                      <w:lang w:eastAsia="zh-CN"/>
                    </w:rPr>
                  </w:pPr>
                  <w:r>
                    <w:rPr>
                      <w:rFonts w:hint="eastAsia"/>
                      <w:highlight w:val="none"/>
                      <w:lang w:eastAsia="zh-CN"/>
                    </w:rPr>
                    <w:t>22m</w:t>
                  </w:r>
                </w:p>
              </w:tc>
              <w:tc>
                <w:tcPr>
                  <w:tcW w:w="733" w:type="dxa"/>
                  <w:vAlign w:val="center"/>
                </w:tcPr>
                <w:p w14:paraId="11900403">
                  <w:pPr>
                    <w:pStyle w:val="55"/>
                    <w:rPr>
                      <w:highlight w:val="none"/>
                    </w:rPr>
                  </w:pPr>
                  <w:r>
                    <w:rPr>
                      <w:rFonts w:hint="eastAsia"/>
                      <w:highlight w:val="none"/>
                    </w:rPr>
                    <w:t>常温</w:t>
                  </w:r>
                </w:p>
              </w:tc>
              <w:tc>
                <w:tcPr>
                  <w:tcW w:w="734" w:type="dxa"/>
                  <w:vAlign w:val="center"/>
                </w:tcPr>
                <w:p w14:paraId="1637A2EF">
                  <w:pPr>
                    <w:pStyle w:val="55"/>
                    <w:rPr>
                      <w:rFonts w:hint="default" w:eastAsia="宋体"/>
                      <w:highlight w:val="none"/>
                      <w:lang w:val="en-US" w:eastAsia="zh-CN"/>
                    </w:rPr>
                  </w:pPr>
                  <w:r>
                    <w:rPr>
                      <w:rFonts w:hint="eastAsia"/>
                      <w:highlight w:val="none"/>
                      <w:lang w:val="en-US" w:eastAsia="zh-CN"/>
                    </w:rPr>
                    <w:t>0.3m</w:t>
                  </w:r>
                </w:p>
              </w:tc>
              <w:tc>
                <w:tcPr>
                  <w:tcW w:w="734" w:type="dxa"/>
                  <w:vAlign w:val="center"/>
                </w:tcPr>
                <w:p w14:paraId="5CF69B63">
                  <w:pPr>
                    <w:pStyle w:val="55"/>
                    <w:rPr>
                      <w:highlight w:val="none"/>
                    </w:rPr>
                  </w:pPr>
                  <w:r>
                    <w:rPr>
                      <w:rFonts w:hint="eastAsia"/>
                      <w:highlight w:val="none"/>
                    </w:rPr>
                    <w:t>一般排放口</w:t>
                  </w:r>
                </w:p>
              </w:tc>
              <w:tc>
                <w:tcPr>
                  <w:tcW w:w="1732" w:type="dxa"/>
                  <w:shd w:val="clear" w:color="auto" w:fill="auto"/>
                  <w:vAlign w:val="center"/>
                </w:tcPr>
                <w:p w14:paraId="7BB41CEC">
                  <w:pPr>
                    <w:pStyle w:val="55"/>
                    <w:jc w:val="center"/>
                    <w:rPr>
                      <w:color w:val="auto"/>
                      <w:highlight w:val="none"/>
                      <w:lang w:val="en-GB"/>
                    </w:rPr>
                  </w:pPr>
                  <w:r>
                    <w:rPr>
                      <w:rFonts w:hint="eastAsia"/>
                      <w:color w:val="auto"/>
                      <w:highlight w:val="none"/>
                    </w:rPr>
                    <w:t>N</w:t>
                  </w:r>
                  <w:r>
                    <w:rPr>
                      <w:rFonts w:hint="eastAsia"/>
                      <w:color w:val="auto"/>
                      <w:highlight w:val="none"/>
                      <w:lang w:val="en-GB"/>
                    </w:rPr>
                    <w:t>38°49'53.186"</w:t>
                  </w:r>
                </w:p>
                <w:p w14:paraId="47C68285">
                  <w:pPr>
                    <w:pStyle w:val="55"/>
                    <w:jc w:val="center"/>
                    <w:rPr>
                      <w:highlight w:val="none"/>
                      <w:lang w:val="en-GB"/>
                    </w:rPr>
                  </w:pPr>
                  <w:r>
                    <w:rPr>
                      <w:rFonts w:hint="eastAsia"/>
                      <w:color w:val="auto"/>
                      <w:highlight w:val="none"/>
                    </w:rPr>
                    <w:t>E</w:t>
                  </w:r>
                  <w:r>
                    <w:rPr>
                      <w:rFonts w:hint="eastAsia"/>
                      <w:color w:val="auto"/>
                      <w:highlight w:val="none"/>
                      <w:lang w:val="en-GB"/>
                    </w:rPr>
                    <w:t>88°15'37.115"</w:t>
                  </w:r>
                </w:p>
              </w:tc>
            </w:tr>
          </w:tbl>
          <w:p w14:paraId="12D79609">
            <w:pPr>
              <w:ind w:firstLine="480"/>
              <w:textAlignment w:val="center"/>
              <w:rPr>
                <w:color w:val="000000"/>
                <w:szCs w:val="22"/>
                <w:highlight w:val="none"/>
              </w:rPr>
            </w:pPr>
            <w:r>
              <w:rPr>
                <w:rFonts w:hint="eastAsia"/>
                <w:color w:val="000000"/>
                <w:szCs w:val="22"/>
                <w:highlight w:val="none"/>
              </w:rPr>
              <w:t>根据《排污口规范化整治技术要求（试行）》与《大气污染治理工程技术导则》（HJ2000-2010）中技术要求，颗粒物收集措施设置要求如下：</w:t>
            </w:r>
          </w:p>
          <w:p w14:paraId="73A3960E">
            <w:pPr>
              <w:ind w:firstLine="480"/>
              <w:textAlignment w:val="center"/>
              <w:rPr>
                <w:color w:val="000000"/>
                <w:szCs w:val="22"/>
                <w:highlight w:val="none"/>
              </w:rPr>
            </w:pPr>
            <w:r>
              <w:rPr>
                <w:rFonts w:hint="eastAsia"/>
                <w:color w:val="000000"/>
                <w:szCs w:val="22"/>
                <w:highlight w:val="none"/>
              </w:rPr>
              <w:t>（1）集气（尘）罩应尽可能包围或靠近污染源，将污染物限制在较小空间内，减少吸气范围，便于捕集和控制污染物；</w:t>
            </w:r>
          </w:p>
          <w:p w14:paraId="65C09F87">
            <w:pPr>
              <w:ind w:firstLine="480"/>
              <w:textAlignment w:val="center"/>
              <w:rPr>
                <w:color w:val="000000"/>
                <w:szCs w:val="22"/>
                <w:highlight w:val="none"/>
              </w:rPr>
            </w:pPr>
            <w:r>
              <w:rPr>
                <w:rFonts w:hint="eastAsia"/>
                <w:color w:val="000000"/>
                <w:szCs w:val="22"/>
                <w:highlight w:val="none"/>
              </w:rPr>
              <w:t>（2）集气罩的吸气方向尽可能与污染气流运动方向一致，利用污染气流的动能，避免或减弱集尘罩周围紊流、横向气流等对抽吸气气流的干扰与影响；</w:t>
            </w:r>
          </w:p>
          <w:p w14:paraId="29B4F568">
            <w:pPr>
              <w:ind w:firstLine="480"/>
              <w:textAlignment w:val="center"/>
              <w:rPr>
                <w:color w:val="000000"/>
                <w:szCs w:val="22"/>
                <w:highlight w:val="none"/>
              </w:rPr>
            </w:pPr>
            <w:r>
              <w:rPr>
                <w:rFonts w:hint="eastAsia"/>
                <w:color w:val="000000"/>
                <w:szCs w:val="22"/>
                <w:highlight w:val="none"/>
              </w:rPr>
              <w:t>（3）集气（尘）罩收集的污染气体应通过管道输送至净化装置，管道布置应结合生产工艺，力求简单、紧凑、管线短、占地空间少；</w:t>
            </w:r>
          </w:p>
          <w:p w14:paraId="1E3757D2">
            <w:pPr>
              <w:ind w:firstLine="480"/>
              <w:textAlignment w:val="center"/>
              <w:rPr>
                <w:color w:val="000000"/>
                <w:szCs w:val="22"/>
                <w:highlight w:val="none"/>
              </w:rPr>
            </w:pPr>
            <w:r>
              <w:rPr>
                <w:rFonts w:hint="eastAsia"/>
                <w:color w:val="000000"/>
                <w:szCs w:val="22"/>
                <w:highlight w:val="none"/>
              </w:rPr>
              <w:t>（4）管道布置宜明装，并沿墙或柱集中成行或列，平行敷设。管道与梁、柱、墙、设备及管道之间应按相关规范设计间隔距离，满足施工、运行、检修和热胀冷缩的要求，管道敷设应便于放气和防止积灰；</w:t>
            </w:r>
          </w:p>
          <w:p w14:paraId="4C30E03D">
            <w:pPr>
              <w:ind w:firstLine="480"/>
              <w:textAlignment w:val="center"/>
              <w:rPr>
                <w:color w:val="000000"/>
                <w:szCs w:val="22"/>
                <w:highlight w:val="none"/>
              </w:rPr>
            </w:pPr>
            <w:r>
              <w:rPr>
                <w:rFonts w:hint="eastAsia"/>
                <w:color w:val="000000"/>
                <w:szCs w:val="22"/>
                <w:highlight w:val="none"/>
              </w:rPr>
              <w:t>（5）管道系统设计成负压，管道气流流速需符合《工业建筑供暖通风与空气调节设计规范》</w:t>
            </w:r>
            <w:r>
              <w:rPr>
                <w:rFonts w:hint="eastAsia"/>
                <w:color w:val="000000"/>
                <w:szCs w:val="22"/>
                <w:highlight w:val="none"/>
                <w:lang w:eastAsia="zh-CN"/>
              </w:rPr>
              <w:t>（</w:t>
            </w:r>
            <w:r>
              <w:rPr>
                <w:rFonts w:hint="eastAsia"/>
                <w:color w:val="000000"/>
                <w:szCs w:val="22"/>
                <w:highlight w:val="none"/>
              </w:rPr>
              <w:t>GB 50019-2015</w:t>
            </w:r>
            <w:r>
              <w:rPr>
                <w:rFonts w:hint="eastAsia"/>
                <w:color w:val="000000"/>
                <w:szCs w:val="22"/>
                <w:highlight w:val="none"/>
                <w:lang w:eastAsia="zh-CN"/>
              </w:rPr>
              <w:t>）</w:t>
            </w:r>
            <w:r>
              <w:rPr>
                <w:rFonts w:hint="eastAsia"/>
                <w:color w:val="000000"/>
                <w:szCs w:val="22"/>
                <w:highlight w:val="none"/>
              </w:rPr>
              <w:t>的规定，防止积尘，对易产生积尘的管道，设置清灰孔或采取清灰措施；</w:t>
            </w:r>
          </w:p>
          <w:p w14:paraId="0A1772E8">
            <w:pPr>
              <w:ind w:firstLine="480"/>
              <w:textAlignment w:val="center"/>
              <w:rPr>
                <w:color w:val="000000"/>
                <w:szCs w:val="22"/>
                <w:highlight w:val="none"/>
              </w:rPr>
            </w:pPr>
            <w:r>
              <w:rPr>
                <w:rFonts w:hint="eastAsia"/>
                <w:color w:val="000000"/>
                <w:szCs w:val="22"/>
                <w:highlight w:val="none"/>
              </w:rPr>
              <w:t>（6）排气筒设置便于采样、监测的永久采样口。采样口的设置应符合《固定污染源废气监测技术规范》（HJ/T397-2007）要求：采样口设置在距弯头、阀门、变径下游方向不小于6倍直径，和距上述部件上游方向不小于3倍直径处。</w:t>
            </w:r>
          </w:p>
          <w:p w14:paraId="409FF397">
            <w:pPr>
              <w:keepNext/>
              <w:keepLines/>
              <w:ind w:firstLine="0" w:firstLineChars="0"/>
              <w:textAlignment w:val="center"/>
              <w:outlineLvl w:val="1"/>
              <w:rPr>
                <w:b/>
                <w:bCs/>
                <w:color w:val="000000"/>
                <w:szCs w:val="32"/>
                <w:highlight w:val="none"/>
              </w:rPr>
            </w:pPr>
            <w:r>
              <w:rPr>
                <w:rFonts w:hint="eastAsia"/>
                <w:b/>
                <w:bCs/>
                <w:color w:val="000000"/>
                <w:szCs w:val="32"/>
                <w:highlight w:val="none"/>
              </w:rPr>
              <w:t>1.3非正常工况污染源强分析</w:t>
            </w:r>
          </w:p>
          <w:p w14:paraId="5350C25E">
            <w:pPr>
              <w:ind w:firstLine="480"/>
              <w:textAlignment w:val="center"/>
              <w:rPr>
                <w:color w:val="000000"/>
                <w:szCs w:val="22"/>
                <w:highlight w:val="none"/>
              </w:rPr>
            </w:pPr>
            <w:r>
              <w:rPr>
                <w:rFonts w:hint="eastAsia"/>
                <w:color w:val="000000"/>
                <w:szCs w:val="22"/>
                <w:highlight w:val="none"/>
              </w:rPr>
              <w:t>本项目营运期非正常工况主要包括：①主要产污设备开停机时，环保设施未运转或者未达到应有处理效率等状况，废气未得到有效处理；②废气集气系统故障，停机检修，废气未得到有效收集，反而呈无组织排放；③废气处理设施处理系统故障，废气未得到有效处理（处理效率0%）而由排气筒直接排放。</w:t>
            </w:r>
          </w:p>
          <w:p w14:paraId="5C3D7A2C">
            <w:pPr>
              <w:ind w:firstLine="480"/>
              <w:textAlignment w:val="center"/>
              <w:rPr>
                <w:color w:val="000000"/>
                <w:szCs w:val="22"/>
                <w:highlight w:val="none"/>
              </w:rPr>
            </w:pPr>
            <w:r>
              <w:rPr>
                <w:rFonts w:hint="eastAsia"/>
                <w:color w:val="000000"/>
                <w:szCs w:val="22"/>
                <w:highlight w:val="none"/>
              </w:rPr>
              <w:t>本次评价从最不利环境影响分析非正常工况下污染物的排放情况，如下表所示。</w:t>
            </w:r>
          </w:p>
          <w:p w14:paraId="3D84C4A6">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rPr>
            </w:pPr>
            <w:r>
              <w:rPr>
                <w:rFonts w:hint="eastAsia"/>
                <w:sz w:val="21"/>
                <w:szCs w:val="21"/>
                <w:highlight w:val="none"/>
              </w:rPr>
              <w:t>表</w:t>
            </w:r>
            <w:r>
              <w:rPr>
                <w:rFonts w:hint="default" w:ascii="Times New Roman" w:hAnsi="Times New Roman" w:eastAsia="Times New Roman" w:cs="Times New Roman"/>
                <w:b/>
                <w:bCs/>
                <w:kern w:val="2"/>
                <w:sz w:val="21"/>
                <w:szCs w:val="21"/>
                <w:highlight w:val="none"/>
                <w:lang w:val="en-US" w:eastAsia="zh-CN" w:bidi="ar-SA"/>
              </w:rPr>
              <w:t>4-</w:t>
            </w:r>
            <w:r>
              <w:rPr>
                <w:rFonts w:hint="eastAsia" w:ascii="Times New Roman" w:hAnsi="Times New Roman" w:cs="Times New Roman"/>
                <w:b/>
                <w:bCs/>
                <w:kern w:val="2"/>
                <w:sz w:val="21"/>
                <w:szCs w:val="21"/>
                <w:highlight w:val="none"/>
                <w:lang w:val="en-US" w:eastAsia="zh-CN" w:bidi="ar-SA"/>
              </w:rPr>
              <w:t>4</w:t>
            </w:r>
            <w:r>
              <w:rPr>
                <w:rFonts w:hint="eastAsia"/>
                <w:sz w:val="21"/>
                <w:szCs w:val="21"/>
                <w:highlight w:val="none"/>
              </w:rPr>
              <w:t xml:space="preserve"> </w:t>
            </w:r>
            <w:r>
              <w:rPr>
                <w:sz w:val="21"/>
                <w:szCs w:val="21"/>
                <w:highlight w:val="none"/>
              </w:rPr>
              <w:t xml:space="preserve"> </w:t>
            </w:r>
            <w:r>
              <w:rPr>
                <w:rFonts w:hint="eastAsia"/>
                <w:sz w:val="21"/>
                <w:szCs w:val="21"/>
                <w:highlight w:val="none"/>
              </w:rPr>
              <w:t>非正常工况大气污染物排放一览表</w:t>
            </w:r>
          </w:p>
          <w:tbl>
            <w:tblPr>
              <w:tblStyle w:val="30"/>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4"/>
              <w:gridCol w:w="690"/>
              <w:gridCol w:w="1200"/>
              <w:gridCol w:w="1065"/>
              <w:gridCol w:w="990"/>
              <w:gridCol w:w="1647"/>
            </w:tblGrid>
            <w:tr w14:paraId="6775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4" w:type="dxa"/>
                  <w:vAlign w:val="center"/>
                </w:tcPr>
                <w:p w14:paraId="2978E5E7">
                  <w:pPr>
                    <w:pStyle w:val="55"/>
                    <w:rPr>
                      <w:highlight w:val="none"/>
                      <w:lang w:val="en-GB"/>
                    </w:rPr>
                  </w:pPr>
                  <w:r>
                    <w:rPr>
                      <w:rFonts w:hint="eastAsia"/>
                      <w:highlight w:val="none"/>
                      <w:lang w:val="en-GB"/>
                    </w:rPr>
                    <w:t>污染源</w:t>
                  </w:r>
                </w:p>
              </w:tc>
              <w:tc>
                <w:tcPr>
                  <w:tcW w:w="690" w:type="dxa"/>
                  <w:vAlign w:val="center"/>
                </w:tcPr>
                <w:p w14:paraId="1E18A157">
                  <w:pPr>
                    <w:pStyle w:val="55"/>
                    <w:rPr>
                      <w:highlight w:val="none"/>
                      <w:lang w:val="en-GB"/>
                    </w:rPr>
                  </w:pPr>
                  <w:r>
                    <w:rPr>
                      <w:rFonts w:hint="eastAsia"/>
                      <w:highlight w:val="none"/>
                      <w:lang w:val="en-GB"/>
                    </w:rPr>
                    <w:t>频次</w:t>
                  </w:r>
                </w:p>
              </w:tc>
              <w:tc>
                <w:tcPr>
                  <w:tcW w:w="1200" w:type="dxa"/>
                  <w:vAlign w:val="center"/>
                </w:tcPr>
                <w:p w14:paraId="31F258F4">
                  <w:pPr>
                    <w:pStyle w:val="55"/>
                    <w:rPr>
                      <w:highlight w:val="none"/>
                      <w:lang w:val="en-GB"/>
                    </w:rPr>
                  </w:pPr>
                  <w:r>
                    <w:rPr>
                      <w:rFonts w:hint="eastAsia"/>
                      <w:highlight w:val="none"/>
                      <w:lang w:val="en-GB"/>
                    </w:rPr>
                    <w:t>排放浓度</w:t>
                  </w:r>
                </w:p>
                <w:p w14:paraId="394B5405">
                  <w:pPr>
                    <w:pStyle w:val="55"/>
                    <w:rPr>
                      <w:highlight w:val="none"/>
                      <w:lang w:val="en-GB"/>
                    </w:rPr>
                  </w:pPr>
                  <w:r>
                    <w:rPr>
                      <w:rFonts w:hint="eastAsia"/>
                      <w:highlight w:val="none"/>
                      <w:lang w:val="en-GB" w:eastAsia="zh-CN"/>
                    </w:rPr>
                    <w:t>(</w:t>
                  </w:r>
                  <w:r>
                    <w:rPr>
                      <w:highlight w:val="none"/>
                    </w:rPr>
                    <w:t>mg/m</w:t>
                  </w:r>
                  <w:r>
                    <w:rPr>
                      <w:highlight w:val="none"/>
                      <w:vertAlign w:val="superscript"/>
                    </w:rPr>
                    <w:t>3</w:t>
                  </w:r>
                  <w:r>
                    <w:rPr>
                      <w:rFonts w:hint="eastAsia"/>
                      <w:highlight w:val="none"/>
                      <w:lang w:val="en-GB" w:eastAsia="zh-CN"/>
                    </w:rPr>
                    <w:t>)</w:t>
                  </w:r>
                </w:p>
              </w:tc>
              <w:tc>
                <w:tcPr>
                  <w:tcW w:w="1065" w:type="dxa"/>
                  <w:vAlign w:val="center"/>
                </w:tcPr>
                <w:p w14:paraId="19E31351">
                  <w:pPr>
                    <w:pStyle w:val="55"/>
                    <w:rPr>
                      <w:highlight w:val="none"/>
                      <w:lang w:val="en-GB"/>
                    </w:rPr>
                  </w:pPr>
                  <w:r>
                    <w:rPr>
                      <w:rFonts w:hint="eastAsia"/>
                      <w:highlight w:val="none"/>
                      <w:lang w:val="en-GB"/>
                    </w:rPr>
                    <w:t>持续时间</w:t>
                  </w:r>
                </w:p>
                <w:p w14:paraId="3768D98D">
                  <w:pPr>
                    <w:pStyle w:val="55"/>
                    <w:rPr>
                      <w:highlight w:val="none"/>
                      <w:lang w:val="en-GB"/>
                    </w:rPr>
                  </w:pPr>
                  <w:r>
                    <w:rPr>
                      <w:rFonts w:hint="eastAsia"/>
                      <w:highlight w:val="none"/>
                      <w:lang w:val="en-GB" w:eastAsia="zh-CN"/>
                    </w:rPr>
                    <w:t>(</w:t>
                  </w:r>
                  <w:r>
                    <w:rPr>
                      <w:rFonts w:hint="eastAsia"/>
                      <w:highlight w:val="none"/>
                      <w:lang w:val="en-GB"/>
                    </w:rPr>
                    <w:t>h</w:t>
                  </w:r>
                  <w:r>
                    <w:rPr>
                      <w:rFonts w:hint="eastAsia"/>
                      <w:highlight w:val="none"/>
                      <w:lang w:val="en-GB" w:eastAsia="zh-CN"/>
                    </w:rPr>
                    <w:t>)</w:t>
                  </w:r>
                </w:p>
              </w:tc>
              <w:tc>
                <w:tcPr>
                  <w:tcW w:w="990" w:type="dxa"/>
                  <w:vAlign w:val="center"/>
                </w:tcPr>
                <w:p w14:paraId="4C6EC8DE">
                  <w:pPr>
                    <w:pStyle w:val="55"/>
                    <w:rPr>
                      <w:highlight w:val="none"/>
                      <w:lang w:val="en-GB"/>
                    </w:rPr>
                  </w:pPr>
                  <w:r>
                    <w:rPr>
                      <w:rFonts w:hint="eastAsia"/>
                      <w:highlight w:val="none"/>
                      <w:lang w:val="en-GB"/>
                    </w:rPr>
                    <w:t>排放量</w:t>
                  </w:r>
                </w:p>
                <w:p w14:paraId="511CD3E6">
                  <w:pPr>
                    <w:pStyle w:val="55"/>
                    <w:rPr>
                      <w:highlight w:val="none"/>
                      <w:lang w:val="en-GB"/>
                    </w:rPr>
                  </w:pPr>
                  <w:r>
                    <w:rPr>
                      <w:rFonts w:hint="eastAsia"/>
                      <w:highlight w:val="none"/>
                      <w:lang w:val="en-GB" w:eastAsia="zh-CN"/>
                    </w:rPr>
                    <w:t>(</w:t>
                  </w:r>
                  <w:r>
                    <w:rPr>
                      <w:rFonts w:hint="eastAsia"/>
                      <w:highlight w:val="none"/>
                      <w:lang w:val="en-US" w:eastAsia="zh-CN"/>
                    </w:rPr>
                    <w:t>kg</w:t>
                  </w:r>
                  <w:r>
                    <w:rPr>
                      <w:rFonts w:hint="eastAsia"/>
                      <w:highlight w:val="none"/>
                      <w:lang w:val="en-GB" w:eastAsia="zh-CN"/>
                    </w:rPr>
                    <w:t>)</w:t>
                  </w:r>
                </w:p>
              </w:tc>
              <w:tc>
                <w:tcPr>
                  <w:tcW w:w="1647" w:type="dxa"/>
                  <w:vAlign w:val="center"/>
                </w:tcPr>
                <w:p w14:paraId="59FA03EE">
                  <w:pPr>
                    <w:pStyle w:val="55"/>
                    <w:rPr>
                      <w:highlight w:val="none"/>
                      <w:lang w:val="en-GB"/>
                    </w:rPr>
                  </w:pPr>
                  <w:r>
                    <w:rPr>
                      <w:rFonts w:hint="eastAsia"/>
                      <w:highlight w:val="none"/>
                      <w:lang w:val="en-GB"/>
                    </w:rPr>
                    <w:t>措施</w:t>
                  </w:r>
                </w:p>
              </w:tc>
            </w:tr>
            <w:tr w14:paraId="2BD4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424" w:type="dxa"/>
                  <w:vAlign w:val="center"/>
                </w:tcPr>
                <w:p w14:paraId="2A31D857">
                  <w:pPr>
                    <w:pStyle w:val="55"/>
                    <w:rPr>
                      <w:highlight w:val="none"/>
                      <w:lang w:val="en-GB"/>
                    </w:rPr>
                  </w:pPr>
                  <w:r>
                    <w:rPr>
                      <w:rFonts w:hint="eastAsia"/>
                      <w:highlight w:val="none"/>
                      <w:lang w:val="en-US" w:eastAsia="zh-CN"/>
                    </w:rPr>
                    <w:t>粉煤灰</w:t>
                  </w:r>
                  <w:r>
                    <w:rPr>
                      <w:rFonts w:hint="eastAsia"/>
                      <w:highlight w:val="none"/>
                    </w:rPr>
                    <w:t>生产线</w:t>
                  </w:r>
                </w:p>
              </w:tc>
              <w:tc>
                <w:tcPr>
                  <w:tcW w:w="690" w:type="dxa"/>
                  <w:vAlign w:val="center"/>
                </w:tcPr>
                <w:p w14:paraId="55453CCC">
                  <w:pPr>
                    <w:pStyle w:val="55"/>
                    <w:rPr>
                      <w:highlight w:val="none"/>
                      <w:lang w:val="en-GB"/>
                    </w:rPr>
                  </w:pPr>
                  <w:r>
                    <w:rPr>
                      <w:rFonts w:hint="eastAsia"/>
                      <w:highlight w:val="none"/>
                      <w:lang w:val="en-GB"/>
                    </w:rPr>
                    <w:t>1次/</w:t>
                  </w:r>
                  <w:r>
                    <w:rPr>
                      <w:highlight w:val="none"/>
                      <w:lang w:val="en-GB"/>
                    </w:rPr>
                    <w:t>a</w:t>
                  </w:r>
                </w:p>
              </w:tc>
              <w:tc>
                <w:tcPr>
                  <w:tcW w:w="1200" w:type="dxa"/>
                  <w:vAlign w:val="center"/>
                </w:tcPr>
                <w:p w14:paraId="5C3A4AFB">
                  <w:pPr>
                    <w:pStyle w:val="55"/>
                    <w:rPr>
                      <w:rFonts w:hint="default" w:eastAsia="宋体"/>
                      <w:highlight w:val="none"/>
                      <w:lang w:val="en-US" w:eastAsia="zh-CN"/>
                    </w:rPr>
                  </w:pPr>
                  <w:r>
                    <w:rPr>
                      <w:rFonts w:hint="eastAsia"/>
                      <w:sz w:val="21"/>
                      <w:szCs w:val="21"/>
                      <w:highlight w:val="none"/>
                      <w:lang w:val="en-US" w:eastAsia="zh-CN"/>
                    </w:rPr>
                    <w:t>/</w:t>
                  </w:r>
                </w:p>
              </w:tc>
              <w:tc>
                <w:tcPr>
                  <w:tcW w:w="1065" w:type="dxa"/>
                  <w:vAlign w:val="center"/>
                </w:tcPr>
                <w:p w14:paraId="435B561A">
                  <w:pPr>
                    <w:pStyle w:val="55"/>
                    <w:rPr>
                      <w:highlight w:val="none"/>
                      <w:lang w:val="en-GB"/>
                    </w:rPr>
                  </w:pPr>
                  <w:r>
                    <w:rPr>
                      <w:rFonts w:hint="eastAsia"/>
                      <w:highlight w:val="none"/>
                    </w:rPr>
                    <w:t>1</w:t>
                  </w:r>
                </w:p>
              </w:tc>
              <w:tc>
                <w:tcPr>
                  <w:tcW w:w="990" w:type="dxa"/>
                  <w:vAlign w:val="center"/>
                </w:tcPr>
                <w:p w14:paraId="2202F1E6">
                  <w:pPr>
                    <w:pStyle w:val="55"/>
                    <w:rPr>
                      <w:rFonts w:hint="default"/>
                      <w:highlight w:val="none"/>
                      <w:lang w:val="en-US"/>
                    </w:rPr>
                  </w:pPr>
                  <w:r>
                    <w:rPr>
                      <w:rFonts w:hint="eastAsia"/>
                      <w:highlight w:val="none"/>
                      <w:lang w:val="en-US" w:eastAsia="zh-CN"/>
                    </w:rPr>
                    <w:t>18.33</w:t>
                  </w:r>
                </w:p>
              </w:tc>
              <w:tc>
                <w:tcPr>
                  <w:tcW w:w="1647" w:type="dxa"/>
                  <w:vAlign w:val="center"/>
                </w:tcPr>
                <w:p w14:paraId="6606BED9">
                  <w:pPr>
                    <w:pStyle w:val="55"/>
                    <w:rPr>
                      <w:highlight w:val="none"/>
                      <w:lang w:val="en-GB"/>
                    </w:rPr>
                  </w:pPr>
                  <w:r>
                    <w:rPr>
                      <w:rFonts w:hint="eastAsia"/>
                      <w:highlight w:val="none"/>
                    </w:rPr>
                    <w:t>当发现环保设施出现故障时，立即停机进行检查和维修</w:t>
                  </w:r>
                  <w:r>
                    <w:rPr>
                      <w:rFonts w:hint="eastAsia"/>
                      <w:highlight w:val="none"/>
                      <w:lang w:val="en-GB"/>
                    </w:rPr>
                    <w:t>，等设备正常运行后开始生产。</w:t>
                  </w:r>
                </w:p>
              </w:tc>
            </w:tr>
          </w:tbl>
          <w:p w14:paraId="72249FD7">
            <w:pPr>
              <w:ind w:firstLine="480"/>
              <w:textAlignment w:val="center"/>
              <w:rPr>
                <w:color w:val="000000"/>
                <w:szCs w:val="22"/>
                <w:highlight w:val="none"/>
              </w:rPr>
            </w:pPr>
            <w:r>
              <w:rPr>
                <w:rFonts w:hint="eastAsia"/>
                <w:color w:val="000000"/>
                <w:szCs w:val="22"/>
                <w:highlight w:val="none"/>
              </w:rPr>
              <w:t>本次评价建议项目应按上述措施严格落实，杜绝非正常工况下废气排放情况的发生；当发生非正常工况下废气排放情况时，应立即停机检查和维修，确保废气得到有效收集和处理。</w:t>
            </w:r>
          </w:p>
          <w:p w14:paraId="021501AE">
            <w:pPr>
              <w:ind w:firstLine="482"/>
              <w:rPr>
                <w:rFonts w:hint="eastAsia" w:ascii="宋体" w:hAnsi="宋体" w:cs="宋体"/>
                <w:b/>
                <w:color w:val="000000"/>
                <w:highlight w:val="none"/>
              </w:rPr>
            </w:pPr>
            <w:r>
              <w:rPr>
                <w:rFonts w:hint="eastAsia"/>
                <w:b/>
                <w:highlight w:val="none"/>
              </w:rPr>
              <w:t>废气治理措施</w:t>
            </w:r>
            <w:r>
              <w:rPr>
                <w:rFonts w:hint="eastAsia" w:ascii="宋体" w:hAnsi="宋体" w:cs="宋体"/>
                <w:b/>
                <w:color w:val="000000"/>
                <w:highlight w:val="none"/>
              </w:rPr>
              <w:t>可行性分析</w:t>
            </w:r>
          </w:p>
          <w:p w14:paraId="7AEE2C60">
            <w:pPr>
              <w:ind w:firstLine="480"/>
              <w:rPr>
                <w:color w:val="auto"/>
                <w:highlight w:val="none"/>
              </w:rPr>
            </w:pPr>
            <w:r>
              <w:rPr>
                <w:rFonts w:hint="eastAsia" w:hAnsi="宋体"/>
                <w:color w:val="auto"/>
                <w:highlight w:val="none"/>
              </w:rPr>
              <w:t>根据《</w:t>
            </w:r>
            <w:r>
              <w:rPr>
                <w:color w:val="auto"/>
                <w:highlight w:val="none"/>
              </w:rPr>
              <w:t xml:space="preserve">排污许可证申请与核发技术规范 </w:t>
            </w:r>
            <w:r>
              <w:rPr>
                <w:rFonts w:hint="eastAsia"/>
                <w:color w:val="auto"/>
                <w:highlight w:val="none"/>
              </w:rPr>
              <w:t>总则</w:t>
            </w:r>
            <w:r>
              <w:rPr>
                <w:rFonts w:hint="eastAsia" w:hAnsi="宋体"/>
                <w:color w:val="auto"/>
                <w:highlight w:val="none"/>
              </w:rPr>
              <w:t>》（</w:t>
            </w:r>
            <w:r>
              <w:rPr>
                <w:color w:val="auto"/>
                <w:highlight w:val="none"/>
              </w:rPr>
              <w:t>HJ</w:t>
            </w:r>
            <w:r>
              <w:rPr>
                <w:rFonts w:hint="eastAsia"/>
                <w:color w:val="auto"/>
                <w:highlight w:val="none"/>
              </w:rPr>
              <w:t>942</w:t>
            </w:r>
            <w:r>
              <w:rPr>
                <w:color w:val="auto"/>
                <w:highlight w:val="none"/>
              </w:rPr>
              <w:t>-20</w:t>
            </w:r>
            <w:r>
              <w:rPr>
                <w:rFonts w:hint="eastAsia"/>
                <w:color w:val="auto"/>
                <w:highlight w:val="none"/>
              </w:rPr>
              <w:t>18</w:t>
            </w:r>
            <w:r>
              <w:rPr>
                <w:rFonts w:hint="eastAsia" w:hAnsi="宋体"/>
                <w:color w:val="auto"/>
                <w:highlight w:val="none"/>
              </w:rPr>
              <w:t>）</w:t>
            </w:r>
            <w:r>
              <w:rPr>
                <w:color w:val="auto"/>
                <w:highlight w:val="none"/>
              </w:rPr>
              <w:t>可行技术要求</w:t>
            </w:r>
            <w:r>
              <w:rPr>
                <w:rFonts w:hint="eastAsia"/>
                <w:color w:val="auto"/>
                <w:highlight w:val="none"/>
              </w:rPr>
              <w:t>。本项目</w:t>
            </w:r>
            <w:r>
              <w:rPr>
                <w:rFonts w:hint="eastAsia"/>
                <w:color w:val="auto"/>
                <w:highlight w:val="none"/>
                <w:lang w:val="en-US" w:eastAsia="zh-CN"/>
              </w:rPr>
              <w:t>粉煤灰</w:t>
            </w:r>
            <w:r>
              <w:rPr>
                <w:rFonts w:hint="eastAsia"/>
                <w:color w:val="auto"/>
                <w:highlight w:val="none"/>
              </w:rPr>
              <w:t>生产线球磨分选分级过程产生的颗粒物经密闭收集（收集效率按99%计）后通过</w:t>
            </w:r>
            <w:r>
              <w:rPr>
                <w:rFonts w:hint="eastAsia"/>
                <w:color w:val="auto"/>
                <w:highlight w:val="none"/>
                <w:lang w:val="en-US" w:eastAsia="zh-CN"/>
              </w:rPr>
              <w:t>1</w:t>
            </w:r>
            <w:r>
              <w:rPr>
                <w:rFonts w:hint="eastAsia"/>
                <w:color w:val="auto"/>
                <w:highlight w:val="none"/>
              </w:rPr>
              <w:t>台布袋除尘器处理后由1根</w:t>
            </w:r>
            <w:r>
              <w:rPr>
                <w:rFonts w:hint="eastAsia"/>
                <w:color w:val="auto"/>
                <w:highlight w:val="none"/>
                <w:lang w:eastAsia="zh-CN"/>
              </w:rPr>
              <w:t>22m</w:t>
            </w:r>
            <w:r>
              <w:rPr>
                <w:rFonts w:hint="eastAsia"/>
                <w:color w:val="auto"/>
                <w:highlight w:val="none"/>
              </w:rPr>
              <w:t>高排气筒排放。</w:t>
            </w:r>
            <w:r>
              <w:rPr>
                <w:rFonts w:hint="eastAsia"/>
                <w:color w:val="auto"/>
                <w:szCs w:val="21"/>
                <w:highlight w:val="none"/>
              </w:rPr>
              <w:t>生产线均在密闭厂房内进行</w:t>
            </w:r>
            <w:r>
              <w:rPr>
                <w:color w:val="auto"/>
                <w:szCs w:val="21"/>
                <w:highlight w:val="none"/>
              </w:rPr>
              <w:t>，</w:t>
            </w:r>
            <w:r>
              <w:rPr>
                <w:rFonts w:hint="eastAsia"/>
                <w:color w:val="auto"/>
                <w:highlight w:val="none"/>
              </w:rPr>
              <w:t>少量无组织颗粒物在密闭厂房内自然沉降，定期洒水降尘、清扫，本项目产生的颗粒物可满足《大气污染物综合排放标准》</w:t>
            </w:r>
            <w:r>
              <w:rPr>
                <w:rFonts w:hint="eastAsia"/>
                <w:color w:val="auto"/>
                <w:highlight w:val="none"/>
                <w:lang w:eastAsia="zh-CN"/>
              </w:rPr>
              <w:t>（</w:t>
            </w:r>
            <w:r>
              <w:rPr>
                <w:rFonts w:hint="eastAsia"/>
                <w:color w:val="auto"/>
                <w:highlight w:val="none"/>
              </w:rPr>
              <w:t>GB16297-1996</w:t>
            </w:r>
            <w:r>
              <w:rPr>
                <w:rFonts w:hint="eastAsia"/>
                <w:color w:val="auto"/>
                <w:highlight w:val="none"/>
                <w:lang w:eastAsia="zh-CN"/>
              </w:rPr>
              <w:t>）</w:t>
            </w:r>
            <w:r>
              <w:rPr>
                <w:rFonts w:hint="eastAsia"/>
                <w:color w:val="auto"/>
                <w:highlight w:val="none"/>
              </w:rPr>
              <w:t>表2新污染源大气污染物排放限值。</w:t>
            </w:r>
          </w:p>
          <w:p w14:paraId="1835D0AE">
            <w:pPr>
              <w:widowControl/>
              <w:ind w:firstLine="480"/>
              <w:jc w:val="left"/>
              <w:rPr>
                <w:rFonts w:hint="eastAsia"/>
                <w:color w:val="auto"/>
                <w:highlight w:val="none"/>
              </w:rPr>
            </w:pPr>
            <w:r>
              <w:rPr>
                <w:rFonts w:hint="eastAsia"/>
                <w:color w:val="auto"/>
                <w:highlight w:val="none"/>
              </w:rPr>
              <w:t>本项目在物料的输送、</w:t>
            </w:r>
            <w:r>
              <w:rPr>
                <w:rFonts w:hint="eastAsia"/>
                <w:color w:val="auto"/>
                <w:highlight w:val="none"/>
                <w:lang w:val="en-US" w:eastAsia="zh-CN"/>
              </w:rPr>
              <w:t>堆放</w:t>
            </w:r>
            <w:r>
              <w:rPr>
                <w:rFonts w:hint="eastAsia"/>
                <w:color w:val="auto"/>
                <w:highlight w:val="none"/>
              </w:rPr>
              <w:t>等过程中产生无组织粉尘，无组织排放量与物料的粒径、物料转运的距离和落差、操作管理有关，为了有效控制各个扬尘点的粉尘，工艺设计中原辅料应尽量采用密闭设备和密闭式储罐转运，降低物料转运的距离和落差，车间内</w:t>
            </w:r>
            <w:r>
              <w:rPr>
                <w:rFonts w:hint="eastAsia"/>
                <w:color w:val="auto"/>
                <w:highlight w:val="none"/>
                <w:lang w:val="en-US" w:eastAsia="zh-CN"/>
              </w:rPr>
              <w:t>洒水降尘</w:t>
            </w:r>
            <w:r>
              <w:rPr>
                <w:rFonts w:hint="eastAsia"/>
                <w:color w:val="auto"/>
                <w:highlight w:val="none"/>
              </w:rPr>
              <w:t>，减少无组织粉尘的产生，并在厂房的周围及道路两旁尽量种植绿植，加强厂区周围环境的绿化，减少无组织粉尘对环境的影响。根据新疆地方标准《工业料堆场扬尘整治规范》（DB65/T4061-2017）规定，本项目物料应储存在</w:t>
            </w:r>
            <w:r>
              <w:rPr>
                <w:rFonts w:hint="default" w:ascii="Times New Roman" w:hAnsi="Times New Roman" w:cs="Times New Roman"/>
                <w:color w:val="auto"/>
                <w:highlight w:val="none"/>
                <w:lang w:val="en-US" w:eastAsia="zh-CN"/>
              </w:rPr>
              <w:t>Ⅰ</w:t>
            </w:r>
            <w:r>
              <w:rPr>
                <w:rFonts w:hint="default" w:ascii="Times New Roman" w:hAnsi="Times New Roman" w:cs="Times New Roman"/>
                <w:color w:val="auto"/>
                <w:highlight w:val="none"/>
              </w:rPr>
              <w:t>类堆场</w:t>
            </w:r>
            <w:r>
              <w:rPr>
                <w:rFonts w:hint="eastAsia"/>
                <w:color w:val="auto"/>
                <w:highlight w:val="none"/>
              </w:rPr>
              <w:t>，采取封闭式料仓，对周围路面进行硬化，并保持路面湿润。通过采取以上措施可有效减少堆场扬尘。生产过程粉尘经洒水抑尘和厂房内自然沉降后以无组织形式排放，物料装卸、运输过程粉尘经洒水降尘后无组织形式排放，因此本项目物料输送存储符合规范要求</w:t>
            </w:r>
            <w:r>
              <w:rPr>
                <w:rFonts w:hint="eastAsia"/>
                <w:highlight w:val="none"/>
              </w:rPr>
              <w:t>，颗粒物污染防治措施为可行技术</w:t>
            </w:r>
          </w:p>
          <w:p w14:paraId="263607AB">
            <w:pPr>
              <w:widowControl/>
              <w:ind w:firstLine="480"/>
              <w:jc w:val="left"/>
              <w:rPr>
                <w:rFonts w:hint="eastAsia"/>
                <w:color w:val="auto"/>
                <w:highlight w:val="none"/>
              </w:rPr>
            </w:pPr>
            <w:r>
              <w:rPr>
                <w:rFonts w:hint="eastAsia"/>
                <w:color w:val="auto"/>
                <w:highlight w:val="none"/>
              </w:rPr>
              <w:t>为了进一步减少项目无组织粉尘对周围环境的影响，建议建设单位采取以下措施进行控制：</w:t>
            </w:r>
          </w:p>
          <w:p w14:paraId="0E83AC32">
            <w:pPr>
              <w:widowControl/>
              <w:ind w:firstLine="480"/>
              <w:jc w:val="left"/>
              <w:rPr>
                <w:rFonts w:hint="eastAsia"/>
                <w:color w:val="auto"/>
                <w:highlight w:val="none"/>
              </w:rPr>
            </w:pPr>
            <w:r>
              <w:rPr>
                <w:rFonts w:hint="eastAsia"/>
                <w:color w:val="auto"/>
                <w:highlight w:val="none"/>
              </w:rPr>
              <w:t>a.运输车辆</w:t>
            </w:r>
            <w:r>
              <w:rPr>
                <w:rFonts w:hint="eastAsia"/>
                <w:color w:val="auto"/>
                <w:highlight w:val="none"/>
                <w:lang w:val="en-US" w:eastAsia="zh-CN"/>
              </w:rPr>
              <w:t>为</w:t>
            </w:r>
            <w:r>
              <w:rPr>
                <w:rFonts w:hint="eastAsia"/>
                <w:szCs w:val="28"/>
                <w:highlight w:val="none"/>
              </w:rPr>
              <w:t>密封散装罐车</w:t>
            </w:r>
            <w:r>
              <w:rPr>
                <w:rFonts w:hint="eastAsia"/>
                <w:color w:val="auto"/>
                <w:highlight w:val="none"/>
              </w:rPr>
              <w:t>；</w:t>
            </w:r>
          </w:p>
          <w:p w14:paraId="1D294EEC">
            <w:pPr>
              <w:widowControl/>
              <w:ind w:firstLine="480"/>
              <w:jc w:val="left"/>
              <w:rPr>
                <w:rFonts w:hint="eastAsia"/>
                <w:color w:val="auto"/>
                <w:highlight w:val="none"/>
              </w:rPr>
            </w:pPr>
            <w:r>
              <w:rPr>
                <w:rFonts w:hint="eastAsia"/>
                <w:color w:val="auto"/>
                <w:highlight w:val="none"/>
              </w:rPr>
              <w:t>b.对封闭式</w:t>
            </w:r>
            <w:r>
              <w:rPr>
                <w:rFonts w:hint="eastAsia"/>
                <w:color w:val="auto"/>
                <w:highlight w:val="none"/>
                <w:lang w:val="en-US" w:eastAsia="zh-CN"/>
              </w:rPr>
              <w:t>料仓</w:t>
            </w:r>
            <w:r>
              <w:rPr>
                <w:rFonts w:hint="eastAsia"/>
                <w:color w:val="auto"/>
                <w:highlight w:val="none"/>
              </w:rPr>
              <w:t>采取洒水措施。</w:t>
            </w:r>
          </w:p>
          <w:p w14:paraId="2F1CAB77">
            <w:pPr>
              <w:widowControl/>
              <w:ind w:firstLine="480"/>
              <w:jc w:val="left"/>
              <w:rPr>
                <w:rFonts w:hint="eastAsia"/>
                <w:color w:val="auto"/>
                <w:highlight w:val="none"/>
              </w:rPr>
            </w:pPr>
            <w:r>
              <w:rPr>
                <w:rFonts w:hint="eastAsia"/>
                <w:color w:val="auto"/>
                <w:highlight w:val="none"/>
              </w:rPr>
              <w:t>c.由于粉尘排放受人为操作因素影响较大，要求加强建设单位对操作人员的管理，将粉尘影响降低到可接受的范围内。</w:t>
            </w:r>
          </w:p>
          <w:p w14:paraId="2A21CDFA">
            <w:pPr>
              <w:widowControl/>
              <w:ind w:firstLine="480"/>
              <w:jc w:val="left"/>
              <w:rPr>
                <w:rFonts w:hint="eastAsia"/>
                <w:color w:val="auto"/>
                <w:highlight w:val="none"/>
              </w:rPr>
            </w:pPr>
            <w:r>
              <w:rPr>
                <w:rFonts w:hint="eastAsia"/>
                <w:color w:val="auto"/>
                <w:highlight w:val="none"/>
              </w:rPr>
              <w:t>d.结合实际情况，建设单位应采取清扫、洒水等措施，减少内部装卸等环节产生的粉尘和气态污染物的排放；应选用稳定成熟的设备、加强操作人员的操作技能并增强环保意识以减少非正常排放。环评要求建设单位落实各项环保措施，保证设备的正常运转，防止人为或设备故障导致事故排放，实现废气达标排放。同时设备安装后应严格进行调试。</w:t>
            </w:r>
          </w:p>
          <w:p w14:paraId="23F9D323">
            <w:pPr>
              <w:widowControl/>
              <w:ind w:firstLine="480"/>
              <w:jc w:val="left"/>
              <w:rPr>
                <w:rFonts w:hint="eastAsia"/>
                <w:color w:val="auto"/>
                <w:highlight w:val="none"/>
              </w:rPr>
            </w:pPr>
            <w:r>
              <w:rPr>
                <w:rFonts w:hint="eastAsia"/>
                <w:color w:val="auto"/>
                <w:highlight w:val="none"/>
              </w:rPr>
              <w:t>e.加强对除尘设备的检查维修工作保证除尘器效率达9</w:t>
            </w:r>
            <w:r>
              <w:rPr>
                <w:rFonts w:hint="eastAsia"/>
                <w:color w:val="auto"/>
                <w:highlight w:val="none"/>
                <w:lang w:val="en-US" w:eastAsia="zh-CN"/>
              </w:rPr>
              <w:t>5</w:t>
            </w:r>
            <w:r>
              <w:rPr>
                <w:rFonts w:hint="eastAsia"/>
                <w:color w:val="auto"/>
                <w:highlight w:val="none"/>
              </w:rPr>
              <w:t>%以上，大修前后应进行除尘器效率对比测试，杜绝除尘设备严重跑尘的现象。</w:t>
            </w:r>
          </w:p>
          <w:p w14:paraId="2095336F">
            <w:pPr>
              <w:widowControl/>
              <w:ind w:firstLine="480"/>
              <w:jc w:val="left"/>
              <w:rPr>
                <w:rFonts w:hint="eastAsia"/>
                <w:color w:val="auto"/>
                <w:highlight w:val="none"/>
              </w:rPr>
            </w:pPr>
            <w:r>
              <w:rPr>
                <w:rFonts w:hint="eastAsia"/>
                <w:color w:val="auto"/>
                <w:highlight w:val="none"/>
                <w:lang w:val="en-US" w:eastAsia="zh-CN"/>
              </w:rPr>
              <w:t>f</w:t>
            </w:r>
            <w:r>
              <w:rPr>
                <w:rFonts w:hint="eastAsia"/>
                <w:color w:val="auto"/>
                <w:highlight w:val="none"/>
              </w:rPr>
              <w:t>.除尘设备因故障效率降低时，应立即组织检修，一般故障处理应在24小时内完成。</w:t>
            </w:r>
          </w:p>
          <w:p w14:paraId="48958219">
            <w:pPr>
              <w:widowControl/>
              <w:ind w:firstLine="480"/>
              <w:jc w:val="left"/>
              <w:rPr>
                <w:rFonts w:hint="eastAsia"/>
                <w:color w:val="auto"/>
                <w:highlight w:val="none"/>
              </w:rPr>
            </w:pPr>
            <w:r>
              <w:rPr>
                <w:rFonts w:hint="eastAsia"/>
                <w:color w:val="auto"/>
                <w:highlight w:val="none"/>
              </w:rPr>
              <w:t>g.生产设备开机必须先开除尘设备，停机时除尘设备最后才停</w:t>
            </w:r>
          </w:p>
          <w:p w14:paraId="5B3D14C6">
            <w:pPr>
              <w:widowControl/>
              <w:ind w:firstLine="480"/>
              <w:jc w:val="left"/>
              <w:rPr>
                <w:color w:val="auto"/>
                <w:highlight w:val="none"/>
              </w:rPr>
            </w:pPr>
            <w:r>
              <w:rPr>
                <w:rFonts w:hint="eastAsia"/>
                <w:color w:val="auto"/>
                <w:highlight w:val="none"/>
              </w:rPr>
              <w:t>h.生产过程中设备如出现漏料、堵料或溢料跑尘时，应尽快组织处理，在短时间内不能处理的，必须停机处理完善后方</w:t>
            </w:r>
            <w:r>
              <w:rPr>
                <w:rFonts w:hint="eastAsia"/>
                <w:color w:val="auto"/>
                <w:highlight w:val="none"/>
                <w:lang w:eastAsia="zh-CN"/>
              </w:rPr>
              <w:t>可</w:t>
            </w:r>
            <w:r>
              <w:rPr>
                <w:rFonts w:hint="eastAsia"/>
                <w:color w:val="auto"/>
                <w:highlight w:val="none"/>
              </w:rPr>
              <w:t>开机。</w:t>
            </w:r>
          </w:p>
          <w:p w14:paraId="335F9475">
            <w:pPr>
              <w:ind w:firstLine="480"/>
              <w:rPr>
                <w:color w:val="auto"/>
                <w:highlight w:val="none"/>
              </w:rPr>
            </w:pPr>
            <w:r>
              <w:rPr>
                <w:rFonts w:hint="eastAsia"/>
                <w:color w:val="auto"/>
                <w:highlight w:val="none"/>
              </w:rPr>
              <w:t>综合分析，在严格落实各项污染防治措施的基础上，本项目对周围大气环境的影响可以接受。且本项目采取的废气污染防治措施可行，排放的废气污染物对周围环境影响较小，不会改变区域的环境空气质量类别。</w:t>
            </w:r>
          </w:p>
          <w:p w14:paraId="74CF1DB9">
            <w:pPr>
              <w:pStyle w:val="3"/>
              <w:rPr>
                <w:highlight w:val="none"/>
              </w:rPr>
            </w:pPr>
            <w:r>
              <w:rPr>
                <w:rFonts w:hint="default" w:ascii="Times New Roman" w:hAnsi="Times New Roman" w:cs="Times New Roman"/>
                <w:highlight w:val="none"/>
              </w:rPr>
              <w:t>2</w:t>
            </w:r>
            <w:r>
              <w:rPr>
                <w:rFonts w:hint="eastAsia"/>
                <w:highlight w:val="none"/>
              </w:rPr>
              <w:t>废水</w:t>
            </w:r>
          </w:p>
          <w:p w14:paraId="48B43E83">
            <w:pPr>
              <w:ind w:firstLine="480"/>
              <w:rPr>
                <w:highlight w:val="none"/>
              </w:rPr>
            </w:pPr>
            <w:r>
              <w:rPr>
                <w:rFonts w:hint="eastAsia"/>
                <w:highlight w:val="none"/>
              </w:rPr>
              <w:t>本项目产生的废水主要为生产废水和</w:t>
            </w:r>
            <w:r>
              <w:rPr>
                <w:rFonts w:hint="eastAsia"/>
                <w:highlight w:val="none"/>
                <w:lang w:eastAsia="zh-CN"/>
              </w:rPr>
              <w:t>生活污水</w:t>
            </w:r>
            <w:r>
              <w:rPr>
                <w:rFonts w:hint="eastAsia"/>
                <w:highlight w:val="none"/>
              </w:rPr>
              <w:t>。设备冷却水循环利用</w:t>
            </w:r>
            <w:r>
              <w:rPr>
                <w:rFonts w:hint="eastAsia"/>
                <w:color w:val="auto"/>
                <w:highlight w:val="none"/>
              </w:rPr>
              <w:t>。</w:t>
            </w:r>
            <w:r>
              <w:rPr>
                <w:rFonts w:hint="eastAsia"/>
                <w:highlight w:val="none"/>
              </w:rPr>
              <w:t>运营期生活污水经化粪池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highlight w:val="none"/>
                <w:lang w:eastAsia="zh-CN"/>
              </w:rPr>
              <w:t>待园区污水管网接通后排入管网</w:t>
            </w:r>
            <w:r>
              <w:rPr>
                <w:rFonts w:hint="eastAsia"/>
                <w:highlight w:val="none"/>
              </w:rPr>
              <w:t>。</w:t>
            </w:r>
          </w:p>
          <w:p w14:paraId="45CF0E9E">
            <w:pPr>
              <w:widowControl/>
              <w:ind w:firstLine="480"/>
              <w:jc w:val="left"/>
              <w:rPr>
                <w:highlight w:val="none"/>
              </w:rPr>
            </w:pPr>
            <w:r>
              <w:rPr>
                <w:rFonts w:hint="eastAsia"/>
                <w:highlight w:val="none"/>
              </w:rPr>
              <w:t>本项目劳动定员为</w:t>
            </w:r>
            <w:r>
              <w:rPr>
                <w:rFonts w:hint="eastAsia"/>
                <w:highlight w:val="none"/>
                <w:lang w:val="en-US" w:eastAsia="zh-CN"/>
              </w:rPr>
              <w:t>20</w:t>
            </w:r>
            <w:r>
              <w:rPr>
                <w:rFonts w:hint="eastAsia"/>
                <w:highlight w:val="none"/>
              </w:rPr>
              <w:t>人，根据《新疆维吾尔自治区生活用水定额》，厂内食宿用水量按照每人</w:t>
            </w:r>
            <w:r>
              <w:rPr>
                <w:highlight w:val="none"/>
              </w:rPr>
              <w:t>80L/d</w:t>
            </w:r>
            <w:r>
              <w:rPr>
                <w:rFonts w:hint="eastAsia"/>
                <w:highlight w:val="none"/>
              </w:rPr>
              <w:t>计算，则厂区生活用水量为</w:t>
            </w:r>
            <w:r>
              <w:rPr>
                <w:rFonts w:hint="eastAsia"/>
                <w:highlight w:val="none"/>
                <w:lang w:val="en-US" w:eastAsia="zh-CN"/>
              </w:rPr>
              <w:t>1.6</w:t>
            </w:r>
            <w:r>
              <w:rPr>
                <w:highlight w:val="none"/>
              </w:rPr>
              <w:t>m</w:t>
            </w:r>
            <w:r>
              <w:rPr>
                <w:rFonts w:hint="eastAsia"/>
                <w:highlight w:val="none"/>
                <w:vertAlign w:val="superscript"/>
              </w:rPr>
              <w:t>3</w:t>
            </w:r>
            <w:r>
              <w:rPr>
                <w:highlight w:val="none"/>
              </w:rPr>
              <w:t>/d</w:t>
            </w:r>
            <w:r>
              <w:rPr>
                <w:rFonts w:hint="eastAsia"/>
                <w:highlight w:val="none"/>
              </w:rPr>
              <w:t>，</w:t>
            </w:r>
            <w:r>
              <w:rPr>
                <w:rFonts w:hint="eastAsia"/>
                <w:highlight w:val="none"/>
                <w:lang w:val="en-US" w:eastAsia="zh-CN"/>
              </w:rPr>
              <w:t>288</w:t>
            </w:r>
            <w:r>
              <w:rPr>
                <w:highlight w:val="none"/>
              </w:rPr>
              <w:t>m</w:t>
            </w:r>
            <w:r>
              <w:rPr>
                <w:rFonts w:hint="eastAsia"/>
                <w:highlight w:val="none"/>
                <w:vertAlign w:val="superscript"/>
              </w:rPr>
              <w:t>3</w:t>
            </w:r>
            <w:r>
              <w:rPr>
                <w:highlight w:val="none"/>
              </w:rPr>
              <w:t>/a</w:t>
            </w:r>
            <w:r>
              <w:rPr>
                <w:rFonts w:hint="eastAsia"/>
                <w:highlight w:val="none"/>
              </w:rPr>
              <w:t>。</w:t>
            </w:r>
            <w:r>
              <w:rPr>
                <w:highlight w:val="none"/>
              </w:rPr>
              <w:t>废水排放量按用水量80%计，则项目运营期</w:t>
            </w:r>
            <w:r>
              <w:rPr>
                <w:rFonts w:hint="eastAsia"/>
                <w:highlight w:val="none"/>
                <w:lang w:eastAsia="zh-CN"/>
              </w:rPr>
              <w:t>生活污水</w:t>
            </w:r>
            <w:r>
              <w:rPr>
                <w:highlight w:val="none"/>
              </w:rPr>
              <w:t>排放量为</w:t>
            </w:r>
            <w:r>
              <w:rPr>
                <w:rFonts w:hint="eastAsia"/>
                <w:highlight w:val="none"/>
                <w:lang w:val="en-US" w:eastAsia="zh-CN"/>
              </w:rPr>
              <w:t>1.28</w:t>
            </w:r>
            <w:r>
              <w:rPr>
                <w:highlight w:val="none"/>
              </w:rPr>
              <w:t>m</w:t>
            </w:r>
            <w:r>
              <w:rPr>
                <w:rFonts w:hint="eastAsia"/>
                <w:highlight w:val="none"/>
                <w:vertAlign w:val="superscript"/>
              </w:rPr>
              <w:t>3</w:t>
            </w:r>
            <w:r>
              <w:rPr>
                <w:highlight w:val="none"/>
              </w:rPr>
              <w:t>/d</w:t>
            </w:r>
            <w:r>
              <w:rPr>
                <w:rFonts w:hint="eastAsia"/>
                <w:highlight w:val="none"/>
              </w:rPr>
              <w:t>，</w:t>
            </w:r>
            <w:r>
              <w:rPr>
                <w:rFonts w:hint="eastAsia"/>
                <w:highlight w:val="none"/>
                <w:lang w:val="en-US" w:eastAsia="zh-CN"/>
              </w:rPr>
              <w:t>230.4</w:t>
            </w:r>
            <w:r>
              <w:rPr>
                <w:highlight w:val="none"/>
              </w:rPr>
              <w:t>m</w:t>
            </w:r>
            <w:r>
              <w:rPr>
                <w:rFonts w:hint="eastAsia"/>
                <w:highlight w:val="none"/>
                <w:vertAlign w:val="superscript"/>
              </w:rPr>
              <w:t>3</w:t>
            </w:r>
            <w:r>
              <w:rPr>
                <w:highlight w:val="none"/>
              </w:rPr>
              <w:t>/a。</w:t>
            </w:r>
          </w:p>
          <w:p w14:paraId="337093DF">
            <w:pPr>
              <w:autoSpaceDE w:val="0"/>
              <w:autoSpaceDN w:val="0"/>
              <w:ind w:firstLine="480"/>
              <w:rPr>
                <w:bCs/>
                <w:color w:val="000000"/>
                <w:kern w:val="0"/>
                <w:highlight w:val="none"/>
              </w:rPr>
            </w:pPr>
            <w:r>
              <w:rPr>
                <w:bCs/>
                <w:color w:val="000000"/>
                <w:kern w:val="0"/>
                <w:highlight w:val="none"/>
              </w:rPr>
              <w:t>项目</w:t>
            </w:r>
            <w:r>
              <w:rPr>
                <w:rFonts w:hint="eastAsia"/>
                <w:bCs/>
                <w:color w:val="000000"/>
                <w:kern w:val="0"/>
                <w:highlight w:val="none"/>
                <w:lang w:eastAsia="zh-CN"/>
              </w:rPr>
              <w:t>生活污水</w:t>
            </w:r>
            <w:r>
              <w:rPr>
                <w:bCs/>
                <w:color w:val="000000"/>
                <w:kern w:val="0"/>
                <w:highlight w:val="none"/>
              </w:rPr>
              <w:t>产生及排放情况见表</w:t>
            </w:r>
            <w:r>
              <w:rPr>
                <w:rFonts w:hint="eastAsia"/>
                <w:bCs/>
                <w:color w:val="000000"/>
                <w:kern w:val="0"/>
                <w:highlight w:val="none"/>
              </w:rPr>
              <w:t>4-</w:t>
            </w:r>
            <w:r>
              <w:rPr>
                <w:rFonts w:hint="eastAsia"/>
                <w:bCs/>
                <w:color w:val="000000"/>
                <w:kern w:val="0"/>
                <w:highlight w:val="none"/>
                <w:lang w:val="en-US" w:eastAsia="zh-CN"/>
              </w:rPr>
              <w:t>5</w:t>
            </w:r>
            <w:r>
              <w:rPr>
                <w:bCs/>
                <w:color w:val="000000"/>
                <w:kern w:val="0"/>
                <w:highlight w:val="none"/>
              </w:rPr>
              <w:t>。</w:t>
            </w:r>
          </w:p>
          <w:p w14:paraId="00E5AF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Times New Roman"/>
                <w:b/>
                <w:bCs/>
                <w:sz w:val="21"/>
                <w:szCs w:val="21"/>
                <w:highlight w:val="none"/>
              </w:rPr>
            </w:pPr>
            <w:r>
              <w:rPr>
                <w:rFonts w:hint="eastAsia" w:ascii="宋体" w:hAnsi="宋体" w:eastAsia="Times New Roman"/>
                <w:b/>
                <w:bCs/>
                <w:sz w:val="21"/>
                <w:szCs w:val="21"/>
                <w:highlight w:val="none"/>
              </w:rPr>
              <w:t>表</w:t>
            </w:r>
            <w:r>
              <w:rPr>
                <w:rFonts w:hint="default" w:ascii="Times New Roman" w:hAnsi="Times New Roman" w:eastAsia="Times New Roman" w:cs="Times New Roman"/>
                <w:b/>
                <w:bCs/>
                <w:sz w:val="21"/>
                <w:szCs w:val="21"/>
                <w:highlight w:val="none"/>
              </w:rPr>
              <w:t>4-</w:t>
            </w:r>
            <w:r>
              <w:rPr>
                <w:rFonts w:hint="eastAsia" w:eastAsia="宋体" w:cs="Times New Roman"/>
                <w:b/>
                <w:bCs/>
                <w:sz w:val="21"/>
                <w:szCs w:val="21"/>
                <w:highlight w:val="none"/>
                <w:lang w:val="en-US" w:eastAsia="zh-CN"/>
              </w:rPr>
              <w:t>5</w:t>
            </w:r>
            <w:r>
              <w:rPr>
                <w:rFonts w:hint="eastAsia" w:ascii="宋体" w:hAnsi="宋体" w:eastAsia="Times New Roman"/>
                <w:b/>
                <w:bCs/>
                <w:sz w:val="21"/>
                <w:szCs w:val="21"/>
                <w:highlight w:val="none"/>
              </w:rPr>
              <w:t xml:space="preserve">  项目</w:t>
            </w:r>
            <w:r>
              <w:rPr>
                <w:rFonts w:hint="eastAsia" w:ascii="宋体" w:hAnsi="宋体" w:eastAsia="宋体"/>
                <w:b/>
                <w:bCs/>
                <w:sz w:val="21"/>
                <w:szCs w:val="21"/>
                <w:highlight w:val="none"/>
                <w:lang w:eastAsia="zh-CN"/>
              </w:rPr>
              <w:t>生活污水</w:t>
            </w:r>
            <w:r>
              <w:rPr>
                <w:rFonts w:hint="eastAsia" w:ascii="宋体" w:hAnsi="宋体" w:eastAsia="Times New Roman"/>
                <w:b/>
                <w:bCs/>
                <w:sz w:val="21"/>
                <w:szCs w:val="21"/>
                <w:highlight w:val="none"/>
              </w:rPr>
              <w:t>产生及排放情况表</w:t>
            </w:r>
          </w:p>
          <w:tbl>
            <w:tblPr>
              <w:tblStyle w:val="30"/>
              <w:tblW w:w="7943"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2"/>
              <w:gridCol w:w="1091"/>
              <w:gridCol w:w="938"/>
              <w:gridCol w:w="1301"/>
              <w:gridCol w:w="811"/>
              <w:gridCol w:w="1091"/>
              <w:gridCol w:w="868"/>
              <w:gridCol w:w="605"/>
            </w:tblGrid>
            <w:tr w14:paraId="7B50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restart"/>
                  <w:vAlign w:val="center"/>
                </w:tcPr>
                <w:p w14:paraId="06775670">
                  <w:pPr>
                    <w:pStyle w:val="55"/>
                    <w:rPr>
                      <w:highlight w:val="none"/>
                    </w:rPr>
                  </w:pPr>
                  <w:r>
                    <w:rPr>
                      <w:highlight w:val="none"/>
                    </w:rPr>
                    <w:t>污染源</w:t>
                  </w:r>
                </w:p>
              </w:tc>
              <w:tc>
                <w:tcPr>
                  <w:tcW w:w="812" w:type="dxa"/>
                  <w:vMerge w:val="restart"/>
                  <w:vAlign w:val="center"/>
                </w:tcPr>
                <w:p w14:paraId="2B3BCC73">
                  <w:pPr>
                    <w:pStyle w:val="55"/>
                    <w:rPr>
                      <w:highlight w:val="none"/>
                    </w:rPr>
                  </w:pPr>
                  <w:r>
                    <w:rPr>
                      <w:highlight w:val="none"/>
                    </w:rPr>
                    <w:t>污染物</w:t>
                  </w:r>
                </w:p>
              </w:tc>
              <w:tc>
                <w:tcPr>
                  <w:tcW w:w="2029" w:type="dxa"/>
                  <w:gridSpan w:val="2"/>
                  <w:vAlign w:val="center"/>
                </w:tcPr>
                <w:p w14:paraId="301F1ADF">
                  <w:pPr>
                    <w:pStyle w:val="55"/>
                    <w:rPr>
                      <w:highlight w:val="none"/>
                    </w:rPr>
                  </w:pPr>
                  <w:r>
                    <w:rPr>
                      <w:highlight w:val="none"/>
                    </w:rPr>
                    <w:t>进水</w:t>
                  </w:r>
                </w:p>
              </w:tc>
              <w:tc>
                <w:tcPr>
                  <w:tcW w:w="1301" w:type="dxa"/>
                  <w:vMerge w:val="restart"/>
                  <w:vAlign w:val="center"/>
                </w:tcPr>
                <w:p w14:paraId="3456B551">
                  <w:pPr>
                    <w:pStyle w:val="55"/>
                    <w:rPr>
                      <w:highlight w:val="none"/>
                    </w:rPr>
                  </w:pPr>
                  <w:r>
                    <w:rPr>
                      <w:highlight w:val="none"/>
                    </w:rPr>
                    <w:t>治理措施</w:t>
                  </w:r>
                </w:p>
              </w:tc>
              <w:tc>
                <w:tcPr>
                  <w:tcW w:w="811" w:type="dxa"/>
                  <w:vMerge w:val="restart"/>
                  <w:vAlign w:val="center"/>
                </w:tcPr>
                <w:p w14:paraId="7D76AD84">
                  <w:pPr>
                    <w:pStyle w:val="55"/>
                    <w:rPr>
                      <w:highlight w:val="none"/>
                    </w:rPr>
                  </w:pPr>
                  <w:r>
                    <w:rPr>
                      <w:highlight w:val="none"/>
                    </w:rPr>
                    <w:t>去除</w:t>
                  </w:r>
                </w:p>
                <w:p w14:paraId="4CEB9547">
                  <w:pPr>
                    <w:pStyle w:val="55"/>
                    <w:rPr>
                      <w:highlight w:val="none"/>
                    </w:rPr>
                  </w:pPr>
                  <w:r>
                    <w:rPr>
                      <w:highlight w:val="none"/>
                    </w:rPr>
                    <w:t>效率（%）</w:t>
                  </w:r>
                </w:p>
              </w:tc>
              <w:tc>
                <w:tcPr>
                  <w:tcW w:w="1959" w:type="dxa"/>
                  <w:gridSpan w:val="2"/>
                  <w:vAlign w:val="center"/>
                </w:tcPr>
                <w:p w14:paraId="04CAB1D1">
                  <w:pPr>
                    <w:pStyle w:val="55"/>
                    <w:rPr>
                      <w:highlight w:val="none"/>
                    </w:rPr>
                  </w:pPr>
                  <w:r>
                    <w:rPr>
                      <w:highlight w:val="none"/>
                    </w:rPr>
                    <w:t>排放</w:t>
                  </w:r>
                </w:p>
              </w:tc>
              <w:tc>
                <w:tcPr>
                  <w:tcW w:w="605" w:type="dxa"/>
                  <w:vMerge w:val="restart"/>
                  <w:vAlign w:val="center"/>
                </w:tcPr>
                <w:p w14:paraId="6F145D6A">
                  <w:pPr>
                    <w:pStyle w:val="55"/>
                    <w:rPr>
                      <w:highlight w:val="none"/>
                    </w:rPr>
                  </w:pPr>
                  <w:r>
                    <w:rPr>
                      <w:rFonts w:hint="eastAsia"/>
                      <w:highlight w:val="none"/>
                    </w:rPr>
                    <w:t>是否为可行技术</w:t>
                  </w:r>
                </w:p>
              </w:tc>
            </w:tr>
            <w:tr w14:paraId="2F73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5DE718BF">
                  <w:pPr>
                    <w:pStyle w:val="55"/>
                    <w:rPr>
                      <w:highlight w:val="none"/>
                    </w:rPr>
                  </w:pPr>
                </w:p>
              </w:tc>
              <w:tc>
                <w:tcPr>
                  <w:tcW w:w="812" w:type="dxa"/>
                  <w:vMerge w:val="continue"/>
                  <w:vAlign w:val="center"/>
                </w:tcPr>
                <w:p w14:paraId="05AD3D5E">
                  <w:pPr>
                    <w:pStyle w:val="55"/>
                    <w:rPr>
                      <w:highlight w:val="none"/>
                    </w:rPr>
                  </w:pPr>
                </w:p>
              </w:tc>
              <w:tc>
                <w:tcPr>
                  <w:tcW w:w="1091" w:type="dxa"/>
                  <w:vAlign w:val="center"/>
                </w:tcPr>
                <w:p w14:paraId="6217FACA">
                  <w:pPr>
                    <w:pStyle w:val="55"/>
                    <w:rPr>
                      <w:highlight w:val="none"/>
                    </w:rPr>
                  </w:pPr>
                  <w:r>
                    <w:rPr>
                      <w:highlight w:val="none"/>
                    </w:rPr>
                    <w:t>浓度（mg/L）</w:t>
                  </w:r>
                </w:p>
              </w:tc>
              <w:tc>
                <w:tcPr>
                  <w:tcW w:w="938" w:type="dxa"/>
                  <w:vAlign w:val="center"/>
                </w:tcPr>
                <w:p w14:paraId="4CFD07B3">
                  <w:pPr>
                    <w:pStyle w:val="55"/>
                    <w:rPr>
                      <w:highlight w:val="none"/>
                    </w:rPr>
                  </w:pPr>
                  <w:r>
                    <w:rPr>
                      <w:rFonts w:hint="eastAsia"/>
                      <w:highlight w:val="none"/>
                    </w:rPr>
                    <w:t>产生</w:t>
                  </w:r>
                  <w:r>
                    <w:rPr>
                      <w:highlight w:val="none"/>
                    </w:rPr>
                    <w:t>量（m</w:t>
                  </w:r>
                  <w:r>
                    <w:rPr>
                      <w:rFonts w:hint="eastAsia"/>
                      <w:highlight w:val="none"/>
                      <w:vertAlign w:val="superscript"/>
                    </w:rPr>
                    <w:t>3</w:t>
                  </w:r>
                  <w:r>
                    <w:rPr>
                      <w:highlight w:val="none"/>
                    </w:rPr>
                    <w:t>/a）</w:t>
                  </w:r>
                </w:p>
              </w:tc>
              <w:tc>
                <w:tcPr>
                  <w:tcW w:w="1301" w:type="dxa"/>
                  <w:vMerge w:val="continue"/>
                  <w:vAlign w:val="center"/>
                </w:tcPr>
                <w:p w14:paraId="221D4295">
                  <w:pPr>
                    <w:pStyle w:val="55"/>
                    <w:rPr>
                      <w:highlight w:val="none"/>
                    </w:rPr>
                  </w:pPr>
                </w:p>
              </w:tc>
              <w:tc>
                <w:tcPr>
                  <w:tcW w:w="811" w:type="dxa"/>
                  <w:vMerge w:val="continue"/>
                  <w:vAlign w:val="center"/>
                </w:tcPr>
                <w:p w14:paraId="57901ED3">
                  <w:pPr>
                    <w:pStyle w:val="55"/>
                    <w:rPr>
                      <w:highlight w:val="none"/>
                    </w:rPr>
                  </w:pPr>
                </w:p>
              </w:tc>
              <w:tc>
                <w:tcPr>
                  <w:tcW w:w="1091" w:type="dxa"/>
                  <w:vAlign w:val="center"/>
                </w:tcPr>
                <w:p w14:paraId="4EFB768B">
                  <w:pPr>
                    <w:pStyle w:val="55"/>
                    <w:rPr>
                      <w:highlight w:val="none"/>
                    </w:rPr>
                  </w:pPr>
                  <w:r>
                    <w:rPr>
                      <w:highlight w:val="none"/>
                    </w:rPr>
                    <w:t>浓度（mg/L）</w:t>
                  </w:r>
                </w:p>
              </w:tc>
              <w:tc>
                <w:tcPr>
                  <w:tcW w:w="868" w:type="dxa"/>
                  <w:vAlign w:val="center"/>
                </w:tcPr>
                <w:p w14:paraId="1FFF8FEF">
                  <w:pPr>
                    <w:pStyle w:val="55"/>
                    <w:rPr>
                      <w:highlight w:val="none"/>
                    </w:rPr>
                  </w:pPr>
                  <w:r>
                    <w:rPr>
                      <w:rFonts w:hint="eastAsia"/>
                      <w:highlight w:val="none"/>
                    </w:rPr>
                    <w:t>排放</w:t>
                  </w:r>
                  <w:r>
                    <w:rPr>
                      <w:highlight w:val="none"/>
                    </w:rPr>
                    <w:t>量（m</w:t>
                  </w:r>
                  <w:r>
                    <w:rPr>
                      <w:rFonts w:hint="eastAsia"/>
                      <w:highlight w:val="none"/>
                      <w:vertAlign w:val="superscript"/>
                    </w:rPr>
                    <w:t>3</w:t>
                  </w:r>
                  <w:r>
                    <w:rPr>
                      <w:highlight w:val="none"/>
                    </w:rPr>
                    <w:t>/a）</w:t>
                  </w:r>
                </w:p>
              </w:tc>
              <w:tc>
                <w:tcPr>
                  <w:tcW w:w="605" w:type="dxa"/>
                  <w:vMerge w:val="continue"/>
                  <w:vAlign w:val="center"/>
                </w:tcPr>
                <w:p w14:paraId="2A418AB5">
                  <w:pPr>
                    <w:pStyle w:val="55"/>
                    <w:rPr>
                      <w:highlight w:val="none"/>
                    </w:rPr>
                  </w:pPr>
                </w:p>
              </w:tc>
            </w:tr>
            <w:tr w14:paraId="3414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restart"/>
                  <w:vAlign w:val="center"/>
                </w:tcPr>
                <w:p w14:paraId="6CFF3303">
                  <w:pPr>
                    <w:pStyle w:val="55"/>
                    <w:rPr>
                      <w:highlight w:val="none"/>
                    </w:rPr>
                  </w:pPr>
                  <w:r>
                    <w:rPr>
                      <w:highlight w:val="none"/>
                    </w:rPr>
                    <w:t>生活污水</w:t>
                  </w:r>
                </w:p>
              </w:tc>
              <w:tc>
                <w:tcPr>
                  <w:tcW w:w="812" w:type="dxa"/>
                  <w:vAlign w:val="center"/>
                </w:tcPr>
                <w:p w14:paraId="1554DCA0">
                  <w:pPr>
                    <w:pStyle w:val="55"/>
                    <w:rPr>
                      <w:highlight w:val="none"/>
                    </w:rPr>
                  </w:pPr>
                  <w:r>
                    <w:rPr>
                      <w:highlight w:val="none"/>
                    </w:rPr>
                    <w:t>废水</w:t>
                  </w:r>
                </w:p>
              </w:tc>
              <w:tc>
                <w:tcPr>
                  <w:tcW w:w="1091" w:type="dxa"/>
                  <w:vAlign w:val="center"/>
                </w:tcPr>
                <w:p w14:paraId="73A09434">
                  <w:pPr>
                    <w:pStyle w:val="55"/>
                    <w:rPr>
                      <w:highlight w:val="none"/>
                    </w:rPr>
                  </w:pPr>
                  <w:r>
                    <w:rPr>
                      <w:highlight w:val="none"/>
                    </w:rPr>
                    <w:t>—</w:t>
                  </w:r>
                </w:p>
              </w:tc>
              <w:tc>
                <w:tcPr>
                  <w:tcW w:w="938" w:type="dxa"/>
                  <w:vAlign w:val="center"/>
                </w:tcPr>
                <w:p w14:paraId="726283ED">
                  <w:pPr>
                    <w:pStyle w:val="55"/>
                    <w:rPr>
                      <w:rFonts w:hint="default"/>
                      <w:highlight w:val="none"/>
                      <w:lang w:val="en-US"/>
                    </w:rPr>
                  </w:pPr>
                  <w:r>
                    <w:rPr>
                      <w:rFonts w:hint="eastAsia"/>
                      <w:highlight w:val="none"/>
                      <w:lang w:val="en-US" w:eastAsia="zh-CN"/>
                    </w:rPr>
                    <w:t>230.4</w:t>
                  </w:r>
                </w:p>
              </w:tc>
              <w:tc>
                <w:tcPr>
                  <w:tcW w:w="1301" w:type="dxa"/>
                  <w:vMerge w:val="restart"/>
                  <w:vAlign w:val="center"/>
                </w:tcPr>
                <w:p w14:paraId="486C10CF">
                  <w:pPr>
                    <w:pStyle w:val="55"/>
                    <w:rPr>
                      <w:rFonts w:hint="eastAsia" w:eastAsia="宋体"/>
                      <w:highlight w:val="none"/>
                      <w:lang w:eastAsia="zh-CN"/>
                    </w:rPr>
                  </w:pPr>
                  <w:r>
                    <w:rPr>
                      <w:rFonts w:hint="eastAsia"/>
                      <w:highlight w:val="none"/>
                    </w:rPr>
                    <w:t>经化粪池</w:t>
                  </w:r>
                  <w:r>
                    <w:rPr>
                      <w:rFonts w:hint="eastAsia"/>
                      <w:highlight w:val="none"/>
                      <w:lang w:val="en-US" w:eastAsia="zh-CN"/>
                    </w:rPr>
                    <w:t>预处理</w:t>
                  </w:r>
                  <w:r>
                    <w:rPr>
                      <w:rFonts w:hint="eastAsia"/>
                      <w:highlight w:val="none"/>
                    </w:rPr>
                    <w:t>后拉运至</w:t>
                  </w:r>
                  <w:r>
                    <w:rPr>
                      <w:rFonts w:hint="eastAsia"/>
                      <w:highlight w:val="none"/>
                      <w:lang w:val="en-US" w:eastAsia="zh-CN"/>
                    </w:rPr>
                    <w:t>若羌县</w:t>
                  </w:r>
                  <w:r>
                    <w:rPr>
                      <w:rFonts w:hint="eastAsia"/>
                      <w:highlight w:val="none"/>
                    </w:rPr>
                    <w:t>污水处理厂进一步处理，</w:t>
                  </w:r>
                  <w:r>
                    <w:rPr>
                      <w:rFonts w:hint="eastAsia"/>
                      <w:highlight w:val="none"/>
                      <w:lang w:eastAsia="zh-CN"/>
                    </w:rPr>
                    <w:t>待园区污水管网接通后排入管网</w:t>
                  </w:r>
                </w:p>
              </w:tc>
              <w:tc>
                <w:tcPr>
                  <w:tcW w:w="811" w:type="dxa"/>
                  <w:vAlign w:val="center"/>
                </w:tcPr>
                <w:p w14:paraId="74CDBCD2">
                  <w:pPr>
                    <w:pStyle w:val="55"/>
                    <w:rPr>
                      <w:highlight w:val="none"/>
                    </w:rPr>
                  </w:pPr>
                  <w:r>
                    <w:rPr>
                      <w:highlight w:val="none"/>
                    </w:rPr>
                    <w:t>—</w:t>
                  </w:r>
                </w:p>
              </w:tc>
              <w:tc>
                <w:tcPr>
                  <w:tcW w:w="1091" w:type="dxa"/>
                  <w:vAlign w:val="center"/>
                </w:tcPr>
                <w:p w14:paraId="13D1CC83">
                  <w:pPr>
                    <w:pStyle w:val="55"/>
                    <w:rPr>
                      <w:highlight w:val="none"/>
                    </w:rPr>
                  </w:pPr>
                  <w:r>
                    <w:rPr>
                      <w:highlight w:val="none"/>
                    </w:rPr>
                    <w:t>—</w:t>
                  </w:r>
                </w:p>
              </w:tc>
              <w:tc>
                <w:tcPr>
                  <w:tcW w:w="868" w:type="dxa"/>
                  <w:vAlign w:val="center"/>
                </w:tcPr>
                <w:p w14:paraId="729F79C1">
                  <w:pPr>
                    <w:pStyle w:val="55"/>
                    <w:rPr>
                      <w:rFonts w:hint="default"/>
                      <w:color w:val="auto"/>
                      <w:highlight w:val="none"/>
                      <w:lang w:val="en-US"/>
                    </w:rPr>
                  </w:pPr>
                  <w:r>
                    <w:rPr>
                      <w:rFonts w:hint="eastAsia"/>
                      <w:color w:val="auto"/>
                      <w:highlight w:val="none"/>
                      <w:lang w:val="en-US" w:eastAsia="zh-CN"/>
                    </w:rPr>
                    <w:t>230.4</w:t>
                  </w:r>
                </w:p>
              </w:tc>
              <w:tc>
                <w:tcPr>
                  <w:tcW w:w="605" w:type="dxa"/>
                  <w:vMerge w:val="restart"/>
                  <w:vAlign w:val="center"/>
                </w:tcPr>
                <w:p w14:paraId="6B0EDBD8">
                  <w:pPr>
                    <w:pStyle w:val="55"/>
                    <w:rPr>
                      <w:highlight w:val="none"/>
                    </w:rPr>
                  </w:pPr>
                  <w:r>
                    <w:rPr>
                      <w:rFonts w:hint="eastAsia"/>
                      <w:highlight w:val="none"/>
                    </w:rPr>
                    <w:t>是</w:t>
                  </w:r>
                </w:p>
              </w:tc>
            </w:tr>
            <w:tr w14:paraId="5026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1F3CD046">
                  <w:pPr>
                    <w:pStyle w:val="55"/>
                    <w:rPr>
                      <w:highlight w:val="none"/>
                    </w:rPr>
                  </w:pPr>
                </w:p>
              </w:tc>
              <w:tc>
                <w:tcPr>
                  <w:tcW w:w="812" w:type="dxa"/>
                  <w:vAlign w:val="center"/>
                </w:tcPr>
                <w:p w14:paraId="7B0EBF07">
                  <w:pPr>
                    <w:pStyle w:val="55"/>
                    <w:rPr>
                      <w:highlight w:val="none"/>
                    </w:rPr>
                  </w:pPr>
                  <w:r>
                    <w:rPr>
                      <w:highlight w:val="none"/>
                    </w:rPr>
                    <w:t>COD</w:t>
                  </w:r>
                </w:p>
              </w:tc>
              <w:tc>
                <w:tcPr>
                  <w:tcW w:w="1091" w:type="dxa"/>
                  <w:vAlign w:val="center"/>
                </w:tcPr>
                <w:p w14:paraId="7FC3792F">
                  <w:pPr>
                    <w:pStyle w:val="55"/>
                    <w:rPr>
                      <w:highlight w:val="none"/>
                    </w:rPr>
                  </w:pPr>
                  <w:r>
                    <w:rPr>
                      <w:rFonts w:hint="eastAsia"/>
                      <w:highlight w:val="none"/>
                      <w:lang w:val="en-US" w:eastAsia="zh-CN"/>
                    </w:rPr>
                    <w:t>4</w:t>
                  </w:r>
                  <w:r>
                    <w:rPr>
                      <w:highlight w:val="none"/>
                    </w:rPr>
                    <w:t>00</w:t>
                  </w:r>
                </w:p>
              </w:tc>
              <w:tc>
                <w:tcPr>
                  <w:tcW w:w="938" w:type="dxa"/>
                  <w:vAlign w:val="center"/>
                </w:tcPr>
                <w:p w14:paraId="090CF3D8">
                  <w:pPr>
                    <w:pStyle w:val="5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0.092</w:t>
                  </w:r>
                </w:p>
              </w:tc>
              <w:tc>
                <w:tcPr>
                  <w:tcW w:w="1301" w:type="dxa"/>
                  <w:vMerge w:val="continue"/>
                  <w:vAlign w:val="center"/>
                </w:tcPr>
                <w:p w14:paraId="50F34B02">
                  <w:pPr>
                    <w:pStyle w:val="55"/>
                    <w:rPr>
                      <w:highlight w:val="none"/>
                    </w:rPr>
                  </w:pPr>
                </w:p>
              </w:tc>
              <w:tc>
                <w:tcPr>
                  <w:tcW w:w="811" w:type="dxa"/>
                  <w:vAlign w:val="center"/>
                </w:tcPr>
                <w:p w14:paraId="209165A5">
                  <w:pPr>
                    <w:pStyle w:val="55"/>
                    <w:rPr>
                      <w:rFonts w:hint="default" w:eastAsia="宋体"/>
                      <w:highlight w:val="none"/>
                      <w:lang w:val="en-US" w:eastAsia="zh-CN"/>
                    </w:rPr>
                  </w:pPr>
                  <w:r>
                    <w:rPr>
                      <w:rFonts w:hint="eastAsia"/>
                      <w:highlight w:val="none"/>
                      <w:lang w:val="en-US" w:eastAsia="zh-CN"/>
                    </w:rPr>
                    <w:t>10</w:t>
                  </w:r>
                </w:p>
              </w:tc>
              <w:tc>
                <w:tcPr>
                  <w:tcW w:w="1091" w:type="dxa"/>
                  <w:vAlign w:val="center"/>
                </w:tcPr>
                <w:p w14:paraId="04F51D39">
                  <w:pPr>
                    <w:pStyle w:val="55"/>
                    <w:rPr>
                      <w:rFonts w:hint="default" w:eastAsia="宋体"/>
                      <w:highlight w:val="none"/>
                      <w:lang w:val="en-US" w:eastAsia="zh-CN"/>
                    </w:rPr>
                  </w:pPr>
                  <w:r>
                    <w:rPr>
                      <w:rFonts w:hint="eastAsia"/>
                      <w:highlight w:val="none"/>
                      <w:lang w:val="en-US" w:eastAsia="zh-CN"/>
                    </w:rPr>
                    <w:t>360</w:t>
                  </w:r>
                </w:p>
              </w:tc>
              <w:tc>
                <w:tcPr>
                  <w:tcW w:w="868" w:type="dxa"/>
                  <w:vAlign w:val="center"/>
                </w:tcPr>
                <w:p w14:paraId="4A6EC29D">
                  <w:pPr>
                    <w:pStyle w:val="55"/>
                    <w:rPr>
                      <w:rFonts w:hint="default" w:eastAsia="宋体"/>
                      <w:color w:val="auto"/>
                      <w:highlight w:val="none"/>
                      <w:lang w:val="en-US" w:eastAsia="zh-CN"/>
                    </w:rPr>
                  </w:pPr>
                  <w:r>
                    <w:rPr>
                      <w:rFonts w:hint="eastAsia"/>
                      <w:color w:val="auto"/>
                      <w:highlight w:val="none"/>
                      <w:lang w:val="en-US" w:eastAsia="zh-CN"/>
                    </w:rPr>
                    <w:t>0.083</w:t>
                  </w:r>
                </w:p>
              </w:tc>
              <w:tc>
                <w:tcPr>
                  <w:tcW w:w="605" w:type="dxa"/>
                  <w:vMerge w:val="continue"/>
                  <w:vAlign w:val="center"/>
                </w:tcPr>
                <w:p w14:paraId="162CCFA3">
                  <w:pPr>
                    <w:pStyle w:val="55"/>
                    <w:rPr>
                      <w:highlight w:val="none"/>
                    </w:rPr>
                  </w:pPr>
                </w:p>
              </w:tc>
            </w:tr>
            <w:tr w14:paraId="5693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6C81BB26">
                  <w:pPr>
                    <w:pStyle w:val="55"/>
                    <w:rPr>
                      <w:highlight w:val="none"/>
                    </w:rPr>
                  </w:pPr>
                </w:p>
              </w:tc>
              <w:tc>
                <w:tcPr>
                  <w:tcW w:w="812" w:type="dxa"/>
                  <w:vAlign w:val="center"/>
                </w:tcPr>
                <w:p w14:paraId="47F5838F">
                  <w:pPr>
                    <w:pStyle w:val="55"/>
                    <w:rPr>
                      <w:highlight w:val="none"/>
                    </w:rPr>
                  </w:pPr>
                  <w:r>
                    <w:rPr>
                      <w:highlight w:val="none"/>
                    </w:rPr>
                    <w:t>BOD</w:t>
                  </w:r>
                  <w:r>
                    <w:rPr>
                      <w:highlight w:val="none"/>
                      <w:vertAlign w:val="subscript"/>
                    </w:rPr>
                    <w:t>5</w:t>
                  </w:r>
                </w:p>
              </w:tc>
              <w:tc>
                <w:tcPr>
                  <w:tcW w:w="1091" w:type="dxa"/>
                  <w:vAlign w:val="center"/>
                </w:tcPr>
                <w:p w14:paraId="30C4EE60">
                  <w:pPr>
                    <w:pStyle w:val="55"/>
                    <w:rPr>
                      <w:highlight w:val="none"/>
                    </w:rPr>
                  </w:pPr>
                  <w:r>
                    <w:rPr>
                      <w:rFonts w:hint="eastAsia"/>
                      <w:highlight w:val="none"/>
                      <w:lang w:val="en-US" w:eastAsia="zh-CN"/>
                    </w:rPr>
                    <w:t>3</w:t>
                  </w:r>
                  <w:r>
                    <w:rPr>
                      <w:highlight w:val="none"/>
                    </w:rPr>
                    <w:t>00</w:t>
                  </w:r>
                </w:p>
              </w:tc>
              <w:tc>
                <w:tcPr>
                  <w:tcW w:w="938" w:type="dxa"/>
                  <w:vAlign w:val="center"/>
                </w:tcPr>
                <w:p w14:paraId="0DF9A229">
                  <w:pPr>
                    <w:pStyle w:val="5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0.069</w:t>
                  </w:r>
                </w:p>
              </w:tc>
              <w:tc>
                <w:tcPr>
                  <w:tcW w:w="1301" w:type="dxa"/>
                  <w:vMerge w:val="continue"/>
                  <w:vAlign w:val="center"/>
                </w:tcPr>
                <w:p w14:paraId="3CCEA4BC">
                  <w:pPr>
                    <w:pStyle w:val="55"/>
                    <w:rPr>
                      <w:highlight w:val="none"/>
                    </w:rPr>
                  </w:pPr>
                </w:p>
              </w:tc>
              <w:tc>
                <w:tcPr>
                  <w:tcW w:w="811" w:type="dxa"/>
                  <w:vAlign w:val="center"/>
                </w:tcPr>
                <w:p w14:paraId="5E928FB8">
                  <w:pPr>
                    <w:pStyle w:val="55"/>
                    <w:rPr>
                      <w:rFonts w:hint="eastAsia" w:eastAsia="宋体"/>
                      <w:highlight w:val="none"/>
                      <w:lang w:eastAsia="zh-CN"/>
                    </w:rPr>
                  </w:pPr>
                  <w:r>
                    <w:rPr>
                      <w:rFonts w:hint="eastAsia"/>
                      <w:highlight w:val="none"/>
                      <w:lang w:val="en-US" w:eastAsia="zh-CN"/>
                    </w:rPr>
                    <w:t>9</w:t>
                  </w:r>
                </w:p>
              </w:tc>
              <w:tc>
                <w:tcPr>
                  <w:tcW w:w="1091" w:type="dxa"/>
                  <w:vAlign w:val="center"/>
                </w:tcPr>
                <w:p w14:paraId="37A0745D">
                  <w:pPr>
                    <w:pStyle w:val="55"/>
                    <w:rPr>
                      <w:rFonts w:hint="default" w:eastAsia="宋体"/>
                      <w:highlight w:val="none"/>
                      <w:lang w:val="en-US" w:eastAsia="zh-CN"/>
                    </w:rPr>
                  </w:pPr>
                  <w:r>
                    <w:rPr>
                      <w:rFonts w:hint="eastAsia"/>
                      <w:highlight w:val="none"/>
                      <w:lang w:val="en-US" w:eastAsia="zh-CN"/>
                    </w:rPr>
                    <w:t>273</w:t>
                  </w:r>
                </w:p>
              </w:tc>
              <w:tc>
                <w:tcPr>
                  <w:tcW w:w="868" w:type="dxa"/>
                  <w:vAlign w:val="center"/>
                </w:tcPr>
                <w:p w14:paraId="219CEA8E">
                  <w:pPr>
                    <w:pStyle w:val="55"/>
                    <w:rPr>
                      <w:rFonts w:hint="default" w:eastAsia="宋体"/>
                      <w:color w:val="auto"/>
                      <w:highlight w:val="none"/>
                      <w:lang w:val="en-US" w:eastAsia="zh-CN"/>
                    </w:rPr>
                  </w:pPr>
                  <w:r>
                    <w:rPr>
                      <w:rFonts w:hint="eastAsia"/>
                      <w:color w:val="auto"/>
                      <w:highlight w:val="none"/>
                      <w:lang w:val="en-US" w:eastAsia="zh-CN"/>
                    </w:rPr>
                    <w:t>0.063</w:t>
                  </w:r>
                </w:p>
              </w:tc>
              <w:tc>
                <w:tcPr>
                  <w:tcW w:w="605" w:type="dxa"/>
                  <w:vMerge w:val="continue"/>
                  <w:vAlign w:val="center"/>
                </w:tcPr>
                <w:p w14:paraId="1BDF0A1A">
                  <w:pPr>
                    <w:pStyle w:val="55"/>
                    <w:rPr>
                      <w:highlight w:val="none"/>
                    </w:rPr>
                  </w:pPr>
                </w:p>
              </w:tc>
            </w:tr>
            <w:tr w14:paraId="2D84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6B8A0769">
                  <w:pPr>
                    <w:pStyle w:val="55"/>
                    <w:rPr>
                      <w:highlight w:val="none"/>
                    </w:rPr>
                  </w:pPr>
                </w:p>
              </w:tc>
              <w:tc>
                <w:tcPr>
                  <w:tcW w:w="812" w:type="dxa"/>
                  <w:vAlign w:val="center"/>
                </w:tcPr>
                <w:p w14:paraId="294B3032">
                  <w:pPr>
                    <w:pStyle w:val="55"/>
                    <w:rPr>
                      <w:highlight w:val="none"/>
                    </w:rPr>
                  </w:pPr>
                  <w:r>
                    <w:rPr>
                      <w:highlight w:val="none"/>
                    </w:rPr>
                    <w:t>SS</w:t>
                  </w:r>
                </w:p>
              </w:tc>
              <w:tc>
                <w:tcPr>
                  <w:tcW w:w="1091" w:type="dxa"/>
                  <w:vAlign w:val="center"/>
                </w:tcPr>
                <w:p w14:paraId="4484BB1E">
                  <w:pPr>
                    <w:pStyle w:val="55"/>
                    <w:rPr>
                      <w:highlight w:val="none"/>
                    </w:rPr>
                  </w:pPr>
                  <w:r>
                    <w:rPr>
                      <w:highlight w:val="none"/>
                    </w:rPr>
                    <w:t>250</w:t>
                  </w:r>
                </w:p>
              </w:tc>
              <w:tc>
                <w:tcPr>
                  <w:tcW w:w="938" w:type="dxa"/>
                  <w:vAlign w:val="center"/>
                </w:tcPr>
                <w:p w14:paraId="330B3648">
                  <w:pPr>
                    <w:pStyle w:val="5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0.058</w:t>
                  </w:r>
                </w:p>
              </w:tc>
              <w:tc>
                <w:tcPr>
                  <w:tcW w:w="1301" w:type="dxa"/>
                  <w:vMerge w:val="continue"/>
                  <w:vAlign w:val="center"/>
                </w:tcPr>
                <w:p w14:paraId="502E2D77">
                  <w:pPr>
                    <w:pStyle w:val="55"/>
                    <w:rPr>
                      <w:highlight w:val="none"/>
                    </w:rPr>
                  </w:pPr>
                </w:p>
              </w:tc>
              <w:tc>
                <w:tcPr>
                  <w:tcW w:w="811" w:type="dxa"/>
                  <w:vAlign w:val="center"/>
                </w:tcPr>
                <w:p w14:paraId="169308BF">
                  <w:pPr>
                    <w:pStyle w:val="55"/>
                    <w:rPr>
                      <w:rFonts w:hint="default" w:eastAsia="宋体"/>
                      <w:highlight w:val="none"/>
                      <w:lang w:val="en-US" w:eastAsia="zh-CN"/>
                    </w:rPr>
                  </w:pPr>
                  <w:r>
                    <w:rPr>
                      <w:rFonts w:hint="eastAsia"/>
                      <w:highlight w:val="none"/>
                      <w:lang w:val="en-US" w:eastAsia="zh-CN"/>
                    </w:rPr>
                    <w:t>25</w:t>
                  </w:r>
                </w:p>
              </w:tc>
              <w:tc>
                <w:tcPr>
                  <w:tcW w:w="1091" w:type="dxa"/>
                  <w:vAlign w:val="center"/>
                </w:tcPr>
                <w:p w14:paraId="21C34B0D">
                  <w:pPr>
                    <w:pStyle w:val="55"/>
                    <w:rPr>
                      <w:rFonts w:hint="default" w:eastAsia="宋体"/>
                      <w:highlight w:val="none"/>
                      <w:lang w:val="en-US" w:eastAsia="zh-CN"/>
                    </w:rPr>
                  </w:pPr>
                  <w:r>
                    <w:rPr>
                      <w:rFonts w:hint="eastAsia"/>
                      <w:highlight w:val="none"/>
                      <w:lang w:val="en-US" w:eastAsia="zh-CN"/>
                    </w:rPr>
                    <w:t>187.5</w:t>
                  </w:r>
                </w:p>
              </w:tc>
              <w:tc>
                <w:tcPr>
                  <w:tcW w:w="868" w:type="dxa"/>
                  <w:vAlign w:val="center"/>
                </w:tcPr>
                <w:p w14:paraId="5C22E605">
                  <w:pPr>
                    <w:pStyle w:val="55"/>
                    <w:rPr>
                      <w:rFonts w:hint="default" w:eastAsia="宋体"/>
                      <w:color w:val="auto"/>
                      <w:highlight w:val="none"/>
                      <w:lang w:val="en-US" w:eastAsia="zh-CN"/>
                    </w:rPr>
                  </w:pPr>
                  <w:r>
                    <w:rPr>
                      <w:rFonts w:hint="eastAsia"/>
                      <w:color w:val="auto"/>
                      <w:highlight w:val="none"/>
                      <w:lang w:val="en-US" w:eastAsia="zh-CN"/>
                    </w:rPr>
                    <w:t>0.044</w:t>
                  </w:r>
                </w:p>
              </w:tc>
              <w:tc>
                <w:tcPr>
                  <w:tcW w:w="605" w:type="dxa"/>
                  <w:vMerge w:val="continue"/>
                  <w:vAlign w:val="center"/>
                </w:tcPr>
                <w:p w14:paraId="41DF45C7">
                  <w:pPr>
                    <w:pStyle w:val="55"/>
                    <w:rPr>
                      <w:highlight w:val="none"/>
                    </w:rPr>
                  </w:pPr>
                </w:p>
              </w:tc>
            </w:tr>
            <w:tr w14:paraId="78F0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573BFFD3">
                  <w:pPr>
                    <w:pStyle w:val="55"/>
                    <w:rPr>
                      <w:highlight w:val="none"/>
                    </w:rPr>
                  </w:pPr>
                </w:p>
              </w:tc>
              <w:tc>
                <w:tcPr>
                  <w:tcW w:w="812" w:type="dxa"/>
                  <w:vAlign w:val="center"/>
                </w:tcPr>
                <w:p w14:paraId="33D23365">
                  <w:pPr>
                    <w:pStyle w:val="55"/>
                    <w:rPr>
                      <w:highlight w:val="none"/>
                    </w:rPr>
                  </w:pPr>
                  <w:r>
                    <w:rPr>
                      <w:highlight w:val="none"/>
                    </w:rPr>
                    <w:t>NH</w:t>
                  </w:r>
                  <w:r>
                    <w:rPr>
                      <w:highlight w:val="none"/>
                      <w:vertAlign w:val="subscript"/>
                    </w:rPr>
                    <w:t>3</w:t>
                  </w:r>
                  <w:r>
                    <w:rPr>
                      <w:highlight w:val="none"/>
                    </w:rPr>
                    <w:t>-N</w:t>
                  </w:r>
                </w:p>
              </w:tc>
              <w:tc>
                <w:tcPr>
                  <w:tcW w:w="1091" w:type="dxa"/>
                  <w:vAlign w:val="center"/>
                </w:tcPr>
                <w:p w14:paraId="220A7931">
                  <w:pPr>
                    <w:pStyle w:val="55"/>
                    <w:rPr>
                      <w:highlight w:val="none"/>
                    </w:rPr>
                  </w:pPr>
                  <w:r>
                    <w:rPr>
                      <w:highlight w:val="none"/>
                    </w:rPr>
                    <w:t>30</w:t>
                  </w:r>
                </w:p>
              </w:tc>
              <w:tc>
                <w:tcPr>
                  <w:tcW w:w="938" w:type="dxa"/>
                  <w:vAlign w:val="center"/>
                </w:tcPr>
                <w:p w14:paraId="06D81BEE">
                  <w:pPr>
                    <w:pStyle w:val="55"/>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0.007</w:t>
                  </w:r>
                </w:p>
              </w:tc>
              <w:tc>
                <w:tcPr>
                  <w:tcW w:w="1301" w:type="dxa"/>
                  <w:vMerge w:val="continue"/>
                  <w:vAlign w:val="center"/>
                </w:tcPr>
                <w:p w14:paraId="2BB425BF">
                  <w:pPr>
                    <w:pStyle w:val="55"/>
                    <w:rPr>
                      <w:highlight w:val="none"/>
                    </w:rPr>
                  </w:pPr>
                </w:p>
              </w:tc>
              <w:tc>
                <w:tcPr>
                  <w:tcW w:w="811" w:type="dxa"/>
                  <w:vAlign w:val="center"/>
                </w:tcPr>
                <w:p w14:paraId="3918D146">
                  <w:pPr>
                    <w:pStyle w:val="55"/>
                    <w:rPr>
                      <w:rFonts w:hint="eastAsia" w:eastAsia="宋体"/>
                      <w:highlight w:val="none"/>
                      <w:lang w:eastAsia="zh-CN"/>
                    </w:rPr>
                  </w:pPr>
                  <w:r>
                    <w:rPr>
                      <w:rFonts w:hint="eastAsia"/>
                      <w:highlight w:val="none"/>
                      <w:lang w:val="en-US" w:eastAsia="zh-CN"/>
                    </w:rPr>
                    <w:t>3</w:t>
                  </w:r>
                </w:p>
              </w:tc>
              <w:tc>
                <w:tcPr>
                  <w:tcW w:w="1091" w:type="dxa"/>
                  <w:vAlign w:val="center"/>
                </w:tcPr>
                <w:p w14:paraId="08214FD0">
                  <w:pPr>
                    <w:pStyle w:val="55"/>
                    <w:rPr>
                      <w:rFonts w:hint="default" w:eastAsia="宋体"/>
                      <w:highlight w:val="none"/>
                      <w:lang w:val="en-US" w:eastAsia="zh-CN"/>
                    </w:rPr>
                  </w:pPr>
                  <w:r>
                    <w:rPr>
                      <w:rFonts w:hint="eastAsia"/>
                      <w:highlight w:val="none"/>
                      <w:lang w:val="en-US" w:eastAsia="zh-CN"/>
                    </w:rPr>
                    <w:t>29.1</w:t>
                  </w:r>
                </w:p>
              </w:tc>
              <w:tc>
                <w:tcPr>
                  <w:tcW w:w="868" w:type="dxa"/>
                  <w:vAlign w:val="center"/>
                </w:tcPr>
                <w:p w14:paraId="00FF88D4">
                  <w:pPr>
                    <w:pStyle w:val="55"/>
                    <w:rPr>
                      <w:rFonts w:hint="default" w:eastAsia="宋体"/>
                      <w:color w:val="auto"/>
                      <w:highlight w:val="none"/>
                      <w:lang w:val="en-US" w:eastAsia="zh-CN"/>
                    </w:rPr>
                  </w:pPr>
                  <w:r>
                    <w:rPr>
                      <w:rFonts w:hint="eastAsia"/>
                      <w:color w:val="auto"/>
                      <w:highlight w:val="none"/>
                      <w:lang w:val="en-US" w:eastAsia="zh-CN"/>
                    </w:rPr>
                    <w:t>0.007</w:t>
                  </w:r>
                </w:p>
              </w:tc>
              <w:tc>
                <w:tcPr>
                  <w:tcW w:w="605" w:type="dxa"/>
                  <w:vMerge w:val="continue"/>
                  <w:vAlign w:val="center"/>
                </w:tcPr>
                <w:p w14:paraId="6630CB36">
                  <w:pPr>
                    <w:pStyle w:val="55"/>
                    <w:rPr>
                      <w:highlight w:val="none"/>
                    </w:rPr>
                  </w:pPr>
                </w:p>
              </w:tc>
            </w:tr>
          </w:tbl>
          <w:p w14:paraId="0B4E9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Times New Roman"/>
                <w:b/>
                <w:bCs/>
                <w:sz w:val="21"/>
                <w:szCs w:val="21"/>
                <w:highlight w:val="none"/>
              </w:rPr>
            </w:pPr>
            <w:r>
              <w:rPr>
                <w:rFonts w:hint="eastAsia" w:ascii="宋体" w:hAnsi="宋体" w:eastAsia="Times New Roman"/>
                <w:b/>
                <w:bCs/>
                <w:sz w:val="21"/>
                <w:szCs w:val="21"/>
                <w:highlight w:val="none"/>
              </w:rPr>
              <w:t>表</w:t>
            </w:r>
            <w:r>
              <w:rPr>
                <w:rFonts w:hint="eastAsia" w:ascii="Times New Roman" w:hAnsi="Times New Roman" w:eastAsia="Times New Roman" w:cs="Times New Roman"/>
                <w:b/>
                <w:bCs/>
                <w:sz w:val="21"/>
                <w:szCs w:val="21"/>
                <w:highlight w:val="none"/>
              </w:rPr>
              <w:t>4-</w:t>
            </w:r>
            <w:r>
              <w:rPr>
                <w:rFonts w:hint="eastAsia" w:eastAsia="Times New Roman" w:cs="Times New Roman"/>
                <w:b/>
                <w:bCs/>
                <w:sz w:val="21"/>
                <w:szCs w:val="21"/>
                <w:highlight w:val="none"/>
                <w:lang w:val="en-US" w:eastAsia="zh-CN"/>
              </w:rPr>
              <w:t>6</w:t>
            </w:r>
            <w:r>
              <w:rPr>
                <w:rFonts w:hint="eastAsia" w:ascii="宋体" w:hAnsi="宋体" w:eastAsia="Times New Roman"/>
                <w:b/>
                <w:bCs/>
                <w:sz w:val="21"/>
                <w:szCs w:val="21"/>
                <w:highlight w:val="none"/>
              </w:rPr>
              <w:t xml:space="preserve">  废水排放</w:t>
            </w:r>
            <w:r>
              <w:rPr>
                <w:rFonts w:hint="eastAsia" w:ascii="宋体" w:hAnsi="宋体" w:eastAsia="宋体"/>
                <w:b/>
                <w:bCs/>
                <w:sz w:val="21"/>
                <w:szCs w:val="21"/>
                <w:highlight w:val="none"/>
                <w:lang w:val="en-US" w:eastAsia="zh-CN"/>
              </w:rPr>
              <w:t>口</w:t>
            </w:r>
            <w:r>
              <w:rPr>
                <w:rFonts w:hint="eastAsia" w:ascii="宋体" w:hAnsi="宋体" w:eastAsia="Times New Roman"/>
                <w:b/>
                <w:bCs/>
                <w:sz w:val="21"/>
                <w:szCs w:val="21"/>
                <w:highlight w:val="none"/>
              </w:rPr>
              <w:t>情况表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90"/>
              <w:gridCol w:w="576"/>
              <w:gridCol w:w="1234"/>
              <w:gridCol w:w="883"/>
              <w:gridCol w:w="1033"/>
              <w:gridCol w:w="567"/>
              <w:gridCol w:w="417"/>
              <w:gridCol w:w="1712"/>
            </w:tblGrid>
            <w:tr w14:paraId="54C89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Merge w:val="restart"/>
                  <w:vAlign w:val="center"/>
                </w:tcPr>
                <w:p w14:paraId="3CBCAB78">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污染源</w:t>
                  </w:r>
                </w:p>
              </w:tc>
              <w:tc>
                <w:tcPr>
                  <w:tcW w:w="1642" w:type="pct"/>
                  <w:gridSpan w:val="3"/>
                  <w:vAlign w:val="center"/>
                </w:tcPr>
                <w:p w14:paraId="3BB7526D">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排放口基本情况</w:t>
                  </w:r>
                  <w:r>
                    <w:rPr>
                      <w:rFonts w:hint="eastAsia" w:cs="Times New Roman"/>
                      <w:bCs/>
                      <w:color w:val="000000"/>
                      <w:kern w:val="2"/>
                      <w:sz w:val="21"/>
                      <w:szCs w:val="21"/>
                      <w:highlight w:val="none"/>
                      <w:lang w:val="en-US" w:eastAsia="zh-CN" w:bidi="ar-SA"/>
                    </w:rPr>
                    <w:t>（一般排放口）</w:t>
                  </w:r>
                </w:p>
              </w:tc>
              <w:tc>
                <w:tcPr>
                  <w:tcW w:w="557" w:type="pct"/>
                  <w:vMerge w:val="restart"/>
                  <w:vAlign w:val="center"/>
                </w:tcPr>
                <w:p w14:paraId="23BCA3F0">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主要污染物</w:t>
                  </w:r>
                </w:p>
              </w:tc>
              <w:tc>
                <w:tcPr>
                  <w:tcW w:w="652" w:type="pct"/>
                  <w:vMerge w:val="restart"/>
                  <w:vAlign w:val="center"/>
                </w:tcPr>
                <w:p w14:paraId="0071FFF9">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排放标准（mg/L）</w:t>
                  </w:r>
                </w:p>
              </w:tc>
              <w:tc>
                <w:tcPr>
                  <w:tcW w:w="358" w:type="pct"/>
                  <w:vMerge w:val="restart"/>
                  <w:vAlign w:val="center"/>
                </w:tcPr>
                <w:p w14:paraId="7B639B51">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排放方式</w:t>
                  </w:r>
                </w:p>
              </w:tc>
              <w:tc>
                <w:tcPr>
                  <w:tcW w:w="263" w:type="pct"/>
                  <w:vMerge w:val="restart"/>
                  <w:vAlign w:val="center"/>
                </w:tcPr>
                <w:p w14:paraId="27513ED6">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排放规律</w:t>
                  </w:r>
                </w:p>
              </w:tc>
              <w:tc>
                <w:tcPr>
                  <w:tcW w:w="1081" w:type="pct"/>
                  <w:vMerge w:val="restart"/>
                  <w:vAlign w:val="center"/>
                </w:tcPr>
                <w:p w14:paraId="7F3B5C4F">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排放去向</w:t>
                  </w:r>
                </w:p>
              </w:tc>
            </w:tr>
            <w:tr w14:paraId="09CA6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44" w:type="pct"/>
                  <w:vMerge w:val="continue"/>
                  <w:vAlign w:val="center"/>
                </w:tcPr>
                <w:p w14:paraId="0A38200F">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498" w:type="pct"/>
                  <w:vAlign w:val="center"/>
                </w:tcPr>
                <w:p w14:paraId="68AEDC92">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名称</w:t>
                  </w:r>
                </w:p>
              </w:tc>
              <w:tc>
                <w:tcPr>
                  <w:tcW w:w="363" w:type="pct"/>
                  <w:vAlign w:val="center"/>
                </w:tcPr>
                <w:p w14:paraId="1A44D232">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编号</w:t>
                  </w:r>
                </w:p>
              </w:tc>
              <w:tc>
                <w:tcPr>
                  <w:tcW w:w="779" w:type="pct"/>
                  <w:vAlign w:val="center"/>
                </w:tcPr>
                <w:p w14:paraId="10ABAC54">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坐标</w:t>
                  </w:r>
                  <w:r>
                    <w:rPr>
                      <w:rFonts w:ascii="Times New Roman" w:hAnsi="Times New Roman" w:eastAsia="宋体" w:cs="Times New Roman"/>
                      <w:bCs/>
                      <w:color w:val="000000"/>
                      <w:kern w:val="2"/>
                      <w:sz w:val="21"/>
                      <w:szCs w:val="21"/>
                      <w:highlight w:val="none"/>
                      <w:lang w:val="en-GB" w:eastAsia="zh-CN" w:bidi="ar-SA"/>
                    </w:rPr>
                    <w:t>（</w:t>
                  </w:r>
                  <w:r>
                    <w:rPr>
                      <w:rFonts w:ascii="Times New Roman" w:hAnsi="Times New Roman" w:eastAsia="宋体" w:cs="Times New Roman"/>
                      <w:bCs/>
                      <w:color w:val="000000"/>
                      <w:kern w:val="2"/>
                      <w:sz w:val="21"/>
                      <w:szCs w:val="21"/>
                      <w:highlight w:val="none"/>
                      <w:lang w:val="en-US" w:eastAsia="zh-CN" w:bidi="ar-SA"/>
                    </w:rPr>
                    <w:t>°</w:t>
                  </w:r>
                  <w:r>
                    <w:rPr>
                      <w:rFonts w:ascii="Times New Roman" w:hAnsi="Times New Roman" w:eastAsia="宋体" w:cs="Times New Roman"/>
                      <w:bCs/>
                      <w:color w:val="000000"/>
                      <w:kern w:val="2"/>
                      <w:sz w:val="21"/>
                      <w:szCs w:val="21"/>
                      <w:highlight w:val="none"/>
                      <w:lang w:val="en-GB" w:eastAsia="zh-CN" w:bidi="ar-SA"/>
                    </w:rPr>
                    <w:t>）</w:t>
                  </w:r>
                </w:p>
              </w:tc>
              <w:tc>
                <w:tcPr>
                  <w:tcW w:w="557" w:type="pct"/>
                  <w:vMerge w:val="continue"/>
                  <w:vAlign w:val="center"/>
                </w:tcPr>
                <w:p w14:paraId="20F993E0">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652" w:type="pct"/>
                  <w:vMerge w:val="continue"/>
                  <w:vAlign w:val="center"/>
                </w:tcPr>
                <w:p w14:paraId="33FC5F8B">
                  <w:pPr>
                    <w:widowControl/>
                    <w:spacing w:line="240" w:lineRule="auto"/>
                    <w:ind w:firstLine="0" w:firstLineChars="0"/>
                    <w:jc w:val="center"/>
                    <w:textAlignment w:val="auto"/>
                    <w:rPr>
                      <w:rFonts w:cs="Times New Roman"/>
                      <w:sz w:val="21"/>
                      <w:szCs w:val="21"/>
                      <w:highlight w:val="none"/>
                    </w:rPr>
                  </w:pPr>
                </w:p>
              </w:tc>
              <w:tc>
                <w:tcPr>
                  <w:tcW w:w="358" w:type="pct"/>
                  <w:vMerge w:val="continue"/>
                  <w:vAlign w:val="center"/>
                </w:tcPr>
                <w:p w14:paraId="11C2E4E8">
                  <w:pPr>
                    <w:widowControl/>
                    <w:spacing w:line="240" w:lineRule="auto"/>
                    <w:ind w:firstLine="0" w:firstLineChars="0"/>
                    <w:jc w:val="center"/>
                    <w:textAlignment w:val="auto"/>
                    <w:rPr>
                      <w:rFonts w:cs="Times New Roman"/>
                      <w:sz w:val="21"/>
                      <w:szCs w:val="21"/>
                      <w:highlight w:val="none"/>
                    </w:rPr>
                  </w:pPr>
                </w:p>
              </w:tc>
              <w:tc>
                <w:tcPr>
                  <w:tcW w:w="263" w:type="pct"/>
                  <w:vMerge w:val="continue"/>
                  <w:vAlign w:val="center"/>
                </w:tcPr>
                <w:p w14:paraId="03A6F269">
                  <w:pPr>
                    <w:widowControl/>
                    <w:spacing w:line="240" w:lineRule="auto"/>
                    <w:ind w:firstLine="0" w:firstLineChars="0"/>
                    <w:jc w:val="center"/>
                    <w:textAlignment w:val="auto"/>
                    <w:rPr>
                      <w:rFonts w:cs="Times New Roman"/>
                      <w:sz w:val="21"/>
                      <w:szCs w:val="21"/>
                      <w:highlight w:val="none"/>
                    </w:rPr>
                  </w:pPr>
                </w:p>
              </w:tc>
              <w:tc>
                <w:tcPr>
                  <w:tcW w:w="1081" w:type="pct"/>
                  <w:vMerge w:val="continue"/>
                  <w:vAlign w:val="center"/>
                </w:tcPr>
                <w:p w14:paraId="6C3EB2DE">
                  <w:pPr>
                    <w:widowControl/>
                    <w:spacing w:line="240" w:lineRule="auto"/>
                    <w:ind w:firstLine="0" w:firstLineChars="0"/>
                    <w:jc w:val="center"/>
                    <w:textAlignment w:val="auto"/>
                    <w:rPr>
                      <w:rFonts w:cs="Times New Roman"/>
                      <w:sz w:val="21"/>
                      <w:szCs w:val="21"/>
                      <w:highlight w:val="none"/>
                    </w:rPr>
                  </w:pPr>
                </w:p>
              </w:tc>
            </w:tr>
            <w:tr w14:paraId="3D38D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4" w:type="pct"/>
                  <w:vMerge w:val="restart"/>
                  <w:vAlign w:val="center"/>
                </w:tcPr>
                <w:p w14:paraId="5024C12B">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生活污水</w:t>
                  </w:r>
                </w:p>
              </w:tc>
              <w:tc>
                <w:tcPr>
                  <w:tcW w:w="498" w:type="pct"/>
                  <w:vMerge w:val="restart"/>
                  <w:vAlign w:val="center"/>
                </w:tcPr>
                <w:p w14:paraId="5BEE1EF4">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生活污水</w:t>
                  </w:r>
                  <w:r>
                    <w:rPr>
                      <w:rFonts w:ascii="Times New Roman" w:hAnsi="Times New Roman" w:eastAsia="宋体" w:cs="Times New Roman"/>
                      <w:bCs/>
                      <w:color w:val="000000"/>
                      <w:kern w:val="2"/>
                      <w:sz w:val="21"/>
                      <w:szCs w:val="21"/>
                      <w:highlight w:val="none"/>
                      <w:lang w:val="en-US" w:eastAsia="zh-CN" w:bidi="ar-SA"/>
                    </w:rPr>
                    <w:t>排放口</w:t>
                  </w:r>
                </w:p>
              </w:tc>
              <w:tc>
                <w:tcPr>
                  <w:tcW w:w="363" w:type="pct"/>
                  <w:vMerge w:val="restart"/>
                  <w:vAlign w:val="center"/>
                </w:tcPr>
                <w:p w14:paraId="663F36E5">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DW001</w:t>
                  </w:r>
                </w:p>
              </w:tc>
              <w:tc>
                <w:tcPr>
                  <w:tcW w:w="779" w:type="pct"/>
                  <w:vMerge w:val="restart"/>
                  <w:vAlign w:val="center"/>
                </w:tcPr>
                <w:p w14:paraId="79CDB98E">
                  <w:pPr>
                    <w:pStyle w:val="55"/>
                    <w:jc w:val="center"/>
                    <w:rPr>
                      <w:rFonts w:ascii="Times New Roman" w:hAnsi="Times New Roman" w:eastAsia="宋体" w:cs="Times New Roman"/>
                      <w:bCs/>
                      <w:color w:val="000000"/>
                      <w:kern w:val="2"/>
                      <w:sz w:val="21"/>
                      <w:szCs w:val="21"/>
                      <w:highlight w:val="none"/>
                      <w:lang w:val="en-GB" w:eastAsia="zh-CN" w:bidi="ar-SA"/>
                    </w:rPr>
                  </w:pPr>
                  <w:r>
                    <w:rPr>
                      <w:rFonts w:hint="eastAsia" w:ascii="Times New Roman" w:hAnsi="Times New Roman" w:eastAsia="宋体" w:cs="Times New Roman"/>
                      <w:bCs/>
                      <w:color w:val="000000"/>
                      <w:kern w:val="2"/>
                      <w:sz w:val="21"/>
                      <w:szCs w:val="21"/>
                      <w:highlight w:val="none"/>
                      <w:lang w:val="en-US" w:eastAsia="zh-CN" w:bidi="ar-SA"/>
                    </w:rPr>
                    <w:t>N</w:t>
                  </w:r>
                  <w:r>
                    <w:rPr>
                      <w:rFonts w:hint="eastAsia" w:ascii="Times New Roman" w:hAnsi="Times New Roman" w:eastAsia="宋体" w:cs="Times New Roman"/>
                      <w:bCs/>
                      <w:color w:val="000000"/>
                      <w:kern w:val="2"/>
                      <w:sz w:val="21"/>
                      <w:szCs w:val="21"/>
                      <w:highlight w:val="none"/>
                      <w:lang w:val="en-GB" w:eastAsia="zh-CN" w:bidi="ar-SA"/>
                    </w:rPr>
                    <w:t>38°49'53.186"</w:t>
                  </w:r>
                </w:p>
                <w:p w14:paraId="2D1DDD38">
                  <w:pPr>
                    <w:spacing w:line="240" w:lineRule="auto"/>
                    <w:ind w:firstLine="0" w:firstLineChars="0"/>
                    <w:jc w:val="center"/>
                    <w:rPr>
                      <w:rFonts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E</w:t>
                  </w:r>
                  <w:r>
                    <w:rPr>
                      <w:rFonts w:hint="eastAsia" w:ascii="Times New Roman" w:hAnsi="Times New Roman" w:eastAsia="宋体" w:cs="Times New Roman"/>
                      <w:bCs/>
                      <w:color w:val="000000"/>
                      <w:kern w:val="2"/>
                      <w:sz w:val="21"/>
                      <w:szCs w:val="21"/>
                      <w:highlight w:val="none"/>
                      <w:lang w:val="en-GB" w:eastAsia="zh-CN" w:bidi="ar-SA"/>
                    </w:rPr>
                    <w:t>88°15'37.115</w:t>
                  </w:r>
                  <w:r>
                    <w:rPr>
                      <w:rFonts w:hint="eastAsia"/>
                      <w:color w:val="auto"/>
                      <w:highlight w:val="none"/>
                      <w:lang w:val="en-GB"/>
                    </w:rPr>
                    <w:t>"</w:t>
                  </w:r>
                </w:p>
              </w:tc>
              <w:tc>
                <w:tcPr>
                  <w:tcW w:w="557" w:type="pct"/>
                  <w:vAlign w:val="center"/>
                </w:tcPr>
                <w:p w14:paraId="7B0FAB91">
                  <w:pPr>
                    <w:spacing w:line="240" w:lineRule="auto"/>
                    <w:ind w:firstLine="0" w:firstLineChars="0"/>
                    <w:contextualSpacing/>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COD</w:t>
                  </w:r>
                </w:p>
              </w:tc>
              <w:tc>
                <w:tcPr>
                  <w:tcW w:w="652" w:type="pct"/>
                  <w:vAlign w:val="center"/>
                </w:tcPr>
                <w:p w14:paraId="03A010AB">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color w:val="000000"/>
                      <w:sz w:val="21"/>
                      <w:szCs w:val="21"/>
                      <w:highlight w:val="none"/>
                      <w:lang w:val="en-US" w:eastAsia="zh-CN"/>
                    </w:rPr>
                    <w:t>500</w:t>
                  </w:r>
                </w:p>
              </w:tc>
              <w:tc>
                <w:tcPr>
                  <w:tcW w:w="358" w:type="pct"/>
                  <w:vMerge w:val="restart"/>
                  <w:vAlign w:val="center"/>
                </w:tcPr>
                <w:p w14:paraId="1BCDAC9C">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间接排放</w:t>
                  </w:r>
                </w:p>
              </w:tc>
              <w:tc>
                <w:tcPr>
                  <w:tcW w:w="263" w:type="pct"/>
                  <w:vMerge w:val="restart"/>
                  <w:vAlign w:val="center"/>
                </w:tcPr>
                <w:p w14:paraId="6001EA96">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lang w:val="en-US" w:eastAsia="zh-CN"/>
                    </w:rPr>
                    <w:t>间接</w:t>
                  </w:r>
                </w:p>
              </w:tc>
              <w:tc>
                <w:tcPr>
                  <w:tcW w:w="1081" w:type="pct"/>
                  <w:vMerge w:val="restart"/>
                  <w:vAlign w:val="center"/>
                </w:tcPr>
                <w:p w14:paraId="59BBDB6D">
                  <w:pPr>
                    <w:spacing w:line="240" w:lineRule="auto"/>
                    <w:ind w:firstLine="0" w:firstLineChars="0"/>
                    <w:jc w:val="center"/>
                    <w:rPr>
                      <w:rFonts w:hint="eastAsia" w:eastAsia="宋体" w:cs="Times New Roman"/>
                      <w:sz w:val="21"/>
                      <w:szCs w:val="21"/>
                      <w:highlight w:val="none"/>
                      <w:lang w:eastAsia="zh-CN"/>
                    </w:rPr>
                  </w:pPr>
                  <w:r>
                    <w:rPr>
                      <w:rFonts w:hint="eastAsia" w:cs="Times New Roman"/>
                      <w:sz w:val="21"/>
                      <w:szCs w:val="21"/>
                      <w:highlight w:val="none"/>
                    </w:rPr>
                    <w:t>经化粪池预处理后拉运至若羌县污水处理厂进一步处理，</w:t>
                  </w:r>
                  <w:r>
                    <w:rPr>
                      <w:rFonts w:hint="eastAsia" w:cs="Times New Roman"/>
                      <w:sz w:val="21"/>
                      <w:szCs w:val="21"/>
                      <w:highlight w:val="none"/>
                      <w:lang w:eastAsia="zh-CN"/>
                    </w:rPr>
                    <w:t>待园区污水管网接通后排入管网</w:t>
                  </w:r>
                </w:p>
              </w:tc>
            </w:tr>
            <w:tr w14:paraId="48A43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vAlign w:val="center"/>
                </w:tcPr>
                <w:p w14:paraId="142FFEF7">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498" w:type="pct"/>
                  <w:vMerge w:val="continue"/>
                  <w:vAlign w:val="center"/>
                </w:tcPr>
                <w:p w14:paraId="1017C0D5">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363" w:type="pct"/>
                  <w:vMerge w:val="continue"/>
                  <w:vAlign w:val="center"/>
                </w:tcPr>
                <w:p w14:paraId="799A582B">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779" w:type="pct"/>
                  <w:vMerge w:val="continue"/>
                  <w:vAlign w:val="center"/>
                </w:tcPr>
                <w:p w14:paraId="3BF26C11">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557" w:type="pct"/>
                  <w:vAlign w:val="center"/>
                </w:tcPr>
                <w:p w14:paraId="6F606436">
                  <w:pPr>
                    <w:spacing w:line="240" w:lineRule="auto"/>
                    <w:ind w:firstLine="0" w:firstLineChars="0"/>
                    <w:contextualSpacing/>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BOD</w:t>
                  </w:r>
                  <w:r>
                    <w:rPr>
                      <w:rFonts w:ascii="Times New Roman" w:hAnsi="Times New Roman" w:eastAsia="宋体" w:cs="Times New Roman"/>
                      <w:bCs/>
                      <w:color w:val="000000"/>
                      <w:kern w:val="2"/>
                      <w:sz w:val="21"/>
                      <w:szCs w:val="21"/>
                      <w:highlight w:val="none"/>
                      <w:vertAlign w:val="subscript"/>
                      <w:lang w:val="en-US" w:eastAsia="zh-CN" w:bidi="ar-SA"/>
                    </w:rPr>
                    <w:t>5</w:t>
                  </w:r>
                </w:p>
              </w:tc>
              <w:tc>
                <w:tcPr>
                  <w:tcW w:w="652" w:type="pct"/>
                  <w:vAlign w:val="center"/>
                </w:tcPr>
                <w:p w14:paraId="09B10B20">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color w:val="000000"/>
                      <w:sz w:val="21"/>
                      <w:szCs w:val="21"/>
                      <w:highlight w:val="none"/>
                      <w:lang w:val="en-US" w:eastAsia="zh-CN"/>
                    </w:rPr>
                    <w:t>300</w:t>
                  </w:r>
                </w:p>
              </w:tc>
              <w:tc>
                <w:tcPr>
                  <w:tcW w:w="358" w:type="pct"/>
                  <w:vMerge w:val="continue"/>
                  <w:vAlign w:val="center"/>
                </w:tcPr>
                <w:p w14:paraId="552B5163">
                  <w:pPr>
                    <w:widowControl/>
                    <w:spacing w:line="240" w:lineRule="auto"/>
                    <w:ind w:firstLine="0" w:firstLineChars="0"/>
                    <w:jc w:val="center"/>
                    <w:textAlignment w:val="auto"/>
                    <w:rPr>
                      <w:rFonts w:cs="Times New Roman"/>
                      <w:sz w:val="21"/>
                      <w:szCs w:val="21"/>
                      <w:highlight w:val="none"/>
                    </w:rPr>
                  </w:pPr>
                </w:p>
              </w:tc>
              <w:tc>
                <w:tcPr>
                  <w:tcW w:w="263" w:type="pct"/>
                  <w:vMerge w:val="continue"/>
                  <w:vAlign w:val="center"/>
                </w:tcPr>
                <w:p w14:paraId="2777E416">
                  <w:pPr>
                    <w:widowControl/>
                    <w:spacing w:line="240" w:lineRule="auto"/>
                    <w:ind w:firstLine="0" w:firstLineChars="0"/>
                    <w:jc w:val="center"/>
                    <w:textAlignment w:val="auto"/>
                    <w:rPr>
                      <w:rFonts w:cs="Times New Roman"/>
                      <w:sz w:val="21"/>
                      <w:szCs w:val="21"/>
                      <w:highlight w:val="none"/>
                    </w:rPr>
                  </w:pPr>
                </w:p>
              </w:tc>
              <w:tc>
                <w:tcPr>
                  <w:tcW w:w="1081" w:type="pct"/>
                  <w:vMerge w:val="continue"/>
                  <w:vAlign w:val="center"/>
                </w:tcPr>
                <w:p w14:paraId="49A79EB1">
                  <w:pPr>
                    <w:widowControl/>
                    <w:spacing w:line="240" w:lineRule="auto"/>
                    <w:ind w:firstLine="0" w:firstLineChars="0"/>
                    <w:jc w:val="center"/>
                    <w:textAlignment w:val="auto"/>
                    <w:rPr>
                      <w:rFonts w:cs="Times New Roman"/>
                      <w:sz w:val="21"/>
                      <w:szCs w:val="21"/>
                      <w:highlight w:val="none"/>
                    </w:rPr>
                  </w:pPr>
                </w:p>
              </w:tc>
            </w:tr>
            <w:tr w14:paraId="64D2E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vAlign w:val="center"/>
                </w:tcPr>
                <w:p w14:paraId="58638AA8">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498" w:type="pct"/>
                  <w:vMerge w:val="continue"/>
                  <w:vAlign w:val="center"/>
                </w:tcPr>
                <w:p w14:paraId="021531D8">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363" w:type="pct"/>
                  <w:vMerge w:val="continue"/>
                  <w:vAlign w:val="center"/>
                </w:tcPr>
                <w:p w14:paraId="75450B62">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779" w:type="pct"/>
                  <w:vMerge w:val="continue"/>
                  <w:vAlign w:val="center"/>
                </w:tcPr>
                <w:p w14:paraId="6835D33B">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557" w:type="pct"/>
                  <w:vAlign w:val="center"/>
                </w:tcPr>
                <w:p w14:paraId="0641AD54">
                  <w:pPr>
                    <w:spacing w:line="240" w:lineRule="auto"/>
                    <w:ind w:firstLine="0" w:firstLineChars="0"/>
                    <w:contextualSpacing/>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SS</w:t>
                  </w:r>
                </w:p>
              </w:tc>
              <w:tc>
                <w:tcPr>
                  <w:tcW w:w="652" w:type="pct"/>
                  <w:vAlign w:val="center"/>
                </w:tcPr>
                <w:p w14:paraId="36CCF874">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color w:val="000000"/>
                      <w:sz w:val="21"/>
                      <w:szCs w:val="21"/>
                      <w:highlight w:val="none"/>
                      <w:lang w:val="en-US" w:eastAsia="zh-CN"/>
                    </w:rPr>
                    <w:t>400</w:t>
                  </w:r>
                </w:p>
              </w:tc>
              <w:tc>
                <w:tcPr>
                  <w:tcW w:w="358" w:type="pct"/>
                  <w:vMerge w:val="continue"/>
                  <w:vAlign w:val="center"/>
                </w:tcPr>
                <w:p w14:paraId="3F9ED1B1">
                  <w:pPr>
                    <w:widowControl/>
                    <w:spacing w:line="240" w:lineRule="auto"/>
                    <w:ind w:firstLine="0" w:firstLineChars="0"/>
                    <w:jc w:val="center"/>
                    <w:textAlignment w:val="auto"/>
                    <w:rPr>
                      <w:rFonts w:cs="Times New Roman"/>
                      <w:sz w:val="21"/>
                      <w:szCs w:val="21"/>
                      <w:highlight w:val="none"/>
                    </w:rPr>
                  </w:pPr>
                </w:p>
              </w:tc>
              <w:tc>
                <w:tcPr>
                  <w:tcW w:w="263" w:type="pct"/>
                  <w:vMerge w:val="continue"/>
                  <w:vAlign w:val="center"/>
                </w:tcPr>
                <w:p w14:paraId="5FAAD20E">
                  <w:pPr>
                    <w:widowControl/>
                    <w:spacing w:line="240" w:lineRule="auto"/>
                    <w:ind w:firstLine="0" w:firstLineChars="0"/>
                    <w:jc w:val="center"/>
                    <w:textAlignment w:val="auto"/>
                    <w:rPr>
                      <w:rFonts w:cs="Times New Roman"/>
                      <w:sz w:val="21"/>
                      <w:szCs w:val="21"/>
                      <w:highlight w:val="none"/>
                    </w:rPr>
                  </w:pPr>
                </w:p>
              </w:tc>
              <w:tc>
                <w:tcPr>
                  <w:tcW w:w="1081" w:type="pct"/>
                  <w:vMerge w:val="continue"/>
                  <w:vAlign w:val="center"/>
                </w:tcPr>
                <w:p w14:paraId="4A7A5A3B">
                  <w:pPr>
                    <w:widowControl/>
                    <w:spacing w:line="240" w:lineRule="auto"/>
                    <w:ind w:firstLine="0" w:firstLineChars="0"/>
                    <w:jc w:val="center"/>
                    <w:textAlignment w:val="auto"/>
                    <w:rPr>
                      <w:rFonts w:cs="Times New Roman"/>
                      <w:sz w:val="21"/>
                      <w:szCs w:val="21"/>
                      <w:highlight w:val="none"/>
                    </w:rPr>
                  </w:pPr>
                </w:p>
              </w:tc>
            </w:tr>
            <w:tr w14:paraId="6D41C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vAlign w:val="center"/>
                </w:tcPr>
                <w:p w14:paraId="589BA87A">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498" w:type="pct"/>
                  <w:vMerge w:val="continue"/>
                  <w:vAlign w:val="center"/>
                </w:tcPr>
                <w:p w14:paraId="3D80B633">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363" w:type="pct"/>
                  <w:vMerge w:val="continue"/>
                  <w:vAlign w:val="center"/>
                </w:tcPr>
                <w:p w14:paraId="70943DF9">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779" w:type="pct"/>
                  <w:vMerge w:val="continue"/>
                  <w:vAlign w:val="center"/>
                </w:tcPr>
                <w:p w14:paraId="5D7451B6">
                  <w:pPr>
                    <w:widowControl/>
                    <w:spacing w:line="240" w:lineRule="auto"/>
                    <w:ind w:firstLine="0" w:firstLineChars="0"/>
                    <w:jc w:val="center"/>
                    <w:textAlignment w:val="auto"/>
                    <w:rPr>
                      <w:rFonts w:ascii="Times New Roman" w:hAnsi="Times New Roman" w:eastAsia="宋体" w:cs="Times New Roman"/>
                      <w:bCs/>
                      <w:color w:val="000000"/>
                      <w:kern w:val="2"/>
                      <w:sz w:val="21"/>
                      <w:szCs w:val="21"/>
                      <w:highlight w:val="none"/>
                      <w:lang w:val="en-US" w:eastAsia="zh-CN" w:bidi="ar-SA"/>
                    </w:rPr>
                  </w:pPr>
                </w:p>
              </w:tc>
              <w:tc>
                <w:tcPr>
                  <w:tcW w:w="557" w:type="pct"/>
                  <w:vAlign w:val="center"/>
                </w:tcPr>
                <w:p w14:paraId="60023784">
                  <w:pPr>
                    <w:spacing w:line="240" w:lineRule="auto"/>
                    <w:ind w:firstLine="0" w:firstLineChars="0"/>
                    <w:contextualSpacing/>
                    <w:jc w:val="center"/>
                    <w:rPr>
                      <w:rFonts w:ascii="Times New Roman" w:hAnsi="Times New Roman" w:eastAsia="宋体" w:cs="Times New Roman"/>
                      <w:bCs/>
                      <w:color w:val="000000"/>
                      <w:kern w:val="2"/>
                      <w:sz w:val="21"/>
                      <w:szCs w:val="21"/>
                      <w:highlight w:val="none"/>
                      <w:lang w:val="en-US" w:eastAsia="zh-CN" w:bidi="ar-SA"/>
                    </w:rPr>
                  </w:pPr>
                  <w:r>
                    <w:rPr>
                      <w:rFonts w:ascii="Times New Roman" w:hAnsi="Times New Roman" w:eastAsia="宋体" w:cs="Times New Roman"/>
                      <w:bCs/>
                      <w:color w:val="000000"/>
                      <w:kern w:val="2"/>
                      <w:sz w:val="21"/>
                      <w:szCs w:val="21"/>
                      <w:highlight w:val="none"/>
                      <w:lang w:val="en-US" w:eastAsia="zh-CN" w:bidi="ar-SA"/>
                    </w:rPr>
                    <w:t>NH</w:t>
                  </w:r>
                  <w:r>
                    <w:rPr>
                      <w:rFonts w:ascii="Times New Roman" w:hAnsi="Times New Roman" w:eastAsia="宋体" w:cs="Times New Roman"/>
                      <w:bCs/>
                      <w:color w:val="000000"/>
                      <w:kern w:val="2"/>
                      <w:sz w:val="21"/>
                      <w:szCs w:val="21"/>
                      <w:highlight w:val="none"/>
                      <w:vertAlign w:val="subscript"/>
                      <w:lang w:val="en-US" w:eastAsia="zh-CN" w:bidi="ar-SA"/>
                    </w:rPr>
                    <w:t>3</w:t>
                  </w:r>
                  <w:r>
                    <w:rPr>
                      <w:rFonts w:ascii="Times New Roman" w:hAnsi="Times New Roman" w:eastAsia="宋体" w:cs="Times New Roman"/>
                      <w:bCs/>
                      <w:color w:val="000000"/>
                      <w:kern w:val="2"/>
                      <w:sz w:val="21"/>
                      <w:szCs w:val="21"/>
                      <w:highlight w:val="none"/>
                      <w:lang w:val="en-US" w:eastAsia="zh-CN" w:bidi="ar-SA"/>
                    </w:rPr>
                    <w:t>-N</w:t>
                  </w:r>
                </w:p>
              </w:tc>
              <w:tc>
                <w:tcPr>
                  <w:tcW w:w="652" w:type="pct"/>
                  <w:vAlign w:val="center"/>
                </w:tcPr>
                <w:p w14:paraId="502D4B9B">
                  <w:pPr>
                    <w:spacing w:line="240" w:lineRule="auto"/>
                    <w:ind w:firstLine="0" w:firstLineChars="0"/>
                    <w:jc w:val="center"/>
                    <w:rPr>
                      <w:rFonts w:hint="default" w:eastAsia="宋体" w:cs="Times New Roman"/>
                      <w:sz w:val="21"/>
                      <w:szCs w:val="21"/>
                      <w:highlight w:val="none"/>
                      <w:lang w:val="en-US" w:eastAsia="zh-CN"/>
                    </w:rPr>
                  </w:pPr>
                  <w:r>
                    <w:rPr>
                      <w:rFonts w:hint="eastAsia" w:cs="Times New Roman"/>
                      <w:color w:val="000000"/>
                      <w:sz w:val="21"/>
                      <w:szCs w:val="21"/>
                      <w:highlight w:val="none"/>
                      <w:lang w:val="en-US" w:eastAsia="zh-CN"/>
                    </w:rPr>
                    <w:t>/</w:t>
                  </w:r>
                </w:p>
              </w:tc>
              <w:tc>
                <w:tcPr>
                  <w:tcW w:w="358" w:type="pct"/>
                  <w:vMerge w:val="continue"/>
                  <w:vAlign w:val="center"/>
                </w:tcPr>
                <w:p w14:paraId="24D0BEE5">
                  <w:pPr>
                    <w:widowControl/>
                    <w:spacing w:line="240" w:lineRule="auto"/>
                    <w:ind w:firstLine="0" w:firstLineChars="0"/>
                    <w:jc w:val="center"/>
                    <w:textAlignment w:val="auto"/>
                    <w:rPr>
                      <w:rFonts w:cs="Times New Roman"/>
                      <w:sz w:val="21"/>
                      <w:szCs w:val="21"/>
                      <w:highlight w:val="none"/>
                    </w:rPr>
                  </w:pPr>
                </w:p>
              </w:tc>
              <w:tc>
                <w:tcPr>
                  <w:tcW w:w="263" w:type="pct"/>
                  <w:vMerge w:val="continue"/>
                  <w:vAlign w:val="center"/>
                </w:tcPr>
                <w:p w14:paraId="69CEF157">
                  <w:pPr>
                    <w:widowControl/>
                    <w:spacing w:line="240" w:lineRule="auto"/>
                    <w:ind w:firstLine="0" w:firstLineChars="0"/>
                    <w:jc w:val="center"/>
                    <w:textAlignment w:val="auto"/>
                    <w:rPr>
                      <w:rFonts w:cs="Times New Roman"/>
                      <w:sz w:val="21"/>
                      <w:szCs w:val="21"/>
                      <w:highlight w:val="none"/>
                    </w:rPr>
                  </w:pPr>
                </w:p>
              </w:tc>
              <w:tc>
                <w:tcPr>
                  <w:tcW w:w="1081" w:type="pct"/>
                  <w:vMerge w:val="continue"/>
                  <w:vAlign w:val="center"/>
                </w:tcPr>
                <w:p w14:paraId="59F699F0">
                  <w:pPr>
                    <w:widowControl/>
                    <w:spacing w:line="240" w:lineRule="auto"/>
                    <w:ind w:firstLine="0" w:firstLineChars="0"/>
                    <w:jc w:val="center"/>
                    <w:textAlignment w:val="auto"/>
                    <w:rPr>
                      <w:rFonts w:cs="Times New Roman"/>
                      <w:sz w:val="21"/>
                      <w:szCs w:val="21"/>
                      <w:highlight w:val="none"/>
                    </w:rPr>
                  </w:pPr>
                </w:p>
              </w:tc>
            </w:tr>
          </w:tbl>
          <w:p w14:paraId="5E7CCE77">
            <w:pPr>
              <w:pStyle w:val="3"/>
              <w:rPr>
                <w:rFonts w:hint="eastAsia"/>
                <w:highlight w:val="none"/>
                <w:lang w:val="en-US" w:eastAsia="zh-CN"/>
              </w:rPr>
            </w:pPr>
            <w:r>
              <w:rPr>
                <w:rFonts w:hint="eastAsia" w:ascii="Times New Roman" w:hAnsi="Times New Roman" w:cs="Times New Roman"/>
                <w:highlight w:val="none"/>
                <w:lang w:val="en-US" w:eastAsia="zh-CN"/>
              </w:rPr>
              <w:t>2.1</w:t>
            </w:r>
            <w:r>
              <w:rPr>
                <w:rFonts w:hint="eastAsia"/>
                <w:highlight w:val="none"/>
                <w:lang w:val="en-US" w:eastAsia="zh-CN"/>
              </w:rPr>
              <w:t>生活污水防治措施可行性分析：</w:t>
            </w:r>
          </w:p>
          <w:p w14:paraId="7CDEB3D0">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b w:val="0"/>
                <w:bCs w:val="0"/>
                <w:highlight w:val="none"/>
              </w:rPr>
            </w:pPr>
            <w:r>
              <w:rPr>
                <w:rFonts w:hint="eastAsia"/>
                <w:b w:val="0"/>
                <w:bCs w:val="0"/>
                <w:highlight w:val="none"/>
              </w:rPr>
              <w:t>根据工程分析，本项目废水总量为</w:t>
            </w:r>
            <w:r>
              <w:rPr>
                <w:rFonts w:hint="eastAsia" w:ascii="Times New Roman" w:hAnsi="Times New Roman" w:cs="Times New Roman"/>
                <w:b w:val="0"/>
                <w:bCs w:val="0"/>
                <w:highlight w:val="none"/>
                <w:lang w:val="en-US" w:eastAsia="zh-CN"/>
              </w:rPr>
              <w:t>230.4</w:t>
            </w:r>
            <w:r>
              <w:rPr>
                <w:rFonts w:hint="default" w:ascii="Times New Roman" w:hAnsi="Times New Roman" w:cs="Times New Roman"/>
                <w:b w:val="0"/>
                <w:bCs w:val="0"/>
                <w:highlight w:val="none"/>
              </w:rPr>
              <w:t>m</w:t>
            </w:r>
            <w:r>
              <w:rPr>
                <w:rFonts w:hint="default" w:ascii="Times New Roman" w:hAnsi="Times New Roman" w:cs="Times New Roman"/>
                <w:b w:val="0"/>
                <w:bCs w:val="0"/>
                <w:highlight w:val="none"/>
                <w:vertAlign w:val="superscript"/>
              </w:rPr>
              <w:t>3</w:t>
            </w:r>
            <w:r>
              <w:rPr>
                <w:rFonts w:hint="default" w:ascii="Times New Roman" w:hAnsi="Times New Roman" w:cs="Times New Roman"/>
                <w:b w:val="0"/>
                <w:bCs w:val="0"/>
                <w:highlight w:val="none"/>
              </w:rPr>
              <w:t>/a</w:t>
            </w:r>
            <w:r>
              <w:rPr>
                <w:rFonts w:hint="eastAsia"/>
                <w:b w:val="0"/>
                <w:bCs w:val="0"/>
                <w:highlight w:val="none"/>
              </w:rPr>
              <w:t>，经化粪池</w:t>
            </w:r>
            <w:r>
              <w:rPr>
                <w:rFonts w:hint="eastAsia"/>
                <w:b w:val="0"/>
                <w:bCs w:val="0"/>
                <w:highlight w:val="none"/>
                <w:lang w:eastAsia="zh-CN"/>
              </w:rPr>
              <w:t>（</w:t>
            </w:r>
            <w:r>
              <w:rPr>
                <w:rFonts w:hint="eastAsia" w:ascii="Times New Roman" w:hAnsi="Times New Roman" w:cs="Times New Roman"/>
                <w:b w:val="0"/>
                <w:bCs w:val="0"/>
                <w:highlight w:val="none"/>
                <w:lang w:val="en-US" w:eastAsia="zh-CN"/>
              </w:rPr>
              <w:t>10</w:t>
            </w:r>
            <w:r>
              <w:rPr>
                <w:rFonts w:hint="default" w:ascii="Times New Roman" w:hAnsi="Times New Roman" w:cs="Times New Roman"/>
                <w:b w:val="0"/>
                <w:bCs w:val="0"/>
                <w:highlight w:val="none"/>
              </w:rPr>
              <w:t>m</w:t>
            </w:r>
            <w:r>
              <w:rPr>
                <w:rFonts w:hint="default" w:ascii="Times New Roman" w:hAnsi="Times New Roman" w:cs="Times New Roman"/>
                <w:b w:val="0"/>
                <w:bCs w:val="0"/>
                <w:highlight w:val="none"/>
                <w:vertAlign w:val="superscript"/>
              </w:rPr>
              <w:t>3</w:t>
            </w:r>
            <w:r>
              <w:rPr>
                <w:rFonts w:hint="eastAsia"/>
                <w:b w:val="0"/>
                <w:bCs w:val="0"/>
                <w:highlight w:val="none"/>
                <w:lang w:eastAsia="zh-CN"/>
              </w:rPr>
              <w:t>）</w:t>
            </w:r>
            <w:r>
              <w:rPr>
                <w:rFonts w:hint="eastAsia"/>
                <w:b w:val="0"/>
                <w:bCs w:val="0"/>
                <w:highlight w:val="none"/>
              </w:rPr>
              <w:t>预处理后</w:t>
            </w:r>
            <w:r>
              <w:rPr>
                <w:rFonts w:hint="eastAsia"/>
                <w:b w:val="0"/>
                <w:bCs w:val="0"/>
                <w:highlight w:val="none"/>
                <w:lang w:eastAsia="zh-CN"/>
              </w:rPr>
              <w:t>（</w:t>
            </w:r>
            <w:r>
              <w:rPr>
                <w:rFonts w:hint="eastAsia"/>
                <w:b w:val="0"/>
                <w:bCs w:val="0"/>
                <w:highlight w:val="none"/>
                <w:lang w:val="en-US" w:eastAsia="zh-CN"/>
              </w:rPr>
              <w:t>每半个月</w:t>
            </w:r>
            <w:r>
              <w:rPr>
                <w:rFonts w:hint="eastAsia"/>
                <w:b w:val="0"/>
                <w:bCs w:val="0"/>
                <w:highlight w:val="none"/>
                <w:lang w:eastAsia="zh-CN"/>
              </w:rPr>
              <w:t>）</w:t>
            </w:r>
            <w:r>
              <w:rPr>
                <w:rFonts w:hint="eastAsia"/>
                <w:b w:val="0"/>
                <w:bCs w:val="0"/>
                <w:highlight w:val="none"/>
              </w:rPr>
              <w:t>拉运至若羌县污水处理厂进一步处理，</w:t>
            </w:r>
            <w:r>
              <w:rPr>
                <w:rFonts w:hint="eastAsia"/>
                <w:b w:val="0"/>
                <w:bCs w:val="0"/>
                <w:highlight w:val="none"/>
                <w:lang w:eastAsia="zh-CN"/>
              </w:rPr>
              <w:t>待园区污水管网接通后排入管网。</w:t>
            </w:r>
            <w:r>
              <w:rPr>
                <w:rFonts w:hint="eastAsia"/>
                <w:b w:val="0"/>
                <w:bCs w:val="0"/>
                <w:highlight w:val="none"/>
              </w:rPr>
              <w:t>进入若羌县城镇污水处理厂的可行性分析如下：</w:t>
            </w:r>
          </w:p>
          <w:p w14:paraId="4170B4A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rPr>
              <w:t>若羌县污水处理厂于2014年建设，采用较为先进的污水处理工艺，其设计规模为0.47万立方米/日，日处理规模达到0.2万立方米/日，项目投资近323.59万元，</w:t>
            </w:r>
            <w:r>
              <w:rPr>
                <w:rFonts w:hint="eastAsia" w:cs="Times New Roman"/>
                <w:b w:val="0"/>
                <w:bCs w:val="0"/>
                <w:color w:val="auto"/>
                <w:sz w:val="24"/>
                <w:highlight w:val="none"/>
                <w:lang w:val="en-US" w:eastAsia="zh-CN"/>
              </w:rPr>
              <w:t>若羌</w:t>
            </w:r>
            <w:r>
              <w:rPr>
                <w:rFonts w:hint="eastAsia" w:ascii="Times New Roman" w:hAnsi="Times New Roman" w:eastAsia="宋体" w:cs="Times New Roman"/>
                <w:b w:val="0"/>
                <w:bCs w:val="0"/>
                <w:color w:val="auto"/>
                <w:sz w:val="24"/>
                <w:highlight w:val="none"/>
              </w:rPr>
              <w:t>县污水处理厂位于若羌县县城以北7.7公里处，总占地面积约230亩，于2010年4月正式开工建设，2011年3月投入使用，2013年6月增加投资约310万元进行污水处理工艺升级改造，经处理后的污水可直接灌溉生态防护林绿化。升级改造建设内容及规模：工程包含了曝气生物滤池2座、隔栅间1栋、值班室1栋、氧化塘3座。其中，曝气生物滤池容量约1000立方米，氧化塘库容量160000立方米，近期设计处理能力2000立方米/日，远期设计处理能力4700立方米/日。处理工艺：一体化A2/O生物处理新工艺。出水水质：达到《城镇污水处理厂污染物排放标准》（18918-2002）一级A标准，夏季全部用于218国道两侧绿化使用，冬季储存至氧化塘。</w:t>
            </w:r>
          </w:p>
          <w:p w14:paraId="2EC2B91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rPr>
              <w:t>若羌县污水处理厂于2017年5月28日取得由原巴州环境保护局下发的“关于《若羌县城乡污水处理厂提升改造EPC项目环境影响报告表》的批复”（巴环评价函〔2017〕144号），2017年11月，新疆中测测试有限责任公司编制完成《若羌县城乡污水处理厂提升改造EPC项目竣工环境保护验收监测报告》，并通过专家组验收。原有项目已于2022年6月13日进行了固定污染源排污许可证申领，登记编号：91652824MA776AX14L001C。</w:t>
            </w:r>
            <w:r>
              <w:rPr>
                <w:rFonts w:hint="eastAsia"/>
                <w:color w:val="auto"/>
                <w:highlight w:val="none"/>
                <w:lang w:val="en-US" w:eastAsia="zh-CN"/>
              </w:rPr>
              <w:t>污水处理厂现处理能力</w:t>
            </w:r>
            <w:r>
              <w:rPr>
                <w:rFonts w:hint="eastAsia" w:cs="Times New Roman"/>
                <w:b w:val="0"/>
                <w:bCs w:val="0"/>
                <w:color w:val="auto"/>
                <w:sz w:val="24"/>
                <w:highlight w:val="none"/>
                <w:lang w:val="en-US" w:eastAsia="zh-CN"/>
              </w:rPr>
              <w:t>4700</w:t>
            </w:r>
            <w:r>
              <w:rPr>
                <w:rFonts w:hint="eastAsia" w:ascii="Times New Roman" w:hAnsi="Times New Roman" w:eastAsia="宋体" w:cs="Times New Roman"/>
                <w:b w:val="0"/>
                <w:bCs w:val="0"/>
                <w:color w:val="auto"/>
                <w:sz w:val="24"/>
                <w:highlight w:val="none"/>
              </w:rPr>
              <w:t>立方米/日</w:t>
            </w:r>
            <w:r>
              <w:rPr>
                <w:rFonts w:hint="eastAsia"/>
                <w:color w:val="auto"/>
                <w:highlight w:val="none"/>
                <w:lang w:val="en-US" w:eastAsia="zh-CN"/>
              </w:rPr>
              <w:t>满足本项目废</w:t>
            </w:r>
            <w:r>
              <w:rPr>
                <w:rFonts w:hint="eastAsia"/>
                <w:b w:val="0"/>
                <w:bCs w:val="0"/>
                <w:color w:val="auto"/>
                <w:highlight w:val="none"/>
              </w:rPr>
              <w:t>水总量</w:t>
            </w:r>
            <w:r>
              <w:rPr>
                <w:rFonts w:hint="eastAsia"/>
                <w:b w:val="0"/>
                <w:bCs w:val="0"/>
                <w:color w:val="auto"/>
                <w:highlight w:val="none"/>
                <w:lang w:val="en-US" w:eastAsia="zh-CN"/>
              </w:rPr>
              <w:t>230.4</w:t>
            </w:r>
            <w:r>
              <w:rPr>
                <w:rFonts w:hint="eastAsia"/>
                <w:b w:val="0"/>
                <w:bCs w:val="0"/>
                <w:color w:val="auto"/>
                <w:highlight w:val="none"/>
              </w:rPr>
              <w:t>m</w:t>
            </w:r>
            <w:r>
              <w:rPr>
                <w:rFonts w:hint="eastAsia"/>
                <w:b w:val="0"/>
                <w:bCs w:val="0"/>
                <w:color w:val="auto"/>
                <w:highlight w:val="none"/>
                <w:vertAlign w:val="superscript"/>
              </w:rPr>
              <w:t>3</w:t>
            </w:r>
            <w:r>
              <w:rPr>
                <w:rFonts w:hint="eastAsia"/>
                <w:b w:val="0"/>
                <w:bCs w:val="0"/>
                <w:color w:val="auto"/>
                <w:highlight w:val="none"/>
              </w:rPr>
              <w:t>/a</w:t>
            </w:r>
            <w:r>
              <w:rPr>
                <w:rFonts w:hint="eastAsia"/>
                <w:b w:val="0"/>
                <w:bCs w:val="0"/>
                <w:color w:val="auto"/>
                <w:highlight w:val="none"/>
                <w:lang w:eastAsia="zh-CN"/>
              </w:rPr>
              <w:t>。</w:t>
            </w:r>
          </w:p>
          <w:p w14:paraId="35C4A96C">
            <w:pPr>
              <w:rPr>
                <w:rFonts w:hint="default" w:eastAsia="宋体"/>
                <w:highlight w:val="none"/>
                <w:lang w:val="en-US" w:eastAsia="zh-CN"/>
              </w:rPr>
            </w:pPr>
            <w:r>
              <w:rPr>
                <w:rFonts w:hint="eastAsia" w:ascii="Times New Roman" w:hAnsi="Times New Roman" w:eastAsia="宋体" w:cs="Times New Roman"/>
                <w:b w:val="0"/>
                <w:bCs w:val="0"/>
                <w:color w:val="auto"/>
                <w:sz w:val="24"/>
                <w:highlight w:val="none"/>
              </w:rPr>
              <w:t>通过对本项目分析可知，项目出水水质指标能够满足污水处理厂的接管标准，因此，项目厂区废水排入若羌县污水处理厂是可行的。</w:t>
            </w:r>
          </w:p>
          <w:p w14:paraId="45D66852">
            <w:pPr>
              <w:pStyle w:val="3"/>
              <w:rPr>
                <w:highlight w:val="none"/>
              </w:rPr>
            </w:pPr>
            <w:r>
              <w:rPr>
                <w:rFonts w:hint="default" w:ascii="Times New Roman" w:hAnsi="Times New Roman" w:cs="Times New Roman"/>
                <w:highlight w:val="none"/>
              </w:rPr>
              <w:t>3</w:t>
            </w:r>
            <w:r>
              <w:rPr>
                <w:highlight w:val="none"/>
              </w:rPr>
              <w:t>噪声</w:t>
            </w:r>
          </w:p>
          <w:p w14:paraId="4D6CE0D7">
            <w:pPr>
              <w:ind w:firstLine="480"/>
              <w:rPr>
                <w:snapToGrid w:val="0"/>
                <w:kern w:val="0"/>
                <w:highlight w:val="none"/>
              </w:rPr>
            </w:pPr>
            <w:r>
              <w:rPr>
                <w:rFonts w:hint="eastAsia"/>
                <w:snapToGrid w:val="0"/>
                <w:kern w:val="0"/>
                <w:highlight w:val="none"/>
              </w:rPr>
              <w:t>（1）噪声源</w:t>
            </w:r>
          </w:p>
          <w:p w14:paraId="64FA63C8">
            <w:pPr>
              <w:ind w:firstLine="480"/>
              <w:rPr>
                <w:highlight w:val="none"/>
              </w:rPr>
            </w:pPr>
            <w:r>
              <w:rPr>
                <w:highlight w:val="none"/>
              </w:rPr>
              <w:t>项目噪声主要为</w:t>
            </w:r>
            <w:r>
              <w:rPr>
                <w:rFonts w:hint="eastAsia"/>
                <w:highlight w:val="none"/>
              </w:rPr>
              <w:t>球磨机、</w:t>
            </w:r>
            <w:r>
              <w:rPr>
                <w:rFonts w:hint="eastAsia"/>
                <w:highlight w:val="none"/>
                <w:lang w:val="en-US" w:eastAsia="zh-CN"/>
              </w:rPr>
              <w:t>选粉</w:t>
            </w:r>
            <w:r>
              <w:rPr>
                <w:rFonts w:hint="eastAsia"/>
                <w:highlight w:val="none"/>
              </w:rPr>
              <w:t>机</w:t>
            </w:r>
            <w:r>
              <w:rPr>
                <w:rFonts w:hint="eastAsia"/>
                <w:highlight w:val="none"/>
                <w:lang w:eastAsia="zh-CN"/>
              </w:rPr>
              <w:t>、</w:t>
            </w:r>
            <w:r>
              <w:rPr>
                <w:rFonts w:hint="eastAsia"/>
                <w:highlight w:val="none"/>
                <w:lang w:val="en-US" w:eastAsia="zh-CN"/>
              </w:rPr>
              <w:t>提升机、空压机、高压风机</w:t>
            </w:r>
            <w:r>
              <w:rPr>
                <w:highlight w:val="none"/>
              </w:rPr>
              <w:t>等设备产生的噪声和车辆进出时产生的交通噪声。</w:t>
            </w:r>
          </w:p>
          <w:p w14:paraId="74D2DB07">
            <w:pPr>
              <w:ind w:firstLine="480"/>
              <w:textAlignment w:val="baseline"/>
              <w:rPr>
                <w:highlight w:val="none"/>
              </w:rPr>
            </w:pPr>
            <w:r>
              <w:rPr>
                <w:highlight w:val="none"/>
              </w:rPr>
              <w:t>生产设备置于车间内</w:t>
            </w:r>
            <w:r>
              <w:rPr>
                <w:rFonts w:hint="eastAsia"/>
                <w:highlight w:val="none"/>
              </w:rPr>
              <w:t>，</w:t>
            </w:r>
            <w:r>
              <w:rPr>
                <w:highlight w:val="none"/>
              </w:rPr>
              <w:t>噪声主要通过</w:t>
            </w:r>
            <w:r>
              <w:rPr>
                <w:rFonts w:hint="eastAsia"/>
                <w:highlight w:val="none"/>
              </w:rPr>
              <w:t>设备减震、厂房</w:t>
            </w:r>
            <w:r>
              <w:rPr>
                <w:highlight w:val="none"/>
              </w:rPr>
              <w:t>隔声、</w:t>
            </w:r>
            <w:r>
              <w:rPr>
                <w:rFonts w:hint="eastAsia"/>
                <w:highlight w:val="none"/>
              </w:rPr>
              <w:t>距离衰减进行降噪处理。</w:t>
            </w:r>
            <w:r>
              <w:rPr>
                <w:highlight w:val="none"/>
              </w:rPr>
              <w:t>本项目噪声源声压级见下表。</w:t>
            </w:r>
          </w:p>
          <w:p w14:paraId="58298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Times New Roman"/>
                <w:b/>
                <w:bCs/>
                <w:sz w:val="21"/>
                <w:szCs w:val="21"/>
                <w:highlight w:val="none"/>
              </w:rPr>
            </w:pPr>
            <w:r>
              <w:rPr>
                <w:rFonts w:hint="default" w:ascii="Times New Roman" w:hAnsi="Times New Roman" w:eastAsia="Times New Roman" w:cs="Times New Roman"/>
                <w:b/>
                <w:bCs/>
                <w:sz w:val="21"/>
                <w:szCs w:val="21"/>
                <w:highlight w:val="none"/>
              </w:rPr>
              <w:t>表4-</w:t>
            </w:r>
            <w:r>
              <w:rPr>
                <w:rFonts w:hint="default" w:ascii="Times New Roman" w:hAnsi="Times New Roman" w:cs="Times New Roman"/>
                <w:b/>
                <w:bCs/>
                <w:sz w:val="21"/>
                <w:szCs w:val="21"/>
                <w:highlight w:val="none"/>
                <w:lang w:val="en-US" w:eastAsia="zh-CN"/>
              </w:rPr>
              <w:t>7</w:t>
            </w:r>
            <w:r>
              <w:rPr>
                <w:rFonts w:hint="default" w:ascii="Times New Roman" w:hAnsi="Times New Roman" w:eastAsia="Times New Roman" w:cs="Times New Roman"/>
                <w:b/>
                <w:bCs/>
                <w:sz w:val="21"/>
                <w:szCs w:val="21"/>
                <w:highlight w:val="none"/>
              </w:rPr>
              <w:t xml:space="preserve">  主要设备噪声源强一览表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
              <w:gridCol w:w="364"/>
              <w:gridCol w:w="364"/>
              <w:gridCol w:w="496"/>
              <w:gridCol w:w="780"/>
              <w:gridCol w:w="562"/>
              <w:gridCol w:w="511"/>
              <w:gridCol w:w="548"/>
              <w:gridCol w:w="597"/>
              <w:gridCol w:w="401"/>
              <w:gridCol w:w="364"/>
              <w:gridCol w:w="562"/>
              <w:gridCol w:w="560"/>
              <w:gridCol w:w="562"/>
              <w:gridCol w:w="562"/>
              <w:gridCol w:w="364"/>
            </w:tblGrid>
            <w:tr w14:paraId="7CFD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vMerge w:val="restart"/>
                  <w:noWrap w:val="0"/>
                  <w:vAlign w:val="center"/>
                </w:tcPr>
                <w:p w14:paraId="7A92E4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序号</w:t>
                  </w:r>
                </w:p>
              </w:tc>
              <w:tc>
                <w:tcPr>
                  <w:tcW w:w="364" w:type="dxa"/>
                  <w:vMerge w:val="restart"/>
                  <w:noWrap w:val="0"/>
                  <w:vAlign w:val="center"/>
                </w:tcPr>
                <w:p w14:paraId="78385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建筑物名称</w:t>
                  </w:r>
                </w:p>
              </w:tc>
              <w:tc>
                <w:tcPr>
                  <w:tcW w:w="364" w:type="dxa"/>
                  <w:vMerge w:val="restart"/>
                  <w:noWrap w:val="0"/>
                  <w:vAlign w:val="center"/>
                </w:tcPr>
                <w:p w14:paraId="587C4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声源名称</w:t>
                  </w:r>
                </w:p>
              </w:tc>
              <w:tc>
                <w:tcPr>
                  <w:tcW w:w="496" w:type="dxa"/>
                  <w:vMerge w:val="restart"/>
                  <w:noWrap w:val="0"/>
                  <w:vAlign w:val="center"/>
                </w:tcPr>
                <w:p w14:paraId="6CEA0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型号</w:t>
                  </w:r>
                </w:p>
              </w:tc>
              <w:tc>
                <w:tcPr>
                  <w:tcW w:w="1342" w:type="dxa"/>
                  <w:gridSpan w:val="2"/>
                  <w:noWrap w:val="0"/>
                  <w:vAlign w:val="center"/>
                </w:tcPr>
                <w:p w14:paraId="434F5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声源源强（任选一种）</w:t>
                  </w:r>
                </w:p>
              </w:tc>
              <w:tc>
                <w:tcPr>
                  <w:tcW w:w="511" w:type="dxa"/>
                  <w:vMerge w:val="restart"/>
                  <w:noWrap w:val="0"/>
                  <w:vAlign w:val="center"/>
                </w:tcPr>
                <w:p w14:paraId="7236C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声源控</w:t>
                  </w:r>
                </w:p>
                <w:p w14:paraId="40870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制措施</w:t>
                  </w:r>
                </w:p>
              </w:tc>
              <w:tc>
                <w:tcPr>
                  <w:tcW w:w="1546" w:type="dxa"/>
                  <w:gridSpan w:val="3"/>
                  <w:noWrap w:val="0"/>
                  <w:vAlign w:val="center"/>
                </w:tcPr>
                <w:p w14:paraId="76656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空间相对位置/m</w:t>
                  </w:r>
                </w:p>
              </w:tc>
              <w:tc>
                <w:tcPr>
                  <w:tcW w:w="364" w:type="dxa"/>
                  <w:vMerge w:val="restart"/>
                  <w:noWrap w:val="0"/>
                  <w:vAlign w:val="center"/>
                </w:tcPr>
                <w:p w14:paraId="5FEF3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距室内边</w:t>
                  </w:r>
                </w:p>
                <w:p w14:paraId="78BCB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界距离/m</w:t>
                  </w:r>
                </w:p>
              </w:tc>
              <w:tc>
                <w:tcPr>
                  <w:tcW w:w="562" w:type="dxa"/>
                  <w:vMerge w:val="restart"/>
                  <w:noWrap w:val="0"/>
                  <w:vAlign w:val="center"/>
                </w:tcPr>
                <w:p w14:paraId="6A6D9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室内边界声级/dB(A)</w:t>
                  </w:r>
                </w:p>
              </w:tc>
              <w:tc>
                <w:tcPr>
                  <w:tcW w:w="560" w:type="dxa"/>
                  <w:vMerge w:val="restart"/>
                  <w:noWrap w:val="0"/>
                  <w:vAlign w:val="center"/>
                </w:tcPr>
                <w:p w14:paraId="00EBE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运行时</w:t>
                  </w:r>
                </w:p>
                <w:p w14:paraId="7CDE5B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段</w:t>
                  </w:r>
                </w:p>
              </w:tc>
              <w:tc>
                <w:tcPr>
                  <w:tcW w:w="562" w:type="dxa"/>
                  <w:vMerge w:val="restart"/>
                  <w:noWrap w:val="0"/>
                  <w:vAlign w:val="center"/>
                </w:tcPr>
                <w:p w14:paraId="079DF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建筑物插入损</w:t>
                  </w:r>
                </w:p>
                <w:p w14:paraId="7D5F8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失/dB(A)</w:t>
                  </w:r>
                </w:p>
              </w:tc>
              <w:tc>
                <w:tcPr>
                  <w:tcW w:w="926" w:type="dxa"/>
                  <w:gridSpan w:val="2"/>
                  <w:noWrap w:val="0"/>
                  <w:vAlign w:val="center"/>
                </w:tcPr>
                <w:p w14:paraId="62409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建筑物外噪声</w:t>
                  </w:r>
                </w:p>
              </w:tc>
            </w:tr>
            <w:tr w14:paraId="677D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vMerge w:val="continue"/>
                  <w:noWrap w:val="0"/>
                  <w:vAlign w:val="center"/>
                </w:tcPr>
                <w:p w14:paraId="20F4D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364" w:type="dxa"/>
                  <w:vMerge w:val="continue"/>
                  <w:noWrap w:val="0"/>
                  <w:vAlign w:val="center"/>
                </w:tcPr>
                <w:p w14:paraId="40BC0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364" w:type="dxa"/>
                  <w:vMerge w:val="continue"/>
                  <w:noWrap w:val="0"/>
                  <w:vAlign w:val="center"/>
                </w:tcPr>
                <w:p w14:paraId="45658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496" w:type="dxa"/>
                  <w:vMerge w:val="continue"/>
                  <w:noWrap w:val="0"/>
                  <w:vAlign w:val="center"/>
                </w:tcPr>
                <w:p w14:paraId="5D503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780" w:type="dxa"/>
                  <w:noWrap w:val="0"/>
                  <w:vAlign w:val="center"/>
                </w:tcPr>
                <w:p w14:paraId="68BE4D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（声压级/距声源距离）/（dB(A)/m）</w:t>
                  </w:r>
                </w:p>
              </w:tc>
              <w:tc>
                <w:tcPr>
                  <w:tcW w:w="562" w:type="dxa"/>
                  <w:noWrap w:val="0"/>
                  <w:vAlign w:val="center"/>
                </w:tcPr>
                <w:p w14:paraId="45E90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声功率级/dB(A)</w:t>
                  </w:r>
                </w:p>
              </w:tc>
              <w:tc>
                <w:tcPr>
                  <w:tcW w:w="511" w:type="dxa"/>
                  <w:vMerge w:val="continue"/>
                  <w:noWrap w:val="0"/>
                  <w:vAlign w:val="center"/>
                </w:tcPr>
                <w:p w14:paraId="74C04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548" w:type="dxa"/>
                  <w:noWrap w:val="0"/>
                  <w:vAlign w:val="center"/>
                </w:tcPr>
                <w:p w14:paraId="5B697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X</w:t>
                  </w:r>
                </w:p>
              </w:tc>
              <w:tc>
                <w:tcPr>
                  <w:tcW w:w="597" w:type="dxa"/>
                  <w:noWrap w:val="0"/>
                  <w:vAlign w:val="center"/>
                </w:tcPr>
                <w:p w14:paraId="7521B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Y</w:t>
                  </w:r>
                </w:p>
              </w:tc>
              <w:tc>
                <w:tcPr>
                  <w:tcW w:w="401" w:type="dxa"/>
                  <w:noWrap w:val="0"/>
                  <w:vAlign w:val="center"/>
                </w:tcPr>
                <w:p w14:paraId="54C97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Z</w:t>
                  </w:r>
                </w:p>
              </w:tc>
              <w:tc>
                <w:tcPr>
                  <w:tcW w:w="364" w:type="dxa"/>
                  <w:vMerge w:val="continue"/>
                  <w:noWrap w:val="0"/>
                  <w:vAlign w:val="center"/>
                </w:tcPr>
                <w:p w14:paraId="1D613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562" w:type="dxa"/>
                  <w:vMerge w:val="continue"/>
                  <w:noWrap w:val="0"/>
                  <w:vAlign w:val="center"/>
                </w:tcPr>
                <w:p w14:paraId="7F9DA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560" w:type="dxa"/>
                  <w:vMerge w:val="continue"/>
                  <w:noWrap w:val="0"/>
                  <w:vAlign w:val="center"/>
                </w:tcPr>
                <w:p w14:paraId="26117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562" w:type="dxa"/>
                  <w:vMerge w:val="continue"/>
                  <w:noWrap w:val="0"/>
                  <w:vAlign w:val="center"/>
                </w:tcPr>
                <w:p w14:paraId="4AEBE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p>
              </w:tc>
              <w:tc>
                <w:tcPr>
                  <w:tcW w:w="562" w:type="dxa"/>
                  <w:noWrap w:val="0"/>
                  <w:vAlign w:val="center"/>
                </w:tcPr>
                <w:p w14:paraId="52CB3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声压级/dB(A)</w:t>
                  </w:r>
                </w:p>
              </w:tc>
              <w:tc>
                <w:tcPr>
                  <w:tcW w:w="364" w:type="dxa"/>
                  <w:noWrap w:val="0"/>
                  <w:vAlign w:val="center"/>
                </w:tcPr>
                <w:p w14:paraId="6DABA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17"/>
                      <w:sz w:val="21"/>
                      <w:szCs w:val="21"/>
                      <w:highlight w:val="none"/>
                      <w:vertAlign w:val="baseline"/>
                      <w:lang w:val="en-US" w:eastAsia="zh-CN"/>
                    </w:rPr>
                  </w:pPr>
                  <w:r>
                    <w:rPr>
                      <w:rFonts w:hint="eastAsia" w:eastAsia="宋体"/>
                      <w:b/>
                      <w:bCs/>
                      <w:color w:val="auto"/>
                      <w:spacing w:val="-17"/>
                      <w:sz w:val="21"/>
                      <w:szCs w:val="21"/>
                      <w:highlight w:val="none"/>
                      <w:vertAlign w:val="baseline"/>
                      <w:lang w:val="en-US" w:eastAsia="zh-CN"/>
                    </w:rPr>
                    <w:t>建筑物外距离</w:t>
                  </w:r>
                </w:p>
              </w:tc>
            </w:tr>
            <w:tr w14:paraId="5E65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noWrap w:val="0"/>
                  <w:vAlign w:val="center"/>
                </w:tcPr>
                <w:p w14:paraId="338D96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w:t>
                  </w:r>
                </w:p>
              </w:tc>
              <w:tc>
                <w:tcPr>
                  <w:tcW w:w="364" w:type="dxa"/>
                  <w:vMerge w:val="restart"/>
                  <w:noWrap w:val="0"/>
                  <w:vAlign w:val="center"/>
                </w:tcPr>
                <w:p w14:paraId="5ABE8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生产车间</w:t>
                  </w:r>
                </w:p>
              </w:tc>
              <w:tc>
                <w:tcPr>
                  <w:tcW w:w="364" w:type="dxa"/>
                  <w:noWrap w:val="0"/>
                  <w:vAlign w:val="center"/>
                </w:tcPr>
                <w:p w14:paraId="24D68DD6">
                  <w:pPr>
                    <w:pStyle w:val="55"/>
                    <w:ind w:firstLine="0" w:firstLineChars="0"/>
                    <w:rPr>
                      <w:rFonts w:hint="eastAsia" w:eastAsia="宋体"/>
                      <w:color w:val="auto"/>
                      <w:sz w:val="21"/>
                      <w:szCs w:val="21"/>
                      <w:highlight w:val="none"/>
                      <w:vertAlign w:val="baseline"/>
                      <w:lang w:val="en-US" w:eastAsia="zh-CN"/>
                    </w:rPr>
                  </w:pPr>
                  <w:r>
                    <w:rPr>
                      <w:rFonts w:hint="eastAsia"/>
                      <w:color w:val="auto"/>
                      <w:highlight w:val="none"/>
                    </w:rPr>
                    <w:t>球磨机</w:t>
                  </w:r>
                </w:p>
              </w:tc>
              <w:tc>
                <w:tcPr>
                  <w:tcW w:w="496" w:type="dxa"/>
                  <w:noWrap w:val="0"/>
                  <w:vAlign w:val="center"/>
                </w:tcPr>
                <w:p w14:paraId="21BD6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780" w:type="dxa"/>
                  <w:noWrap w:val="0"/>
                  <w:vAlign w:val="center"/>
                </w:tcPr>
                <w:p w14:paraId="4F4E878F">
                  <w:pPr>
                    <w:pStyle w:val="55"/>
                    <w:ind w:firstLine="0" w:firstLineChars="0"/>
                    <w:rPr>
                      <w:rFonts w:hint="eastAsia" w:eastAsia="宋体"/>
                      <w:color w:val="auto"/>
                      <w:sz w:val="21"/>
                      <w:szCs w:val="21"/>
                      <w:highlight w:val="none"/>
                      <w:vertAlign w:val="baseline"/>
                      <w:lang w:val="en-US" w:eastAsia="zh-CN"/>
                    </w:rPr>
                  </w:pPr>
                  <w:r>
                    <w:rPr>
                      <w:rFonts w:hint="eastAsia"/>
                      <w:color w:val="auto"/>
                      <w:sz w:val="21"/>
                      <w:szCs w:val="21"/>
                      <w:highlight w:val="none"/>
                      <w:lang w:val="en-US" w:eastAsia="zh-CN"/>
                    </w:rPr>
                    <w:t>75</w:t>
                  </w:r>
                  <w:r>
                    <w:rPr>
                      <w:rFonts w:hint="eastAsia"/>
                      <w:color w:val="auto"/>
                      <w:sz w:val="21"/>
                      <w:szCs w:val="21"/>
                      <w:highlight w:val="none"/>
                    </w:rPr>
                    <w:t>dB(A)</w:t>
                  </w:r>
                </w:p>
              </w:tc>
              <w:tc>
                <w:tcPr>
                  <w:tcW w:w="562" w:type="dxa"/>
                  <w:noWrap w:val="0"/>
                  <w:vAlign w:val="center"/>
                </w:tcPr>
                <w:p w14:paraId="0716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w:t>
                  </w:r>
                </w:p>
              </w:tc>
              <w:tc>
                <w:tcPr>
                  <w:tcW w:w="511" w:type="dxa"/>
                  <w:vMerge w:val="restart"/>
                  <w:noWrap w:val="0"/>
                  <w:vAlign w:val="center"/>
                </w:tcPr>
                <w:p w14:paraId="38C328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室内、减震</w:t>
                  </w:r>
                </w:p>
              </w:tc>
              <w:tc>
                <w:tcPr>
                  <w:tcW w:w="548" w:type="dxa"/>
                  <w:noWrap w:val="0"/>
                  <w:vAlign w:val="center"/>
                </w:tcPr>
                <w:p w14:paraId="7558A7C8">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32.5</w:t>
                  </w:r>
                </w:p>
              </w:tc>
              <w:tc>
                <w:tcPr>
                  <w:tcW w:w="597" w:type="dxa"/>
                  <w:noWrap w:val="0"/>
                  <w:vAlign w:val="center"/>
                </w:tcPr>
                <w:p w14:paraId="0EAF5AD0">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112.44</w:t>
                  </w:r>
                </w:p>
              </w:tc>
              <w:tc>
                <w:tcPr>
                  <w:tcW w:w="401" w:type="dxa"/>
                  <w:noWrap w:val="0"/>
                  <w:vAlign w:val="center"/>
                </w:tcPr>
                <w:p w14:paraId="1413048D">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2</w:t>
                  </w:r>
                </w:p>
              </w:tc>
              <w:tc>
                <w:tcPr>
                  <w:tcW w:w="364" w:type="dxa"/>
                  <w:noWrap w:val="0"/>
                  <w:vAlign w:val="center"/>
                </w:tcPr>
                <w:p w14:paraId="0AAA6AFC">
                  <w:pPr>
                    <w:pStyle w:val="58"/>
                    <w:ind w:left="0" w:leftChars="0" w:firstLine="0" w:firstLineChars="0"/>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20</w:t>
                  </w:r>
                </w:p>
              </w:tc>
              <w:tc>
                <w:tcPr>
                  <w:tcW w:w="562" w:type="dxa"/>
                  <w:noWrap w:val="0"/>
                  <w:vAlign w:val="center"/>
                </w:tcPr>
                <w:p w14:paraId="6596C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60</w:t>
                  </w:r>
                </w:p>
              </w:tc>
              <w:tc>
                <w:tcPr>
                  <w:tcW w:w="560" w:type="dxa"/>
                  <w:vMerge w:val="restart"/>
                  <w:noWrap w:val="0"/>
                  <w:vAlign w:val="center"/>
                </w:tcPr>
                <w:p w14:paraId="12470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10:00-18:00</w:t>
                  </w:r>
                </w:p>
              </w:tc>
              <w:tc>
                <w:tcPr>
                  <w:tcW w:w="562" w:type="dxa"/>
                  <w:noWrap w:val="0"/>
                  <w:vAlign w:val="center"/>
                </w:tcPr>
                <w:p w14:paraId="2178A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w:t>
                  </w:r>
                </w:p>
              </w:tc>
              <w:tc>
                <w:tcPr>
                  <w:tcW w:w="562" w:type="dxa"/>
                  <w:noWrap w:val="0"/>
                  <w:vAlign w:val="center"/>
                </w:tcPr>
                <w:p w14:paraId="7CB36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364" w:type="dxa"/>
                  <w:noWrap w:val="0"/>
                  <w:vAlign w:val="center"/>
                </w:tcPr>
                <w:p w14:paraId="0665E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r>
            <w:tr w14:paraId="60B1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noWrap w:val="0"/>
                  <w:vAlign w:val="center"/>
                </w:tcPr>
                <w:p w14:paraId="45EDF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w:t>
                  </w:r>
                </w:p>
              </w:tc>
              <w:tc>
                <w:tcPr>
                  <w:tcW w:w="364" w:type="dxa"/>
                  <w:vMerge w:val="continue"/>
                  <w:noWrap w:val="0"/>
                  <w:vAlign w:val="center"/>
                </w:tcPr>
                <w:p w14:paraId="0C9EF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364" w:type="dxa"/>
                  <w:noWrap w:val="0"/>
                  <w:vAlign w:val="center"/>
                </w:tcPr>
                <w:p w14:paraId="390AEF22">
                  <w:pPr>
                    <w:pStyle w:val="55"/>
                    <w:ind w:firstLine="0" w:firstLineChars="0"/>
                    <w:rPr>
                      <w:rFonts w:hint="eastAsia" w:eastAsia="宋体"/>
                      <w:color w:val="auto"/>
                      <w:sz w:val="21"/>
                      <w:szCs w:val="21"/>
                      <w:highlight w:val="none"/>
                      <w:vertAlign w:val="baseline"/>
                      <w:lang w:val="en-US" w:eastAsia="zh-CN"/>
                    </w:rPr>
                  </w:pPr>
                  <w:r>
                    <w:rPr>
                      <w:rFonts w:hint="eastAsia"/>
                      <w:color w:val="auto"/>
                      <w:highlight w:val="none"/>
                      <w:lang w:val="en-US" w:eastAsia="zh-CN"/>
                    </w:rPr>
                    <w:t>选粉</w:t>
                  </w:r>
                  <w:r>
                    <w:rPr>
                      <w:rFonts w:hint="eastAsia"/>
                      <w:color w:val="auto"/>
                      <w:highlight w:val="none"/>
                    </w:rPr>
                    <w:t>机</w:t>
                  </w:r>
                </w:p>
              </w:tc>
              <w:tc>
                <w:tcPr>
                  <w:tcW w:w="496" w:type="dxa"/>
                  <w:noWrap w:val="0"/>
                  <w:vAlign w:val="center"/>
                </w:tcPr>
                <w:p w14:paraId="7B6F4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780" w:type="dxa"/>
                  <w:noWrap w:val="0"/>
                  <w:vAlign w:val="center"/>
                </w:tcPr>
                <w:p w14:paraId="413E9A96">
                  <w:pPr>
                    <w:pStyle w:val="55"/>
                    <w:ind w:firstLine="0" w:firstLineChars="0"/>
                    <w:rPr>
                      <w:rFonts w:hint="eastAsia" w:eastAsia="宋体"/>
                      <w:color w:val="auto"/>
                      <w:sz w:val="21"/>
                      <w:szCs w:val="21"/>
                      <w:highlight w:val="none"/>
                      <w:vertAlign w:val="baseline"/>
                      <w:lang w:val="en-US" w:eastAsia="zh-CN"/>
                    </w:rPr>
                  </w:pPr>
                  <w:r>
                    <w:rPr>
                      <w:rFonts w:hint="eastAsia"/>
                      <w:color w:val="auto"/>
                      <w:sz w:val="21"/>
                      <w:szCs w:val="21"/>
                      <w:highlight w:val="none"/>
                      <w:lang w:val="en-US" w:eastAsia="zh-CN"/>
                    </w:rPr>
                    <w:t>75</w:t>
                  </w:r>
                  <w:r>
                    <w:rPr>
                      <w:rFonts w:hint="eastAsia"/>
                      <w:color w:val="auto"/>
                      <w:sz w:val="21"/>
                      <w:szCs w:val="21"/>
                      <w:highlight w:val="none"/>
                    </w:rPr>
                    <w:t>dB(A)</w:t>
                  </w:r>
                </w:p>
              </w:tc>
              <w:tc>
                <w:tcPr>
                  <w:tcW w:w="562" w:type="dxa"/>
                  <w:noWrap w:val="0"/>
                  <w:vAlign w:val="center"/>
                </w:tcPr>
                <w:p w14:paraId="2D133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w:t>
                  </w:r>
                </w:p>
              </w:tc>
              <w:tc>
                <w:tcPr>
                  <w:tcW w:w="511" w:type="dxa"/>
                  <w:vMerge w:val="continue"/>
                  <w:noWrap w:val="0"/>
                  <w:vAlign w:val="center"/>
                </w:tcPr>
                <w:p w14:paraId="62B37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48" w:type="dxa"/>
                  <w:noWrap w:val="0"/>
                  <w:vAlign w:val="center"/>
                </w:tcPr>
                <w:p w14:paraId="3C946A59">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54.44</w:t>
                  </w:r>
                </w:p>
              </w:tc>
              <w:tc>
                <w:tcPr>
                  <w:tcW w:w="597" w:type="dxa"/>
                  <w:noWrap w:val="0"/>
                  <w:vAlign w:val="center"/>
                </w:tcPr>
                <w:p w14:paraId="183FF353">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112.02</w:t>
                  </w:r>
                </w:p>
              </w:tc>
              <w:tc>
                <w:tcPr>
                  <w:tcW w:w="401" w:type="dxa"/>
                  <w:noWrap w:val="0"/>
                  <w:vAlign w:val="center"/>
                </w:tcPr>
                <w:p w14:paraId="093626AB">
                  <w:pPr>
                    <w:pStyle w:val="58"/>
                    <w:ind w:left="0" w:leftChars="0" w:firstLine="0" w:firstLineChars="0"/>
                    <w:rPr>
                      <w:rFonts w:hint="eastAsia" w:eastAsia="宋体"/>
                      <w:color w:val="auto"/>
                      <w:sz w:val="21"/>
                      <w:szCs w:val="21"/>
                      <w:highlight w:val="none"/>
                      <w:vertAlign w:val="baseline"/>
                      <w:lang w:val="en-US" w:eastAsia="zh-CN"/>
                    </w:rPr>
                  </w:pPr>
                  <w:r>
                    <w:rPr>
                      <w:rFonts w:hint="eastAsia" w:ascii="Times New Roman" w:hAnsi="Times New Roman" w:cs="Times New Roman"/>
                      <w:color w:val="auto"/>
                      <w:highlight w:val="none"/>
                      <w:lang w:val="en-US" w:eastAsia="zh-CN"/>
                    </w:rPr>
                    <w:t>2</w:t>
                  </w:r>
                </w:p>
              </w:tc>
              <w:tc>
                <w:tcPr>
                  <w:tcW w:w="364" w:type="dxa"/>
                  <w:noWrap w:val="0"/>
                  <w:vAlign w:val="center"/>
                </w:tcPr>
                <w:p w14:paraId="15F17C70">
                  <w:pPr>
                    <w:pStyle w:val="58"/>
                    <w:ind w:left="0" w:leftChars="0" w:firstLine="0" w:firstLineChars="0"/>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20</w:t>
                  </w:r>
                </w:p>
              </w:tc>
              <w:tc>
                <w:tcPr>
                  <w:tcW w:w="562" w:type="dxa"/>
                  <w:noWrap w:val="0"/>
                  <w:vAlign w:val="center"/>
                </w:tcPr>
                <w:p w14:paraId="20D9C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60</w:t>
                  </w:r>
                </w:p>
              </w:tc>
              <w:tc>
                <w:tcPr>
                  <w:tcW w:w="560" w:type="dxa"/>
                  <w:vMerge w:val="continue"/>
                  <w:noWrap w:val="0"/>
                  <w:vAlign w:val="center"/>
                </w:tcPr>
                <w:p w14:paraId="761C2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62" w:type="dxa"/>
                  <w:noWrap w:val="0"/>
                  <w:vAlign w:val="center"/>
                </w:tcPr>
                <w:p w14:paraId="21D04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w:t>
                  </w:r>
                </w:p>
              </w:tc>
              <w:tc>
                <w:tcPr>
                  <w:tcW w:w="562" w:type="dxa"/>
                  <w:noWrap w:val="0"/>
                  <w:vAlign w:val="center"/>
                </w:tcPr>
                <w:p w14:paraId="43FFC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364" w:type="dxa"/>
                  <w:noWrap w:val="0"/>
                  <w:vAlign w:val="center"/>
                </w:tcPr>
                <w:p w14:paraId="0BADB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r>
            <w:tr w14:paraId="6316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noWrap w:val="0"/>
                  <w:vAlign w:val="center"/>
                </w:tcPr>
                <w:p w14:paraId="25D42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3</w:t>
                  </w:r>
                </w:p>
              </w:tc>
              <w:tc>
                <w:tcPr>
                  <w:tcW w:w="364" w:type="dxa"/>
                  <w:vMerge w:val="continue"/>
                  <w:noWrap w:val="0"/>
                  <w:vAlign w:val="center"/>
                </w:tcPr>
                <w:p w14:paraId="0CAC7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364" w:type="dxa"/>
                  <w:noWrap w:val="0"/>
                  <w:vAlign w:val="center"/>
                </w:tcPr>
                <w:p w14:paraId="6F6EDB25">
                  <w:pPr>
                    <w:pStyle w:val="55"/>
                    <w:ind w:firstLine="0" w:firstLineChars="0"/>
                    <w:rPr>
                      <w:rFonts w:hint="eastAsia"/>
                      <w:color w:val="auto"/>
                      <w:sz w:val="21"/>
                      <w:szCs w:val="21"/>
                      <w:highlight w:val="none"/>
                      <w:vertAlign w:val="baseline"/>
                    </w:rPr>
                  </w:pPr>
                  <w:r>
                    <w:rPr>
                      <w:rFonts w:hint="eastAsia"/>
                      <w:color w:val="auto"/>
                      <w:highlight w:val="none"/>
                      <w:lang w:val="en-US" w:eastAsia="zh-CN"/>
                    </w:rPr>
                    <w:t>提升机</w:t>
                  </w:r>
                </w:p>
              </w:tc>
              <w:tc>
                <w:tcPr>
                  <w:tcW w:w="496" w:type="dxa"/>
                  <w:noWrap w:val="0"/>
                  <w:vAlign w:val="center"/>
                </w:tcPr>
                <w:p w14:paraId="0380E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780" w:type="dxa"/>
                  <w:noWrap w:val="0"/>
                  <w:vAlign w:val="center"/>
                </w:tcPr>
                <w:p w14:paraId="198EB44F">
                  <w:pPr>
                    <w:pStyle w:val="55"/>
                    <w:ind w:firstLine="0" w:firstLineChars="0"/>
                    <w:rPr>
                      <w:color w:val="auto"/>
                      <w:sz w:val="21"/>
                      <w:szCs w:val="21"/>
                      <w:highlight w:val="none"/>
                      <w:vertAlign w:val="baseline"/>
                    </w:rPr>
                  </w:pPr>
                  <w:r>
                    <w:rPr>
                      <w:rFonts w:hint="eastAsia"/>
                      <w:color w:val="auto"/>
                      <w:sz w:val="21"/>
                      <w:szCs w:val="21"/>
                      <w:highlight w:val="none"/>
                      <w:lang w:val="en-US" w:eastAsia="zh-CN"/>
                    </w:rPr>
                    <w:t>60</w:t>
                  </w:r>
                  <w:r>
                    <w:rPr>
                      <w:rFonts w:hint="eastAsia"/>
                      <w:color w:val="auto"/>
                      <w:sz w:val="21"/>
                      <w:szCs w:val="21"/>
                      <w:highlight w:val="none"/>
                    </w:rPr>
                    <w:t>dB(A)</w:t>
                  </w:r>
                </w:p>
              </w:tc>
              <w:tc>
                <w:tcPr>
                  <w:tcW w:w="562" w:type="dxa"/>
                  <w:noWrap w:val="0"/>
                  <w:vAlign w:val="center"/>
                </w:tcPr>
                <w:p w14:paraId="43344B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w:t>
                  </w:r>
                </w:p>
              </w:tc>
              <w:tc>
                <w:tcPr>
                  <w:tcW w:w="511" w:type="dxa"/>
                  <w:vMerge w:val="continue"/>
                  <w:noWrap w:val="0"/>
                  <w:vAlign w:val="center"/>
                </w:tcPr>
                <w:p w14:paraId="42692A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48" w:type="dxa"/>
                  <w:noWrap w:val="0"/>
                  <w:vAlign w:val="center"/>
                </w:tcPr>
                <w:p w14:paraId="44B3917C">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highlight w:val="none"/>
                      <w:lang w:val="en-US" w:eastAsia="zh-CN"/>
                    </w:rPr>
                    <w:t>71.82</w:t>
                  </w:r>
                </w:p>
              </w:tc>
              <w:tc>
                <w:tcPr>
                  <w:tcW w:w="597" w:type="dxa"/>
                  <w:noWrap w:val="0"/>
                  <w:vAlign w:val="center"/>
                </w:tcPr>
                <w:p w14:paraId="6C5E34E9">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highlight w:val="none"/>
                      <w:lang w:val="en-US" w:eastAsia="zh-CN"/>
                    </w:rPr>
                    <w:t>58.63</w:t>
                  </w:r>
                </w:p>
              </w:tc>
              <w:tc>
                <w:tcPr>
                  <w:tcW w:w="401" w:type="dxa"/>
                  <w:noWrap w:val="0"/>
                  <w:vAlign w:val="center"/>
                </w:tcPr>
                <w:p w14:paraId="215C7E5B">
                  <w:pPr>
                    <w:pStyle w:val="58"/>
                    <w:ind w:left="0" w:leftChars="0" w:firstLine="0" w:firstLineChars="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highlight w:val="none"/>
                      <w:lang w:val="en-US" w:eastAsia="zh-CN"/>
                    </w:rPr>
                    <w:t>5</w:t>
                  </w:r>
                </w:p>
              </w:tc>
              <w:tc>
                <w:tcPr>
                  <w:tcW w:w="364" w:type="dxa"/>
                  <w:noWrap w:val="0"/>
                  <w:vAlign w:val="center"/>
                </w:tcPr>
                <w:p w14:paraId="7502A425">
                  <w:pPr>
                    <w:pStyle w:val="58"/>
                    <w:ind w:left="0" w:leftChars="0" w:firstLine="0" w:firstLineChars="0"/>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c>
                <w:tcPr>
                  <w:tcW w:w="562" w:type="dxa"/>
                  <w:noWrap w:val="0"/>
                  <w:vAlign w:val="center"/>
                </w:tcPr>
                <w:p w14:paraId="4ACA0B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60</w:t>
                  </w:r>
                </w:p>
              </w:tc>
              <w:tc>
                <w:tcPr>
                  <w:tcW w:w="560" w:type="dxa"/>
                  <w:vMerge w:val="continue"/>
                  <w:noWrap w:val="0"/>
                  <w:vAlign w:val="center"/>
                </w:tcPr>
                <w:p w14:paraId="6A47E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62" w:type="dxa"/>
                  <w:noWrap w:val="0"/>
                  <w:vAlign w:val="center"/>
                </w:tcPr>
                <w:p w14:paraId="0A120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w:t>
                  </w:r>
                </w:p>
              </w:tc>
              <w:tc>
                <w:tcPr>
                  <w:tcW w:w="562" w:type="dxa"/>
                  <w:noWrap w:val="0"/>
                  <w:vAlign w:val="center"/>
                </w:tcPr>
                <w:p w14:paraId="1A20B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364" w:type="dxa"/>
                  <w:noWrap w:val="0"/>
                  <w:vAlign w:val="center"/>
                </w:tcPr>
                <w:p w14:paraId="5F065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r>
            <w:tr w14:paraId="03FA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noWrap w:val="0"/>
                  <w:vAlign w:val="center"/>
                </w:tcPr>
                <w:p w14:paraId="3685E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4</w:t>
                  </w:r>
                </w:p>
              </w:tc>
              <w:tc>
                <w:tcPr>
                  <w:tcW w:w="364" w:type="dxa"/>
                  <w:vMerge w:val="continue"/>
                  <w:noWrap w:val="0"/>
                  <w:vAlign w:val="center"/>
                </w:tcPr>
                <w:p w14:paraId="59DB50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364" w:type="dxa"/>
                  <w:noWrap w:val="0"/>
                  <w:vAlign w:val="center"/>
                </w:tcPr>
                <w:p w14:paraId="11FE430F">
                  <w:pPr>
                    <w:pStyle w:val="55"/>
                    <w:ind w:firstLine="0" w:firstLineChars="0"/>
                    <w:rPr>
                      <w:rFonts w:hint="eastAsia"/>
                      <w:color w:val="auto"/>
                      <w:sz w:val="21"/>
                      <w:szCs w:val="21"/>
                      <w:highlight w:val="none"/>
                      <w:vertAlign w:val="baseline"/>
                    </w:rPr>
                  </w:pPr>
                  <w:r>
                    <w:rPr>
                      <w:rFonts w:hint="eastAsia"/>
                      <w:color w:val="auto"/>
                      <w:highlight w:val="none"/>
                      <w:lang w:val="en-US" w:eastAsia="zh-CN"/>
                    </w:rPr>
                    <w:t>空压机</w:t>
                  </w:r>
                </w:p>
              </w:tc>
              <w:tc>
                <w:tcPr>
                  <w:tcW w:w="496" w:type="dxa"/>
                  <w:noWrap w:val="0"/>
                  <w:vAlign w:val="center"/>
                </w:tcPr>
                <w:p w14:paraId="12263A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780" w:type="dxa"/>
                  <w:noWrap w:val="0"/>
                  <w:vAlign w:val="center"/>
                </w:tcPr>
                <w:p w14:paraId="3C983605">
                  <w:pPr>
                    <w:pStyle w:val="55"/>
                    <w:ind w:firstLine="0" w:firstLineChars="0"/>
                    <w:rPr>
                      <w:color w:val="auto"/>
                      <w:sz w:val="21"/>
                      <w:szCs w:val="21"/>
                      <w:highlight w:val="none"/>
                      <w:vertAlign w:val="baseline"/>
                    </w:rPr>
                  </w:pPr>
                  <w:r>
                    <w:rPr>
                      <w:rFonts w:hint="eastAsia"/>
                      <w:color w:val="auto"/>
                      <w:sz w:val="21"/>
                      <w:szCs w:val="21"/>
                      <w:highlight w:val="none"/>
                      <w:lang w:val="en-US" w:eastAsia="zh-CN"/>
                    </w:rPr>
                    <w:t>85</w:t>
                  </w:r>
                  <w:r>
                    <w:rPr>
                      <w:rFonts w:hint="eastAsia"/>
                      <w:color w:val="auto"/>
                      <w:sz w:val="21"/>
                      <w:szCs w:val="21"/>
                      <w:highlight w:val="none"/>
                    </w:rPr>
                    <w:t>dB(A)</w:t>
                  </w:r>
                </w:p>
              </w:tc>
              <w:tc>
                <w:tcPr>
                  <w:tcW w:w="562" w:type="dxa"/>
                  <w:noWrap w:val="0"/>
                  <w:vAlign w:val="center"/>
                </w:tcPr>
                <w:p w14:paraId="486AA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w:t>
                  </w:r>
                </w:p>
              </w:tc>
              <w:tc>
                <w:tcPr>
                  <w:tcW w:w="511" w:type="dxa"/>
                  <w:vMerge w:val="continue"/>
                  <w:noWrap w:val="0"/>
                  <w:vAlign w:val="center"/>
                </w:tcPr>
                <w:p w14:paraId="33C9F9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48" w:type="dxa"/>
                  <w:noWrap w:val="0"/>
                  <w:vAlign w:val="center"/>
                </w:tcPr>
                <w:p w14:paraId="412130E1">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highlight w:val="none"/>
                      <w:lang w:val="en-US" w:eastAsia="zh-CN"/>
                    </w:rPr>
                    <w:t>39.95</w:t>
                  </w:r>
                </w:p>
              </w:tc>
              <w:tc>
                <w:tcPr>
                  <w:tcW w:w="597" w:type="dxa"/>
                  <w:noWrap w:val="0"/>
                  <w:vAlign w:val="center"/>
                </w:tcPr>
                <w:p w14:paraId="3BB969E8">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highlight w:val="none"/>
                      <w:lang w:val="en-US" w:eastAsia="zh-CN"/>
                    </w:rPr>
                    <w:t>82.64</w:t>
                  </w:r>
                </w:p>
              </w:tc>
              <w:tc>
                <w:tcPr>
                  <w:tcW w:w="401" w:type="dxa"/>
                  <w:noWrap w:val="0"/>
                  <w:vAlign w:val="center"/>
                </w:tcPr>
                <w:p w14:paraId="0595E067">
                  <w:pPr>
                    <w:pStyle w:val="58"/>
                    <w:ind w:left="0" w:leftChars="0" w:firstLine="0" w:firstLineChars="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highlight w:val="none"/>
                      <w:lang w:val="en-US" w:eastAsia="zh-CN"/>
                    </w:rPr>
                    <w:t>1</w:t>
                  </w:r>
                </w:p>
              </w:tc>
              <w:tc>
                <w:tcPr>
                  <w:tcW w:w="364" w:type="dxa"/>
                  <w:noWrap w:val="0"/>
                  <w:vAlign w:val="center"/>
                </w:tcPr>
                <w:p w14:paraId="3207179A">
                  <w:pPr>
                    <w:pStyle w:val="58"/>
                    <w:ind w:left="0" w:leftChars="0" w:firstLine="0" w:firstLineChars="0"/>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35</w:t>
                  </w:r>
                </w:p>
              </w:tc>
              <w:tc>
                <w:tcPr>
                  <w:tcW w:w="562" w:type="dxa"/>
                  <w:noWrap w:val="0"/>
                  <w:vAlign w:val="center"/>
                </w:tcPr>
                <w:p w14:paraId="035AB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60</w:t>
                  </w:r>
                </w:p>
              </w:tc>
              <w:tc>
                <w:tcPr>
                  <w:tcW w:w="560" w:type="dxa"/>
                  <w:vMerge w:val="continue"/>
                  <w:noWrap w:val="0"/>
                  <w:vAlign w:val="center"/>
                </w:tcPr>
                <w:p w14:paraId="5FA7EB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62" w:type="dxa"/>
                  <w:noWrap w:val="0"/>
                  <w:vAlign w:val="center"/>
                </w:tcPr>
                <w:p w14:paraId="6C23E0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w:t>
                  </w:r>
                </w:p>
              </w:tc>
              <w:tc>
                <w:tcPr>
                  <w:tcW w:w="562" w:type="dxa"/>
                  <w:noWrap w:val="0"/>
                  <w:vAlign w:val="center"/>
                </w:tcPr>
                <w:p w14:paraId="2036F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364" w:type="dxa"/>
                  <w:noWrap w:val="0"/>
                  <w:vAlign w:val="center"/>
                </w:tcPr>
                <w:p w14:paraId="16564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r>
            <w:tr w14:paraId="61C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dxa"/>
                  <w:noWrap w:val="0"/>
                  <w:vAlign w:val="center"/>
                </w:tcPr>
                <w:p w14:paraId="360563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w:t>
                  </w:r>
                </w:p>
              </w:tc>
              <w:tc>
                <w:tcPr>
                  <w:tcW w:w="364" w:type="dxa"/>
                  <w:vMerge w:val="continue"/>
                  <w:noWrap w:val="0"/>
                  <w:vAlign w:val="center"/>
                </w:tcPr>
                <w:p w14:paraId="01B3B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364" w:type="dxa"/>
                  <w:noWrap w:val="0"/>
                  <w:vAlign w:val="center"/>
                </w:tcPr>
                <w:p w14:paraId="25AD59AB">
                  <w:pPr>
                    <w:pStyle w:val="55"/>
                    <w:ind w:firstLine="0" w:firstLineChars="0"/>
                    <w:rPr>
                      <w:rFonts w:hint="eastAsia"/>
                      <w:color w:val="auto"/>
                      <w:sz w:val="21"/>
                      <w:szCs w:val="21"/>
                      <w:highlight w:val="none"/>
                      <w:vertAlign w:val="baseline"/>
                    </w:rPr>
                  </w:pPr>
                  <w:r>
                    <w:rPr>
                      <w:rFonts w:hint="eastAsia"/>
                      <w:color w:val="auto"/>
                      <w:highlight w:val="none"/>
                      <w:lang w:val="en-US" w:eastAsia="zh-CN"/>
                    </w:rPr>
                    <w:t>高压风机</w:t>
                  </w:r>
                </w:p>
              </w:tc>
              <w:tc>
                <w:tcPr>
                  <w:tcW w:w="496" w:type="dxa"/>
                  <w:noWrap w:val="0"/>
                  <w:vAlign w:val="center"/>
                </w:tcPr>
                <w:p w14:paraId="18DCB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780" w:type="dxa"/>
                  <w:noWrap w:val="0"/>
                  <w:vAlign w:val="center"/>
                </w:tcPr>
                <w:p w14:paraId="3408EAF6">
                  <w:pPr>
                    <w:pStyle w:val="55"/>
                    <w:ind w:firstLine="0" w:firstLineChars="0"/>
                    <w:rPr>
                      <w:color w:val="auto"/>
                      <w:sz w:val="21"/>
                      <w:szCs w:val="21"/>
                      <w:highlight w:val="none"/>
                      <w:vertAlign w:val="baseline"/>
                    </w:rPr>
                  </w:pPr>
                  <w:r>
                    <w:rPr>
                      <w:rFonts w:hint="eastAsia"/>
                      <w:color w:val="auto"/>
                      <w:sz w:val="21"/>
                      <w:szCs w:val="21"/>
                      <w:highlight w:val="none"/>
                      <w:lang w:val="en-US" w:eastAsia="zh-CN"/>
                    </w:rPr>
                    <w:t>90</w:t>
                  </w:r>
                  <w:r>
                    <w:rPr>
                      <w:rFonts w:hint="eastAsia"/>
                      <w:color w:val="auto"/>
                      <w:sz w:val="21"/>
                      <w:szCs w:val="21"/>
                      <w:highlight w:val="none"/>
                    </w:rPr>
                    <w:t>dB(A)</w:t>
                  </w:r>
                </w:p>
              </w:tc>
              <w:tc>
                <w:tcPr>
                  <w:tcW w:w="562" w:type="dxa"/>
                  <w:noWrap w:val="0"/>
                  <w:vAlign w:val="center"/>
                </w:tcPr>
                <w:p w14:paraId="422CAC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w:t>
                  </w:r>
                </w:p>
              </w:tc>
              <w:tc>
                <w:tcPr>
                  <w:tcW w:w="511" w:type="dxa"/>
                  <w:vMerge w:val="continue"/>
                  <w:noWrap w:val="0"/>
                  <w:vAlign w:val="center"/>
                </w:tcPr>
                <w:p w14:paraId="4A8D4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48" w:type="dxa"/>
                  <w:noWrap w:val="0"/>
                  <w:vAlign w:val="center"/>
                </w:tcPr>
                <w:p w14:paraId="116E1885">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highlight w:val="none"/>
                      <w:lang w:val="en-US" w:eastAsia="zh-CN"/>
                    </w:rPr>
                    <w:t>47.82</w:t>
                  </w:r>
                </w:p>
              </w:tc>
              <w:tc>
                <w:tcPr>
                  <w:tcW w:w="597" w:type="dxa"/>
                  <w:noWrap w:val="0"/>
                  <w:vAlign w:val="center"/>
                </w:tcPr>
                <w:p w14:paraId="6ABB0926">
                  <w:pPr>
                    <w:pStyle w:val="58"/>
                    <w:ind w:left="0" w:leftChars="0" w:firstLine="0" w:firstLineChars="0"/>
                    <w:rPr>
                      <w:rFonts w:hint="eastAsia" w:eastAsia="宋体" w:cs="Times New Roman"/>
                      <w:b w:val="0"/>
                      <w:bCs/>
                      <w:color w:val="auto"/>
                      <w:sz w:val="21"/>
                      <w:szCs w:val="21"/>
                      <w:highlight w:val="none"/>
                      <w:lang w:val="en-US" w:eastAsia="zh-CN"/>
                    </w:rPr>
                  </w:pPr>
                  <w:r>
                    <w:rPr>
                      <w:rFonts w:hint="eastAsia" w:ascii="Times New Roman" w:hAnsi="Times New Roman" w:cs="Times New Roman"/>
                      <w:color w:val="auto"/>
                      <w:kern w:val="2"/>
                      <w:sz w:val="21"/>
                      <w:szCs w:val="22"/>
                      <w:highlight w:val="none"/>
                      <w:lang w:val="en-US" w:eastAsia="zh-CN" w:bidi="ar-SA"/>
                    </w:rPr>
                    <w:t>33.38</w:t>
                  </w:r>
                </w:p>
              </w:tc>
              <w:tc>
                <w:tcPr>
                  <w:tcW w:w="401" w:type="dxa"/>
                  <w:noWrap w:val="0"/>
                  <w:vAlign w:val="center"/>
                </w:tcPr>
                <w:p w14:paraId="4290D7CB">
                  <w:pPr>
                    <w:pStyle w:val="58"/>
                    <w:ind w:left="0" w:leftChars="0" w:firstLine="0" w:firstLineChars="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color w:val="auto"/>
                      <w:sz w:val="21"/>
                      <w:szCs w:val="21"/>
                      <w:highlight w:val="none"/>
                      <w:lang w:val="en-US" w:eastAsia="zh-CN"/>
                    </w:rPr>
                    <w:t>3</w:t>
                  </w:r>
                </w:p>
              </w:tc>
              <w:tc>
                <w:tcPr>
                  <w:tcW w:w="364" w:type="dxa"/>
                  <w:noWrap w:val="0"/>
                  <w:vAlign w:val="center"/>
                </w:tcPr>
                <w:p w14:paraId="1D007CE7">
                  <w:pPr>
                    <w:pStyle w:val="58"/>
                    <w:ind w:left="0" w:leftChars="0" w:firstLine="0" w:firstLineChars="0"/>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562" w:type="dxa"/>
                  <w:noWrap w:val="0"/>
                  <w:vAlign w:val="center"/>
                </w:tcPr>
                <w:p w14:paraId="4E84D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60</w:t>
                  </w:r>
                </w:p>
              </w:tc>
              <w:tc>
                <w:tcPr>
                  <w:tcW w:w="560" w:type="dxa"/>
                  <w:vMerge w:val="continue"/>
                  <w:noWrap w:val="0"/>
                  <w:vAlign w:val="center"/>
                </w:tcPr>
                <w:p w14:paraId="41276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p>
              </w:tc>
              <w:tc>
                <w:tcPr>
                  <w:tcW w:w="562" w:type="dxa"/>
                  <w:noWrap w:val="0"/>
                  <w:vAlign w:val="center"/>
                </w:tcPr>
                <w:p w14:paraId="379B5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25</w:t>
                  </w:r>
                </w:p>
              </w:tc>
              <w:tc>
                <w:tcPr>
                  <w:tcW w:w="562" w:type="dxa"/>
                  <w:noWrap w:val="0"/>
                  <w:vAlign w:val="center"/>
                </w:tcPr>
                <w:p w14:paraId="62F57D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50</w:t>
                  </w:r>
                </w:p>
              </w:tc>
              <w:tc>
                <w:tcPr>
                  <w:tcW w:w="364" w:type="dxa"/>
                  <w:noWrap w:val="0"/>
                  <w:vAlign w:val="center"/>
                </w:tcPr>
                <w:p w14:paraId="5FC2B5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w:t>
                  </w:r>
                </w:p>
              </w:tc>
            </w:tr>
          </w:tbl>
          <w:p w14:paraId="22CDECDF">
            <w:pPr>
              <w:ind w:firstLine="480"/>
              <w:rPr>
                <w:snapToGrid w:val="0"/>
                <w:color w:val="auto"/>
                <w:kern w:val="0"/>
                <w:highlight w:val="none"/>
              </w:rPr>
            </w:pPr>
            <w:r>
              <w:rPr>
                <w:rFonts w:hint="eastAsia"/>
                <w:snapToGrid w:val="0"/>
                <w:color w:val="auto"/>
                <w:kern w:val="0"/>
                <w:highlight w:val="none"/>
              </w:rPr>
              <w:t>（2）声环境影响预测</w:t>
            </w:r>
          </w:p>
          <w:p w14:paraId="467D87BE">
            <w:pPr>
              <w:widowControl/>
              <w:jc w:val="left"/>
              <w:rPr>
                <w:highlight w:val="none"/>
              </w:rPr>
            </w:pPr>
            <w:r>
              <w:rPr>
                <w:rFonts w:hint="eastAsia" w:ascii="宋体" w:hAnsi="宋体" w:cs="宋体"/>
                <w:color w:val="auto"/>
                <w:kern w:val="0"/>
                <w:highlight w:val="none"/>
                <w:lang w:bidi="ar"/>
              </w:rPr>
              <w:t>预测模式采用《环境影响评价技术导则</w:t>
            </w:r>
            <w:r>
              <w:rPr>
                <w:color w:val="auto"/>
                <w:kern w:val="0"/>
                <w:highlight w:val="none"/>
                <w:lang w:bidi="ar"/>
              </w:rPr>
              <w:t>-</w:t>
            </w:r>
            <w:r>
              <w:rPr>
                <w:rFonts w:hint="eastAsia" w:ascii="宋体" w:hAnsi="宋体" w:cs="宋体"/>
                <w:color w:val="auto"/>
                <w:kern w:val="0"/>
                <w:highlight w:val="none"/>
                <w:lang w:bidi="ar"/>
              </w:rPr>
              <w:t>声环境》（</w:t>
            </w:r>
            <w:r>
              <w:rPr>
                <w:color w:val="auto"/>
                <w:kern w:val="0"/>
                <w:highlight w:val="none"/>
                <w:lang w:bidi="ar"/>
              </w:rPr>
              <w:t>HJ2</w:t>
            </w:r>
            <w:r>
              <w:rPr>
                <w:color w:val="000000"/>
                <w:kern w:val="0"/>
                <w:highlight w:val="none"/>
                <w:lang w:bidi="ar"/>
              </w:rPr>
              <w:t>.4-2021</w:t>
            </w:r>
            <w:r>
              <w:rPr>
                <w:rFonts w:hint="eastAsia" w:ascii="宋体" w:hAnsi="宋体" w:cs="宋体"/>
                <w:color w:val="000000"/>
                <w:kern w:val="0"/>
                <w:highlight w:val="none"/>
                <w:lang w:bidi="ar"/>
              </w:rPr>
              <w:t>）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14:paraId="2667AE44">
            <w:pPr>
              <w:widowControl/>
              <w:jc w:val="left"/>
              <w:rPr>
                <w:highlight w:val="none"/>
              </w:rPr>
            </w:pPr>
            <w:r>
              <w:rPr>
                <w:rFonts w:hint="eastAsia" w:ascii="宋体" w:hAnsi="宋体" w:cs="宋体"/>
                <w:color w:val="000000"/>
                <w:kern w:val="0"/>
                <w:highlight w:val="none"/>
                <w:lang w:bidi="ar"/>
              </w:rPr>
              <w:t>根据《环境影响评价技术导则</w:t>
            </w:r>
            <w:r>
              <w:rPr>
                <w:color w:val="000000"/>
                <w:kern w:val="0"/>
                <w:highlight w:val="none"/>
                <w:lang w:bidi="ar"/>
              </w:rPr>
              <w:t>-</w:t>
            </w:r>
            <w:r>
              <w:rPr>
                <w:rFonts w:hint="eastAsia" w:ascii="宋体" w:hAnsi="宋体" w:cs="宋体"/>
                <w:color w:val="000000"/>
                <w:kern w:val="0"/>
                <w:highlight w:val="none"/>
                <w:lang w:bidi="ar"/>
              </w:rPr>
              <w:t>声环境》（</w:t>
            </w:r>
            <w:r>
              <w:rPr>
                <w:color w:val="000000"/>
                <w:kern w:val="0"/>
                <w:highlight w:val="none"/>
                <w:lang w:bidi="ar"/>
              </w:rPr>
              <w:t>HJ2.4-2021</w:t>
            </w:r>
            <w:r>
              <w:rPr>
                <w:rFonts w:hint="eastAsia" w:ascii="宋体" w:hAnsi="宋体" w:cs="宋体"/>
                <w:color w:val="000000"/>
                <w:kern w:val="0"/>
                <w:highlight w:val="none"/>
                <w:lang w:bidi="ar"/>
              </w:rPr>
              <w:t>）的技术要求进行计算。</w:t>
            </w:r>
          </w:p>
          <w:p w14:paraId="5D5A9F74">
            <w:pPr>
              <w:widowControl/>
              <w:jc w:val="left"/>
              <w:rPr>
                <w:color w:val="000000"/>
                <w:kern w:val="0"/>
                <w:highlight w:val="none"/>
                <w:lang w:bidi="ar"/>
              </w:rPr>
            </w:pPr>
            <w:r>
              <w:rPr>
                <w:rFonts w:hint="eastAsia"/>
                <w:color w:val="000000"/>
                <w:kern w:val="0"/>
                <w:highlight w:val="none"/>
                <w:lang w:bidi="ar"/>
              </w:rPr>
              <w:t>（</w:t>
            </w:r>
            <w:r>
              <w:rPr>
                <w:rFonts w:hint="eastAsia"/>
                <w:color w:val="000000"/>
                <w:kern w:val="0"/>
                <w:highlight w:val="none"/>
                <w:lang w:val="en-US" w:eastAsia="zh-CN" w:bidi="ar"/>
              </w:rPr>
              <w:t>3</w:t>
            </w:r>
            <w:r>
              <w:rPr>
                <w:color w:val="000000"/>
                <w:kern w:val="0"/>
                <w:highlight w:val="none"/>
                <w:lang w:bidi="ar"/>
              </w:rPr>
              <w:t>）等效室外声源计算</w:t>
            </w:r>
          </w:p>
          <w:p w14:paraId="004A59C3">
            <w:pPr>
              <w:widowControl/>
              <w:jc w:val="left"/>
              <w:rPr>
                <w:color w:val="000000"/>
                <w:kern w:val="0"/>
                <w:highlight w:val="none"/>
                <w:lang w:bidi="ar"/>
              </w:rPr>
            </w:pPr>
            <w:r>
              <w:rPr>
                <w:color w:val="000000"/>
                <w:kern w:val="0"/>
                <w:highlight w:val="none"/>
                <w:lang w:bidi="ar"/>
              </w:rPr>
              <w:t>按下式计算出所有室内声源在围护结构处产生的i倍频带叠加声压级：</w:t>
            </w:r>
          </w:p>
          <w:p w14:paraId="7CFAB273">
            <w:pPr>
              <w:widowControl/>
              <w:jc w:val="center"/>
              <w:rPr>
                <w:color w:val="000000"/>
                <w:kern w:val="0"/>
                <w:highlight w:val="none"/>
                <w:lang w:bidi="ar"/>
              </w:rPr>
            </w:pPr>
            <w:r>
              <w:rPr>
                <w:highlight w:val="none"/>
              </w:rPr>
              <w:drawing>
                <wp:inline distT="0" distB="0" distL="0" distR="0">
                  <wp:extent cx="1309370" cy="418465"/>
                  <wp:effectExtent l="0" t="0" r="508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1330113" cy="425131"/>
                          </a:xfrm>
                          <a:prstGeom prst="rect">
                            <a:avLst/>
                          </a:prstGeom>
                        </pic:spPr>
                      </pic:pic>
                    </a:graphicData>
                  </a:graphic>
                </wp:inline>
              </w:drawing>
            </w:r>
          </w:p>
          <w:p w14:paraId="0FFD881D">
            <w:pPr>
              <w:widowControl/>
              <w:rPr>
                <w:color w:val="000000"/>
                <w:kern w:val="0"/>
                <w:highlight w:val="none"/>
                <w:lang w:bidi="ar"/>
              </w:rPr>
            </w:pPr>
            <w:r>
              <w:rPr>
                <w:color w:val="000000"/>
                <w:kern w:val="0"/>
                <w:highlight w:val="none"/>
                <w:lang w:bidi="ar"/>
              </w:rPr>
              <w:t>式中：L</w:t>
            </w:r>
            <w:r>
              <w:rPr>
                <w:color w:val="000000"/>
                <w:kern w:val="0"/>
                <w:highlight w:val="none"/>
                <w:vertAlign w:val="subscript"/>
                <w:lang w:bidi="ar"/>
              </w:rPr>
              <w:t>pli</w:t>
            </w:r>
            <w:r>
              <w:rPr>
                <w:color w:val="000000"/>
                <w:kern w:val="0"/>
                <w:highlight w:val="none"/>
                <w:lang w:bidi="ar"/>
              </w:rPr>
              <w:t>（T）——靠近围护结构处室内N个声源i倍频带的叠加声压级，dB；</w:t>
            </w:r>
          </w:p>
          <w:p w14:paraId="42BE79F3">
            <w:pPr>
              <w:widowControl/>
              <w:rPr>
                <w:color w:val="000000"/>
                <w:kern w:val="0"/>
                <w:highlight w:val="none"/>
                <w:lang w:bidi="ar"/>
              </w:rPr>
            </w:pPr>
            <w:r>
              <w:rPr>
                <w:color w:val="000000"/>
                <w:kern w:val="0"/>
                <w:highlight w:val="none"/>
                <w:lang w:bidi="ar"/>
              </w:rPr>
              <w:t>L</w:t>
            </w:r>
            <w:r>
              <w:rPr>
                <w:color w:val="000000"/>
                <w:kern w:val="0"/>
                <w:highlight w:val="none"/>
                <w:vertAlign w:val="subscript"/>
                <w:lang w:bidi="ar"/>
              </w:rPr>
              <w:t>plij</w:t>
            </w:r>
            <w:r>
              <w:rPr>
                <w:color w:val="000000"/>
                <w:kern w:val="0"/>
                <w:highlight w:val="none"/>
                <w:lang w:bidi="ar"/>
              </w:rPr>
              <w:t>——室内j声源i倍频带的声压级，dB</w:t>
            </w:r>
            <w:r>
              <w:rPr>
                <w:rFonts w:hint="eastAsia"/>
                <w:color w:val="000000"/>
                <w:kern w:val="0"/>
                <w:highlight w:val="none"/>
                <w:lang w:bidi="ar"/>
              </w:rPr>
              <w:t>；</w:t>
            </w:r>
          </w:p>
          <w:p w14:paraId="5CE5CB8D">
            <w:pPr>
              <w:widowControl/>
              <w:jc w:val="left"/>
              <w:rPr>
                <w:color w:val="000000"/>
                <w:kern w:val="0"/>
                <w:highlight w:val="none"/>
                <w:lang w:bidi="ar"/>
              </w:rPr>
            </w:pPr>
            <w:r>
              <w:rPr>
                <w:color w:val="000000"/>
                <w:kern w:val="0"/>
                <w:highlight w:val="none"/>
                <w:lang w:bidi="ar"/>
              </w:rPr>
              <w:t>N——室内声源总数。</w:t>
            </w:r>
          </w:p>
          <w:p w14:paraId="2FF55675">
            <w:pPr>
              <w:widowControl/>
              <w:jc w:val="left"/>
              <w:rPr>
                <w:color w:val="000000"/>
                <w:kern w:val="0"/>
                <w:highlight w:val="none"/>
                <w:lang w:bidi="ar"/>
              </w:rPr>
            </w:pPr>
            <w:r>
              <w:rPr>
                <w:color w:val="000000"/>
                <w:kern w:val="0"/>
                <w:highlight w:val="none"/>
                <w:lang w:bidi="ar"/>
              </w:rPr>
              <w:t>声源所在室内声场为近似扩散声场，则室外的倍频带声压级可按下式近似求出：</w:t>
            </w:r>
          </w:p>
          <w:p w14:paraId="402B2AEC">
            <w:pPr>
              <w:widowControl/>
              <w:jc w:val="center"/>
              <w:rPr>
                <w:color w:val="000000"/>
                <w:kern w:val="0"/>
                <w:highlight w:val="none"/>
                <w:lang w:bidi="ar"/>
              </w:rPr>
            </w:pPr>
            <w:r>
              <w:rPr>
                <w:highlight w:val="none"/>
              </w:rPr>
              <w:drawing>
                <wp:inline distT="0" distB="0" distL="0" distR="0">
                  <wp:extent cx="2296795" cy="281940"/>
                  <wp:effectExtent l="0" t="0" r="825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2307115" cy="283723"/>
                          </a:xfrm>
                          <a:prstGeom prst="rect">
                            <a:avLst/>
                          </a:prstGeom>
                        </pic:spPr>
                      </pic:pic>
                    </a:graphicData>
                  </a:graphic>
                </wp:inline>
              </w:drawing>
            </w:r>
          </w:p>
          <w:p w14:paraId="12A647A2">
            <w:pPr>
              <w:widowControl/>
              <w:jc w:val="left"/>
              <w:rPr>
                <w:color w:val="000000"/>
                <w:kern w:val="0"/>
                <w:highlight w:val="none"/>
                <w:lang w:bidi="ar"/>
              </w:rPr>
            </w:pPr>
            <w:r>
              <w:rPr>
                <w:color w:val="000000"/>
                <w:kern w:val="0"/>
                <w:highlight w:val="none"/>
                <w:lang w:bidi="ar"/>
              </w:rPr>
              <w:t>式中：L</w:t>
            </w:r>
            <w:r>
              <w:rPr>
                <w:color w:val="000000"/>
                <w:kern w:val="0"/>
                <w:highlight w:val="none"/>
                <w:vertAlign w:val="subscript"/>
                <w:lang w:bidi="ar"/>
              </w:rPr>
              <w:t>p2i</w:t>
            </w:r>
            <w:r>
              <w:rPr>
                <w:color w:val="000000"/>
                <w:kern w:val="0"/>
                <w:highlight w:val="none"/>
                <w:lang w:bidi="ar"/>
              </w:rPr>
              <w:t>（T）——靠近围护结构处室内N个声源倍频带的叠加声压级，dB；</w:t>
            </w:r>
          </w:p>
          <w:p w14:paraId="23FFB128">
            <w:pPr>
              <w:widowControl/>
              <w:jc w:val="left"/>
              <w:rPr>
                <w:color w:val="000000"/>
                <w:kern w:val="0"/>
                <w:highlight w:val="none"/>
                <w:lang w:bidi="ar"/>
              </w:rPr>
            </w:pPr>
            <w:r>
              <w:rPr>
                <w:color w:val="000000"/>
                <w:kern w:val="0"/>
                <w:highlight w:val="none"/>
                <w:lang w:bidi="ar"/>
              </w:rPr>
              <w:t>L</w:t>
            </w:r>
            <w:r>
              <w:rPr>
                <w:color w:val="000000"/>
                <w:kern w:val="0"/>
                <w:highlight w:val="none"/>
                <w:vertAlign w:val="subscript"/>
                <w:lang w:bidi="ar"/>
              </w:rPr>
              <w:t>p2</w:t>
            </w:r>
            <w:r>
              <w:rPr>
                <w:color w:val="000000"/>
                <w:kern w:val="0"/>
                <w:highlight w:val="none"/>
                <w:lang w:bidi="ar"/>
              </w:rPr>
              <w:t>——靠近围护结构处室外N个声源倍频带的叠加声压级，dB；</w:t>
            </w:r>
          </w:p>
          <w:p w14:paraId="51CD3F23">
            <w:pPr>
              <w:widowControl/>
              <w:jc w:val="left"/>
              <w:rPr>
                <w:color w:val="000000"/>
                <w:kern w:val="0"/>
                <w:highlight w:val="none"/>
                <w:lang w:bidi="ar"/>
              </w:rPr>
            </w:pPr>
            <w:r>
              <w:rPr>
                <w:color w:val="000000"/>
                <w:kern w:val="0"/>
                <w:highlight w:val="none"/>
                <w:lang w:bidi="ar"/>
              </w:rPr>
              <w:t>TL</w:t>
            </w:r>
            <w:r>
              <w:rPr>
                <w:color w:val="000000"/>
                <w:kern w:val="0"/>
                <w:highlight w:val="none"/>
                <w:vertAlign w:val="subscript"/>
                <w:lang w:bidi="ar"/>
              </w:rPr>
              <w:t>i</w:t>
            </w:r>
            <w:r>
              <w:rPr>
                <w:color w:val="000000"/>
                <w:kern w:val="0"/>
                <w:highlight w:val="none"/>
                <w:lang w:bidi="ar"/>
              </w:rPr>
              <w:t>——围护结构i倍频带隔声量，dB。</w:t>
            </w:r>
          </w:p>
          <w:p w14:paraId="2C7131F7">
            <w:pPr>
              <w:widowControl/>
              <w:jc w:val="left"/>
              <w:rPr>
                <w:rFonts w:ascii="宋体" w:hAnsi="宋体" w:cs="宋体"/>
                <w:color w:val="000000"/>
                <w:kern w:val="0"/>
                <w:highlight w:val="none"/>
                <w:lang w:bidi="ar"/>
              </w:rPr>
            </w:pPr>
            <w:r>
              <w:rPr>
                <w:rFonts w:hint="default" w:ascii="Times New Roman" w:hAnsi="Times New Roman" w:cs="Times New Roman"/>
                <w:color w:val="000000"/>
                <w:kern w:val="0"/>
                <w:highlight w:val="none"/>
                <w:lang w:bidi="ar"/>
              </w:rPr>
              <w:t>（</w:t>
            </w:r>
            <w:r>
              <w:rPr>
                <w:rFonts w:hint="default" w:ascii="Times New Roman" w:hAnsi="Times New Roman" w:cs="Times New Roman"/>
                <w:color w:val="000000"/>
                <w:kern w:val="0"/>
                <w:highlight w:val="none"/>
                <w:lang w:val="en-US" w:eastAsia="zh-CN" w:bidi="ar"/>
              </w:rPr>
              <w:t>4</w:t>
            </w:r>
            <w:r>
              <w:rPr>
                <w:rFonts w:hint="default" w:ascii="Times New Roman" w:hAnsi="Times New Roman" w:cs="Times New Roman"/>
                <w:color w:val="000000"/>
                <w:kern w:val="0"/>
                <w:highlight w:val="none"/>
                <w:lang w:bidi="ar"/>
              </w:rPr>
              <w:t>）</w:t>
            </w:r>
            <w:r>
              <w:rPr>
                <w:rFonts w:hint="eastAsia" w:ascii="宋体" w:hAnsi="宋体" w:cs="宋体"/>
                <w:color w:val="000000"/>
                <w:kern w:val="0"/>
                <w:highlight w:val="none"/>
                <w:lang w:bidi="ar"/>
              </w:rPr>
              <w:t>噪声衰减计算</w:t>
            </w:r>
          </w:p>
          <w:p w14:paraId="0230A17E">
            <w:pPr>
              <w:widowControl/>
              <w:jc w:val="left"/>
              <w:rPr>
                <w:rFonts w:ascii="宋体" w:hAnsi="宋体" w:cs="宋体"/>
                <w:color w:val="000000"/>
                <w:kern w:val="0"/>
                <w:highlight w:val="none"/>
                <w:lang w:bidi="ar"/>
              </w:rPr>
            </w:pPr>
            <w:r>
              <w:rPr>
                <w:rFonts w:hint="eastAsia" w:ascii="宋体" w:hAnsi="宋体" w:cs="宋体"/>
                <w:color w:val="000000"/>
                <w:kern w:val="0"/>
                <w:highlight w:val="none"/>
                <w:lang w:bidi="ar"/>
              </w:rPr>
              <w:t>无指向性点声源几何发散衰减的基本公式是：</w:t>
            </w:r>
          </w:p>
          <w:p w14:paraId="7D9DB506">
            <w:pPr>
              <w:widowControl/>
              <w:jc w:val="center"/>
              <w:rPr>
                <w:rFonts w:ascii="宋体" w:hAnsi="宋体" w:cs="宋体"/>
                <w:color w:val="000000"/>
                <w:kern w:val="0"/>
                <w:highlight w:val="none"/>
                <w:lang w:bidi="ar"/>
              </w:rPr>
            </w:pPr>
            <w:r>
              <w:rPr>
                <w:highlight w:val="none"/>
              </w:rPr>
              <w:drawing>
                <wp:inline distT="0" distB="0" distL="0" distR="0">
                  <wp:extent cx="2457450" cy="318770"/>
                  <wp:effectExtent l="0" t="0" r="0" b="508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7"/>
                          <a:stretch>
                            <a:fillRect/>
                          </a:stretch>
                        </pic:blipFill>
                        <pic:spPr>
                          <a:xfrm>
                            <a:off x="0" y="0"/>
                            <a:ext cx="2483754" cy="322125"/>
                          </a:xfrm>
                          <a:prstGeom prst="rect">
                            <a:avLst/>
                          </a:prstGeom>
                        </pic:spPr>
                      </pic:pic>
                    </a:graphicData>
                  </a:graphic>
                </wp:inline>
              </w:drawing>
            </w:r>
          </w:p>
          <w:p w14:paraId="71A3B6D2">
            <w:pPr>
              <w:widowControl/>
              <w:jc w:val="left"/>
              <w:rPr>
                <w:color w:val="000000"/>
                <w:kern w:val="0"/>
                <w:highlight w:val="none"/>
                <w:lang w:bidi="ar"/>
              </w:rPr>
            </w:pPr>
            <w:r>
              <w:rPr>
                <w:color w:val="000000"/>
                <w:kern w:val="0"/>
                <w:highlight w:val="none"/>
                <w:lang w:bidi="ar"/>
              </w:rPr>
              <w:t>式中：L</w:t>
            </w:r>
            <w:r>
              <w:rPr>
                <w:color w:val="000000"/>
                <w:kern w:val="0"/>
                <w:highlight w:val="none"/>
                <w:vertAlign w:val="subscript"/>
                <w:lang w:bidi="ar"/>
              </w:rPr>
              <w:t>p</w:t>
            </w:r>
            <w:r>
              <w:rPr>
                <w:color w:val="000000"/>
                <w:kern w:val="0"/>
                <w:highlight w:val="none"/>
                <w:lang w:bidi="ar"/>
              </w:rPr>
              <w:t>（r）—预测点处声压级，dB；</w:t>
            </w:r>
          </w:p>
          <w:p w14:paraId="23DED6B3">
            <w:pPr>
              <w:widowControl/>
              <w:jc w:val="left"/>
              <w:rPr>
                <w:color w:val="000000"/>
                <w:kern w:val="0"/>
                <w:highlight w:val="none"/>
                <w:lang w:bidi="ar"/>
              </w:rPr>
            </w:pPr>
            <w:r>
              <w:rPr>
                <w:color w:val="000000"/>
                <w:kern w:val="0"/>
                <w:highlight w:val="none"/>
                <w:lang w:bidi="ar"/>
              </w:rPr>
              <w:t>L</w:t>
            </w:r>
            <w:r>
              <w:rPr>
                <w:color w:val="000000"/>
                <w:kern w:val="0"/>
                <w:highlight w:val="none"/>
                <w:vertAlign w:val="subscript"/>
                <w:lang w:bidi="ar"/>
              </w:rPr>
              <w:t>p</w:t>
            </w:r>
            <w:r>
              <w:rPr>
                <w:color w:val="000000"/>
                <w:kern w:val="0"/>
                <w:highlight w:val="none"/>
                <w:lang w:bidi="ar"/>
              </w:rPr>
              <w:t>（r</w:t>
            </w:r>
            <w:r>
              <w:rPr>
                <w:color w:val="000000"/>
                <w:kern w:val="0"/>
                <w:highlight w:val="none"/>
                <w:vertAlign w:val="subscript"/>
                <w:lang w:bidi="ar"/>
              </w:rPr>
              <w:t>0</w:t>
            </w:r>
            <w:r>
              <w:rPr>
                <w:color w:val="000000"/>
                <w:kern w:val="0"/>
                <w:highlight w:val="none"/>
                <w:lang w:bidi="ar"/>
              </w:rPr>
              <w:t>）—参考位置r</w:t>
            </w:r>
            <w:r>
              <w:rPr>
                <w:color w:val="000000"/>
                <w:kern w:val="0"/>
                <w:highlight w:val="none"/>
                <w:vertAlign w:val="subscript"/>
                <w:lang w:bidi="ar"/>
              </w:rPr>
              <w:t>0</w:t>
            </w:r>
            <w:r>
              <w:rPr>
                <w:color w:val="000000"/>
                <w:kern w:val="0"/>
                <w:highlight w:val="none"/>
                <w:lang w:bidi="ar"/>
              </w:rPr>
              <w:t>处的声压级，dB；</w:t>
            </w:r>
          </w:p>
          <w:p w14:paraId="048A4D04">
            <w:pPr>
              <w:widowControl/>
              <w:jc w:val="left"/>
              <w:rPr>
                <w:color w:val="000000"/>
                <w:kern w:val="0"/>
                <w:highlight w:val="none"/>
                <w:lang w:bidi="ar"/>
              </w:rPr>
            </w:pPr>
            <w:r>
              <w:rPr>
                <w:color w:val="000000"/>
                <w:kern w:val="0"/>
                <w:highlight w:val="none"/>
                <w:lang w:bidi="ar"/>
              </w:rPr>
              <w:t>r—预测点距声源的距离，m；</w:t>
            </w:r>
          </w:p>
          <w:p w14:paraId="55C76F09">
            <w:pPr>
              <w:widowControl/>
              <w:jc w:val="left"/>
              <w:rPr>
                <w:color w:val="000000"/>
                <w:kern w:val="0"/>
                <w:highlight w:val="none"/>
                <w:lang w:bidi="ar"/>
              </w:rPr>
            </w:pPr>
            <w:r>
              <w:rPr>
                <w:color w:val="000000"/>
                <w:kern w:val="0"/>
                <w:highlight w:val="none"/>
                <w:lang w:bidi="ar"/>
              </w:rPr>
              <w:t>r</w:t>
            </w:r>
            <w:r>
              <w:rPr>
                <w:color w:val="000000"/>
                <w:kern w:val="0"/>
                <w:highlight w:val="none"/>
                <w:vertAlign w:val="subscript"/>
                <w:lang w:bidi="ar"/>
              </w:rPr>
              <w:t>0</w:t>
            </w:r>
            <w:r>
              <w:rPr>
                <w:color w:val="000000"/>
                <w:kern w:val="0"/>
                <w:highlight w:val="none"/>
                <w:lang w:bidi="ar"/>
              </w:rPr>
              <w:t>—参考位置距声源的距离，m；</w:t>
            </w:r>
          </w:p>
          <w:p w14:paraId="1072CC7F">
            <w:pPr>
              <w:widowControl/>
              <w:jc w:val="left"/>
              <w:rPr>
                <w:color w:val="000000"/>
                <w:kern w:val="0"/>
                <w:highlight w:val="none"/>
                <w:lang w:bidi="ar"/>
              </w:rPr>
            </w:pPr>
            <w:r>
              <w:rPr>
                <w:color w:val="000000"/>
                <w:kern w:val="0"/>
                <w:highlight w:val="none"/>
                <w:lang w:bidi="ar"/>
              </w:rPr>
              <w:t>（</w:t>
            </w:r>
            <w:r>
              <w:rPr>
                <w:rFonts w:hint="eastAsia"/>
                <w:color w:val="000000"/>
                <w:kern w:val="0"/>
                <w:highlight w:val="none"/>
                <w:lang w:val="en-US" w:eastAsia="zh-CN" w:bidi="ar"/>
              </w:rPr>
              <w:t>5</w:t>
            </w:r>
            <w:r>
              <w:rPr>
                <w:color w:val="000000"/>
                <w:kern w:val="0"/>
                <w:highlight w:val="none"/>
                <w:lang w:bidi="ar"/>
              </w:rPr>
              <w:t>）噪声贡献值计算</w:t>
            </w:r>
          </w:p>
          <w:p w14:paraId="4E8AB585">
            <w:pPr>
              <w:widowControl/>
              <w:jc w:val="left"/>
              <w:rPr>
                <w:color w:val="000000"/>
                <w:kern w:val="0"/>
                <w:highlight w:val="none"/>
                <w:lang w:bidi="ar"/>
              </w:rPr>
            </w:pPr>
            <w:r>
              <w:rPr>
                <w:color w:val="000000"/>
                <w:kern w:val="0"/>
                <w:highlight w:val="none"/>
                <w:lang w:bidi="ar"/>
              </w:rPr>
              <w:t>第i个室外声源在预测点产生的A声级为L</w:t>
            </w:r>
            <w:r>
              <w:rPr>
                <w:color w:val="000000"/>
                <w:kern w:val="0"/>
                <w:highlight w:val="none"/>
                <w:vertAlign w:val="subscript"/>
                <w:lang w:bidi="ar"/>
              </w:rPr>
              <w:t>Ai</w:t>
            </w:r>
            <w:r>
              <w:rPr>
                <w:color w:val="000000"/>
                <w:kern w:val="0"/>
                <w:highlight w:val="none"/>
                <w:lang w:bidi="ar"/>
              </w:rPr>
              <w:t>，在T时间内该声源工作时间为t</w:t>
            </w:r>
            <w:r>
              <w:rPr>
                <w:color w:val="000000"/>
                <w:kern w:val="0"/>
                <w:highlight w:val="none"/>
                <w:vertAlign w:val="subscript"/>
                <w:lang w:bidi="ar"/>
              </w:rPr>
              <w:t>i</w:t>
            </w:r>
            <w:r>
              <w:rPr>
                <w:color w:val="000000"/>
                <w:kern w:val="0"/>
                <w:highlight w:val="none"/>
                <w:lang w:bidi="ar"/>
              </w:rPr>
              <w:t>；第j个等效室外声源在预测点产生的A声级为L</w:t>
            </w:r>
            <w:r>
              <w:rPr>
                <w:color w:val="000000"/>
                <w:kern w:val="0"/>
                <w:highlight w:val="none"/>
                <w:vertAlign w:val="subscript"/>
                <w:lang w:bidi="ar"/>
              </w:rPr>
              <w:t>Aj</w:t>
            </w:r>
            <w:r>
              <w:rPr>
                <w:color w:val="000000"/>
                <w:kern w:val="0"/>
                <w:highlight w:val="none"/>
                <w:lang w:bidi="ar"/>
              </w:rPr>
              <w:t>，在T时间内该声源工作时间为t，则拟建工程声源对预测点产生的贡献值（L</w:t>
            </w:r>
            <w:r>
              <w:rPr>
                <w:color w:val="000000"/>
                <w:kern w:val="0"/>
                <w:highlight w:val="none"/>
                <w:vertAlign w:val="subscript"/>
                <w:lang w:bidi="ar"/>
              </w:rPr>
              <w:t>eqg</w:t>
            </w:r>
            <w:r>
              <w:rPr>
                <w:color w:val="000000"/>
                <w:kern w:val="0"/>
                <w:highlight w:val="none"/>
                <w:lang w:bidi="ar"/>
              </w:rPr>
              <w:t>）为：</w:t>
            </w:r>
          </w:p>
          <w:p w14:paraId="592B2E6B">
            <w:pPr>
              <w:widowControl/>
              <w:jc w:val="center"/>
              <w:rPr>
                <w:rFonts w:ascii="宋体" w:hAnsi="宋体" w:cs="宋体"/>
                <w:color w:val="000000"/>
                <w:kern w:val="0"/>
                <w:highlight w:val="none"/>
                <w:lang w:bidi="ar"/>
              </w:rPr>
            </w:pPr>
            <w:r>
              <w:rPr>
                <w:highlight w:val="none"/>
              </w:rPr>
              <w:drawing>
                <wp:inline distT="0" distB="0" distL="0" distR="0">
                  <wp:extent cx="3133725" cy="603250"/>
                  <wp:effectExtent l="0" t="0" r="9525" b="635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8"/>
                          <a:stretch>
                            <a:fillRect/>
                          </a:stretch>
                        </pic:blipFill>
                        <pic:spPr>
                          <a:xfrm>
                            <a:off x="0" y="0"/>
                            <a:ext cx="3172815" cy="610803"/>
                          </a:xfrm>
                          <a:prstGeom prst="rect">
                            <a:avLst/>
                          </a:prstGeom>
                        </pic:spPr>
                      </pic:pic>
                    </a:graphicData>
                  </a:graphic>
                </wp:inline>
              </w:drawing>
            </w:r>
          </w:p>
          <w:p w14:paraId="78F5473D">
            <w:pPr>
              <w:jc w:val="left"/>
              <w:rPr>
                <w:highlight w:val="none"/>
              </w:rPr>
            </w:pPr>
            <w:r>
              <w:rPr>
                <w:rFonts w:hint="eastAsia"/>
                <w:highlight w:val="none"/>
              </w:rPr>
              <w:t>式中：L</w:t>
            </w:r>
            <w:r>
              <w:rPr>
                <w:rFonts w:hint="eastAsia"/>
                <w:highlight w:val="none"/>
                <w:vertAlign w:val="subscript"/>
              </w:rPr>
              <w:t>eqg</w:t>
            </w:r>
            <w:r>
              <w:rPr>
                <w:rFonts w:hint="eastAsia"/>
                <w:highlight w:val="none"/>
              </w:rPr>
              <w:t>——建设项目声源在预测点产生的噪声贡献值，dB；</w:t>
            </w:r>
          </w:p>
          <w:p w14:paraId="4A2DCEE8">
            <w:pPr>
              <w:jc w:val="left"/>
              <w:rPr>
                <w:highlight w:val="none"/>
              </w:rPr>
            </w:pPr>
            <w:r>
              <w:rPr>
                <w:rFonts w:hint="eastAsia"/>
                <w:highlight w:val="none"/>
              </w:rPr>
              <w:t>T——用于计算等效声级的时间，s；</w:t>
            </w:r>
          </w:p>
          <w:p w14:paraId="110CDE0A">
            <w:pPr>
              <w:jc w:val="left"/>
              <w:rPr>
                <w:highlight w:val="none"/>
              </w:rPr>
            </w:pPr>
            <w:r>
              <w:rPr>
                <w:rFonts w:hint="eastAsia"/>
                <w:highlight w:val="none"/>
              </w:rPr>
              <w:t>N——室外声源个数；</w:t>
            </w:r>
          </w:p>
          <w:p w14:paraId="2F402AFC">
            <w:pPr>
              <w:jc w:val="left"/>
              <w:rPr>
                <w:highlight w:val="none"/>
              </w:rPr>
            </w:pPr>
            <w:r>
              <w:rPr>
                <w:rFonts w:hint="eastAsia"/>
                <w:highlight w:val="none"/>
              </w:rPr>
              <w:t>t</w:t>
            </w:r>
            <w:r>
              <w:rPr>
                <w:rFonts w:hint="eastAsia"/>
                <w:highlight w:val="none"/>
                <w:vertAlign w:val="subscript"/>
              </w:rPr>
              <w:t>i</w:t>
            </w:r>
            <w:r>
              <w:rPr>
                <w:rFonts w:hint="eastAsia"/>
                <w:highlight w:val="none"/>
              </w:rPr>
              <w:t>——在T时间内i声源工作时间，s；</w:t>
            </w:r>
          </w:p>
          <w:p w14:paraId="1B2AC95B">
            <w:pPr>
              <w:jc w:val="left"/>
              <w:rPr>
                <w:highlight w:val="none"/>
              </w:rPr>
            </w:pPr>
            <w:r>
              <w:rPr>
                <w:rFonts w:hint="eastAsia"/>
                <w:highlight w:val="none"/>
              </w:rPr>
              <w:t>M——等效室外声源个数；</w:t>
            </w:r>
          </w:p>
          <w:p w14:paraId="495AE85E">
            <w:pPr>
              <w:jc w:val="left"/>
              <w:rPr>
                <w:highlight w:val="none"/>
              </w:rPr>
            </w:pPr>
            <w:r>
              <w:rPr>
                <w:rFonts w:hint="eastAsia"/>
                <w:highlight w:val="none"/>
              </w:rPr>
              <w:t>t</w:t>
            </w:r>
            <w:r>
              <w:rPr>
                <w:rFonts w:hint="eastAsia"/>
                <w:highlight w:val="none"/>
                <w:vertAlign w:val="subscript"/>
              </w:rPr>
              <w:t>j</w:t>
            </w:r>
            <w:r>
              <w:rPr>
                <w:rFonts w:hint="eastAsia"/>
                <w:highlight w:val="none"/>
              </w:rPr>
              <w:t>——在T时间内j声源工作时间，s。</w:t>
            </w:r>
          </w:p>
          <w:p w14:paraId="390ED76A">
            <w:pPr>
              <w:jc w:val="left"/>
              <w:rPr>
                <w:highlight w:val="none"/>
              </w:rPr>
            </w:pPr>
            <w:r>
              <w:rPr>
                <w:rFonts w:hint="eastAsia"/>
                <w:highlight w:val="none"/>
              </w:rPr>
              <w:t>（</w:t>
            </w:r>
            <w:r>
              <w:rPr>
                <w:rFonts w:hint="eastAsia"/>
                <w:highlight w:val="none"/>
                <w:lang w:val="en-US" w:eastAsia="zh-CN"/>
              </w:rPr>
              <w:t>6</w:t>
            </w:r>
            <w:r>
              <w:rPr>
                <w:rFonts w:hint="eastAsia"/>
                <w:highlight w:val="none"/>
              </w:rPr>
              <w:t>）噪声</w:t>
            </w:r>
            <w:r>
              <w:rPr>
                <w:rFonts w:hint="eastAsia"/>
                <w:highlight w:val="none"/>
                <w:lang w:val="en-US" w:eastAsia="zh-CN"/>
              </w:rPr>
              <w:t>贡献值</w:t>
            </w:r>
            <w:r>
              <w:rPr>
                <w:rFonts w:hint="eastAsia"/>
                <w:highlight w:val="none"/>
              </w:rPr>
              <w:t>计算</w:t>
            </w:r>
          </w:p>
          <w:p w14:paraId="22C91FEC">
            <w:pPr>
              <w:jc w:val="left"/>
              <w:rPr>
                <w:highlight w:val="none"/>
              </w:rPr>
            </w:pPr>
            <w:r>
              <w:rPr>
                <w:rFonts w:hint="eastAsia"/>
                <w:highlight w:val="none"/>
              </w:rPr>
              <w:t>预测点的贡献值按能量叠加方法计算得到的声级。</w:t>
            </w:r>
          </w:p>
          <w:p w14:paraId="137FA048">
            <w:pPr>
              <w:jc w:val="left"/>
              <w:rPr>
                <w:highlight w:val="none"/>
              </w:rPr>
            </w:pPr>
            <w:r>
              <w:rPr>
                <w:rFonts w:hint="eastAsia"/>
                <w:highlight w:val="none"/>
              </w:rPr>
              <w:t>噪声预测值（L</w:t>
            </w:r>
            <w:r>
              <w:rPr>
                <w:rFonts w:hint="eastAsia"/>
                <w:highlight w:val="none"/>
                <w:vertAlign w:val="subscript"/>
              </w:rPr>
              <w:t>eq</w:t>
            </w:r>
            <w:r>
              <w:rPr>
                <w:rFonts w:hint="eastAsia"/>
                <w:highlight w:val="none"/>
              </w:rPr>
              <w:t>）计算公式为：</w:t>
            </w:r>
          </w:p>
          <w:p w14:paraId="41AC4CFA">
            <w:pPr>
              <w:jc w:val="center"/>
              <w:rPr>
                <w:highlight w:val="none"/>
              </w:rPr>
            </w:pPr>
            <w:r>
              <w:rPr>
                <w:highlight w:val="none"/>
              </w:rPr>
              <w:drawing>
                <wp:inline distT="0" distB="0" distL="0" distR="0">
                  <wp:extent cx="2252980" cy="396875"/>
                  <wp:effectExtent l="0" t="0" r="13970" b="317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9"/>
                          <a:stretch>
                            <a:fillRect/>
                          </a:stretch>
                        </pic:blipFill>
                        <pic:spPr>
                          <a:xfrm>
                            <a:off x="0" y="0"/>
                            <a:ext cx="2263670" cy="398992"/>
                          </a:xfrm>
                          <a:prstGeom prst="rect">
                            <a:avLst/>
                          </a:prstGeom>
                        </pic:spPr>
                      </pic:pic>
                    </a:graphicData>
                  </a:graphic>
                </wp:inline>
              </w:drawing>
            </w:r>
          </w:p>
          <w:p w14:paraId="026ABBEF">
            <w:pPr>
              <w:jc w:val="left"/>
              <w:rPr>
                <w:highlight w:val="none"/>
              </w:rPr>
            </w:pPr>
            <w:r>
              <w:rPr>
                <w:rFonts w:hint="eastAsia"/>
                <w:highlight w:val="none"/>
              </w:rPr>
              <w:t>式中：Leq——预测点的噪声预测值，dB；</w:t>
            </w:r>
          </w:p>
          <w:p w14:paraId="64C6634C">
            <w:pPr>
              <w:jc w:val="left"/>
              <w:rPr>
                <w:highlight w:val="none"/>
              </w:rPr>
            </w:pPr>
            <w:r>
              <w:rPr>
                <w:rFonts w:hint="eastAsia"/>
                <w:highlight w:val="none"/>
              </w:rPr>
              <w:t>L</w:t>
            </w:r>
            <w:r>
              <w:rPr>
                <w:rFonts w:hint="eastAsia"/>
                <w:highlight w:val="none"/>
                <w:vertAlign w:val="subscript"/>
              </w:rPr>
              <w:t>eqg</w:t>
            </w:r>
            <w:r>
              <w:rPr>
                <w:rFonts w:hint="eastAsia"/>
                <w:highlight w:val="none"/>
              </w:rPr>
              <w:t>——建设项目声源在预测点产生的噪声贡献值，dB；</w:t>
            </w:r>
          </w:p>
          <w:p w14:paraId="66ADFCA7">
            <w:pPr>
              <w:ind w:firstLine="480"/>
              <w:rPr>
                <w:rFonts w:hint="eastAsia"/>
                <w:highlight w:val="none"/>
              </w:rPr>
            </w:pPr>
            <w:r>
              <w:rPr>
                <w:rFonts w:hint="eastAsia"/>
                <w:highlight w:val="none"/>
              </w:rPr>
              <w:t>L</w:t>
            </w:r>
            <w:r>
              <w:rPr>
                <w:rFonts w:hint="eastAsia"/>
                <w:highlight w:val="none"/>
                <w:vertAlign w:val="subscript"/>
              </w:rPr>
              <w:t>eqb</w:t>
            </w:r>
            <w:r>
              <w:rPr>
                <w:rFonts w:hint="eastAsia"/>
                <w:highlight w:val="none"/>
              </w:rPr>
              <w:t>——预测点的背景噪声值，dB。</w:t>
            </w:r>
          </w:p>
          <w:p w14:paraId="4C817995">
            <w:pPr>
              <w:ind w:firstLine="480"/>
              <w:rPr>
                <w:snapToGrid w:val="0"/>
                <w:kern w:val="0"/>
                <w:highlight w:val="none"/>
              </w:rPr>
            </w:pPr>
            <w:r>
              <w:rPr>
                <w:rFonts w:hint="eastAsia"/>
                <w:snapToGrid w:val="0"/>
                <w:kern w:val="0"/>
                <w:highlight w:val="none"/>
              </w:rPr>
              <w:t>根据噪声预测模式进行计算，预测结果如下表。</w:t>
            </w:r>
          </w:p>
          <w:p w14:paraId="1E223853">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表4-</w:t>
            </w:r>
            <w:r>
              <w:rPr>
                <w:rFonts w:hint="default" w:ascii="Times New Roman" w:hAnsi="Times New Roman" w:eastAsia="宋体" w:cs="Times New Roman"/>
                <w:sz w:val="21"/>
                <w:szCs w:val="21"/>
                <w:highlight w:val="none"/>
                <w:lang w:val="en-US" w:eastAsia="zh-CN"/>
              </w:rPr>
              <w:t>8</w:t>
            </w:r>
            <w:r>
              <w:rPr>
                <w:rFonts w:hint="default" w:ascii="Times New Roman" w:hAnsi="Times New Roman" w:cs="Times New Roman"/>
                <w:sz w:val="21"/>
                <w:szCs w:val="21"/>
                <w:highlight w:val="none"/>
              </w:rPr>
              <w:t xml:space="preserve">  噪声预测结果   单位Leq</w:t>
            </w:r>
            <w:r>
              <w:rPr>
                <w:rFonts w:hint="default" w:ascii="Times New Roman" w:hAnsi="Times New Roman" w:eastAsia="宋体" w:cs="Times New Roman"/>
                <w:sz w:val="21"/>
                <w:szCs w:val="21"/>
                <w:highlight w:val="none"/>
              </w:rPr>
              <w:t xml:space="preserve"> </w:t>
            </w:r>
            <w:r>
              <w:rPr>
                <w:rFonts w:hint="default" w:ascii="Times New Roman" w:hAnsi="Times New Roman" w:cs="Times New Roman"/>
                <w:sz w:val="21"/>
                <w:szCs w:val="21"/>
                <w:highlight w:val="none"/>
              </w:rPr>
              <w:t>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07"/>
              <w:gridCol w:w="2061"/>
              <w:gridCol w:w="1985"/>
            </w:tblGrid>
            <w:tr w14:paraId="7254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restart"/>
                  <w:vAlign w:val="center"/>
                </w:tcPr>
                <w:p w14:paraId="21D790E9">
                  <w:pPr>
                    <w:pStyle w:val="55"/>
                    <w:rPr>
                      <w:highlight w:val="none"/>
                    </w:rPr>
                  </w:pPr>
                  <w:r>
                    <w:rPr>
                      <w:rFonts w:hint="eastAsia"/>
                      <w:highlight w:val="none"/>
                    </w:rPr>
                    <w:t>预测点</w:t>
                  </w:r>
                </w:p>
              </w:tc>
              <w:tc>
                <w:tcPr>
                  <w:tcW w:w="1907" w:type="dxa"/>
                  <w:vMerge w:val="restart"/>
                  <w:vAlign w:val="center"/>
                </w:tcPr>
                <w:p w14:paraId="65DEFC6E">
                  <w:pPr>
                    <w:pStyle w:val="55"/>
                    <w:rPr>
                      <w:rFonts w:hint="eastAsia" w:eastAsia="宋体"/>
                      <w:highlight w:val="none"/>
                      <w:lang w:eastAsia="zh-CN"/>
                    </w:rPr>
                  </w:pPr>
                  <w:r>
                    <w:rPr>
                      <w:rFonts w:hint="eastAsia"/>
                      <w:color w:val="auto"/>
                      <w:highlight w:val="none"/>
                      <w:lang w:val="en-US" w:eastAsia="zh-CN"/>
                    </w:rPr>
                    <w:t>贡献值</w:t>
                  </w:r>
                </w:p>
              </w:tc>
              <w:tc>
                <w:tcPr>
                  <w:tcW w:w="4046" w:type="dxa"/>
                  <w:gridSpan w:val="2"/>
                  <w:vAlign w:val="center"/>
                </w:tcPr>
                <w:p w14:paraId="3686F43C">
                  <w:pPr>
                    <w:pStyle w:val="55"/>
                    <w:rPr>
                      <w:highlight w:val="none"/>
                    </w:rPr>
                  </w:pPr>
                  <w:r>
                    <w:rPr>
                      <w:rFonts w:hint="eastAsia"/>
                      <w:highlight w:val="none"/>
                    </w:rPr>
                    <w:t>《工业企业厂界环境噪声排放标准》（GB12348-2008）</w:t>
                  </w:r>
                </w:p>
              </w:tc>
            </w:tr>
            <w:tr w14:paraId="0B33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continue"/>
                  <w:vAlign w:val="center"/>
                </w:tcPr>
                <w:p w14:paraId="2B0CF0F0">
                  <w:pPr>
                    <w:pStyle w:val="55"/>
                    <w:rPr>
                      <w:highlight w:val="none"/>
                    </w:rPr>
                  </w:pPr>
                </w:p>
              </w:tc>
              <w:tc>
                <w:tcPr>
                  <w:tcW w:w="1907" w:type="dxa"/>
                  <w:vMerge w:val="continue"/>
                  <w:vAlign w:val="center"/>
                </w:tcPr>
                <w:p w14:paraId="2A83DE90">
                  <w:pPr>
                    <w:pStyle w:val="55"/>
                    <w:rPr>
                      <w:highlight w:val="none"/>
                    </w:rPr>
                  </w:pPr>
                </w:p>
              </w:tc>
              <w:tc>
                <w:tcPr>
                  <w:tcW w:w="2061" w:type="dxa"/>
                  <w:vAlign w:val="center"/>
                </w:tcPr>
                <w:p w14:paraId="1FFDF6B5">
                  <w:pPr>
                    <w:pStyle w:val="55"/>
                    <w:rPr>
                      <w:highlight w:val="none"/>
                    </w:rPr>
                  </w:pPr>
                  <w:r>
                    <w:rPr>
                      <w:rFonts w:hint="eastAsia"/>
                      <w:highlight w:val="none"/>
                    </w:rPr>
                    <w:t>昼间</w:t>
                  </w:r>
                </w:p>
              </w:tc>
              <w:tc>
                <w:tcPr>
                  <w:tcW w:w="1985" w:type="dxa"/>
                  <w:vAlign w:val="center"/>
                </w:tcPr>
                <w:p w14:paraId="6CEE40AA">
                  <w:pPr>
                    <w:pStyle w:val="55"/>
                    <w:rPr>
                      <w:highlight w:val="none"/>
                    </w:rPr>
                  </w:pPr>
                  <w:r>
                    <w:rPr>
                      <w:rFonts w:hint="eastAsia"/>
                      <w:highlight w:val="none"/>
                    </w:rPr>
                    <w:t>夜间</w:t>
                  </w:r>
                </w:p>
              </w:tc>
            </w:tr>
            <w:tr w14:paraId="796F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55DFF8AC">
                  <w:pPr>
                    <w:pStyle w:val="55"/>
                    <w:rPr>
                      <w:highlight w:val="none"/>
                    </w:rPr>
                  </w:pPr>
                  <w:r>
                    <w:rPr>
                      <w:rFonts w:hint="eastAsia"/>
                      <w:highlight w:val="none"/>
                    </w:rPr>
                    <w:t>项目区东侧</w:t>
                  </w:r>
                </w:p>
              </w:tc>
              <w:tc>
                <w:tcPr>
                  <w:tcW w:w="1907" w:type="dxa"/>
                  <w:vAlign w:val="center"/>
                </w:tcPr>
                <w:p w14:paraId="0C53D387">
                  <w:pPr>
                    <w:pStyle w:val="55"/>
                    <w:rPr>
                      <w:rFonts w:hint="eastAsia" w:eastAsia="宋体"/>
                      <w:highlight w:val="none"/>
                      <w:lang w:val="en-US" w:eastAsia="zh-CN"/>
                    </w:rPr>
                  </w:pPr>
                  <w:r>
                    <w:rPr>
                      <w:rFonts w:hint="eastAsia"/>
                      <w:highlight w:val="none"/>
                    </w:rPr>
                    <w:t>5</w:t>
                  </w:r>
                  <w:r>
                    <w:rPr>
                      <w:rFonts w:hint="eastAsia"/>
                      <w:highlight w:val="none"/>
                      <w:lang w:val="en-US" w:eastAsia="zh-CN"/>
                    </w:rPr>
                    <w:t>1</w:t>
                  </w:r>
                </w:p>
              </w:tc>
              <w:tc>
                <w:tcPr>
                  <w:tcW w:w="2061" w:type="dxa"/>
                  <w:vMerge w:val="restart"/>
                  <w:vAlign w:val="center"/>
                </w:tcPr>
                <w:p w14:paraId="06E68AE2">
                  <w:pPr>
                    <w:pStyle w:val="55"/>
                    <w:rPr>
                      <w:highlight w:val="none"/>
                    </w:rPr>
                  </w:pPr>
                  <w:r>
                    <w:rPr>
                      <w:rFonts w:hint="eastAsia"/>
                      <w:highlight w:val="none"/>
                    </w:rPr>
                    <w:t>65</w:t>
                  </w:r>
                </w:p>
              </w:tc>
              <w:tc>
                <w:tcPr>
                  <w:tcW w:w="1985" w:type="dxa"/>
                  <w:vMerge w:val="restart"/>
                  <w:vAlign w:val="center"/>
                </w:tcPr>
                <w:p w14:paraId="556AB35A">
                  <w:pPr>
                    <w:pStyle w:val="55"/>
                    <w:rPr>
                      <w:highlight w:val="none"/>
                    </w:rPr>
                  </w:pPr>
                  <w:r>
                    <w:rPr>
                      <w:rFonts w:hint="eastAsia"/>
                      <w:highlight w:val="none"/>
                    </w:rPr>
                    <w:t>55</w:t>
                  </w:r>
                </w:p>
              </w:tc>
            </w:tr>
            <w:tr w14:paraId="0665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41C89268">
                  <w:pPr>
                    <w:pStyle w:val="55"/>
                    <w:rPr>
                      <w:highlight w:val="none"/>
                    </w:rPr>
                  </w:pPr>
                  <w:r>
                    <w:rPr>
                      <w:rFonts w:hint="eastAsia"/>
                      <w:highlight w:val="none"/>
                    </w:rPr>
                    <w:t>项目区南侧</w:t>
                  </w:r>
                </w:p>
              </w:tc>
              <w:tc>
                <w:tcPr>
                  <w:tcW w:w="1907" w:type="dxa"/>
                  <w:vAlign w:val="center"/>
                </w:tcPr>
                <w:p w14:paraId="46A56D08">
                  <w:pPr>
                    <w:pStyle w:val="55"/>
                    <w:rPr>
                      <w:highlight w:val="none"/>
                    </w:rPr>
                  </w:pPr>
                  <w:r>
                    <w:rPr>
                      <w:rFonts w:hint="eastAsia"/>
                      <w:highlight w:val="none"/>
                    </w:rPr>
                    <w:t>44</w:t>
                  </w:r>
                </w:p>
              </w:tc>
              <w:tc>
                <w:tcPr>
                  <w:tcW w:w="2061" w:type="dxa"/>
                  <w:vMerge w:val="continue"/>
                  <w:vAlign w:val="center"/>
                </w:tcPr>
                <w:p w14:paraId="5354B029">
                  <w:pPr>
                    <w:pStyle w:val="55"/>
                    <w:rPr>
                      <w:highlight w:val="none"/>
                    </w:rPr>
                  </w:pPr>
                </w:p>
              </w:tc>
              <w:tc>
                <w:tcPr>
                  <w:tcW w:w="1985" w:type="dxa"/>
                  <w:vMerge w:val="continue"/>
                  <w:vAlign w:val="center"/>
                </w:tcPr>
                <w:p w14:paraId="72F6F014">
                  <w:pPr>
                    <w:pStyle w:val="55"/>
                    <w:rPr>
                      <w:highlight w:val="none"/>
                    </w:rPr>
                  </w:pPr>
                </w:p>
              </w:tc>
            </w:tr>
            <w:tr w14:paraId="6397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732E3C83">
                  <w:pPr>
                    <w:pStyle w:val="55"/>
                    <w:rPr>
                      <w:highlight w:val="none"/>
                    </w:rPr>
                  </w:pPr>
                  <w:r>
                    <w:rPr>
                      <w:rFonts w:hint="eastAsia"/>
                      <w:highlight w:val="none"/>
                    </w:rPr>
                    <w:t>项目区西侧</w:t>
                  </w:r>
                </w:p>
              </w:tc>
              <w:tc>
                <w:tcPr>
                  <w:tcW w:w="1907" w:type="dxa"/>
                  <w:vAlign w:val="center"/>
                </w:tcPr>
                <w:p w14:paraId="4FD468EC">
                  <w:pPr>
                    <w:pStyle w:val="55"/>
                    <w:rPr>
                      <w:highlight w:val="none"/>
                    </w:rPr>
                  </w:pPr>
                  <w:r>
                    <w:rPr>
                      <w:rFonts w:hint="eastAsia"/>
                      <w:highlight w:val="none"/>
                    </w:rPr>
                    <w:t>46</w:t>
                  </w:r>
                </w:p>
              </w:tc>
              <w:tc>
                <w:tcPr>
                  <w:tcW w:w="2061" w:type="dxa"/>
                  <w:vMerge w:val="continue"/>
                  <w:vAlign w:val="center"/>
                </w:tcPr>
                <w:p w14:paraId="22C9FEFA">
                  <w:pPr>
                    <w:pStyle w:val="55"/>
                    <w:rPr>
                      <w:highlight w:val="none"/>
                    </w:rPr>
                  </w:pPr>
                </w:p>
              </w:tc>
              <w:tc>
                <w:tcPr>
                  <w:tcW w:w="1985" w:type="dxa"/>
                  <w:vMerge w:val="continue"/>
                  <w:vAlign w:val="center"/>
                </w:tcPr>
                <w:p w14:paraId="3A477D1C">
                  <w:pPr>
                    <w:pStyle w:val="55"/>
                    <w:rPr>
                      <w:highlight w:val="none"/>
                    </w:rPr>
                  </w:pPr>
                </w:p>
              </w:tc>
            </w:tr>
            <w:tr w14:paraId="0663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14:paraId="43908FD9">
                  <w:pPr>
                    <w:pStyle w:val="55"/>
                    <w:rPr>
                      <w:highlight w:val="none"/>
                    </w:rPr>
                  </w:pPr>
                  <w:r>
                    <w:rPr>
                      <w:rFonts w:hint="eastAsia"/>
                      <w:highlight w:val="none"/>
                    </w:rPr>
                    <w:t>项目区北侧</w:t>
                  </w:r>
                </w:p>
              </w:tc>
              <w:tc>
                <w:tcPr>
                  <w:tcW w:w="1907" w:type="dxa"/>
                  <w:vAlign w:val="center"/>
                </w:tcPr>
                <w:p w14:paraId="1BEB5FC3">
                  <w:pPr>
                    <w:pStyle w:val="55"/>
                    <w:rPr>
                      <w:rFonts w:hint="eastAsia" w:eastAsia="宋体"/>
                      <w:highlight w:val="none"/>
                      <w:lang w:val="en-US" w:eastAsia="zh-CN"/>
                    </w:rPr>
                  </w:pPr>
                  <w:r>
                    <w:rPr>
                      <w:rFonts w:hint="eastAsia"/>
                      <w:highlight w:val="none"/>
                    </w:rPr>
                    <w:t>5</w:t>
                  </w:r>
                  <w:r>
                    <w:rPr>
                      <w:rFonts w:hint="eastAsia"/>
                      <w:highlight w:val="none"/>
                      <w:lang w:val="en-US" w:eastAsia="zh-CN"/>
                    </w:rPr>
                    <w:t>2</w:t>
                  </w:r>
                </w:p>
              </w:tc>
              <w:tc>
                <w:tcPr>
                  <w:tcW w:w="2061" w:type="dxa"/>
                  <w:vMerge w:val="continue"/>
                  <w:vAlign w:val="center"/>
                </w:tcPr>
                <w:p w14:paraId="2FC56CD8">
                  <w:pPr>
                    <w:pStyle w:val="55"/>
                    <w:rPr>
                      <w:highlight w:val="none"/>
                    </w:rPr>
                  </w:pPr>
                </w:p>
              </w:tc>
              <w:tc>
                <w:tcPr>
                  <w:tcW w:w="1985" w:type="dxa"/>
                  <w:vMerge w:val="continue"/>
                  <w:vAlign w:val="center"/>
                </w:tcPr>
                <w:p w14:paraId="43ED6C5E">
                  <w:pPr>
                    <w:pStyle w:val="55"/>
                    <w:rPr>
                      <w:highlight w:val="none"/>
                    </w:rPr>
                  </w:pPr>
                </w:p>
              </w:tc>
            </w:tr>
          </w:tbl>
          <w:p w14:paraId="22EC597E">
            <w:pPr>
              <w:ind w:firstLine="480"/>
              <w:rPr>
                <w:snapToGrid w:val="0"/>
                <w:kern w:val="0"/>
                <w:highlight w:val="none"/>
              </w:rPr>
            </w:pPr>
            <w:r>
              <w:rPr>
                <w:rFonts w:hint="eastAsia"/>
                <w:snapToGrid w:val="0"/>
                <w:kern w:val="0"/>
                <w:highlight w:val="none"/>
              </w:rPr>
              <w:t>预测结果表明，厂界噪声符合《工业企业厂界环境噪声排放标准》（GB12348-2008）中3类标准要求，项目厂界周边无居民，对周围环境影响较小。</w:t>
            </w:r>
          </w:p>
          <w:p w14:paraId="603203A6">
            <w:pPr>
              <w:pStyle w:val="3"/>
              <w:rPr>
                <w:highlight w:val="none"/>
              </w:rPr>
            </w:pPr>
            <w:r>
              <w:rPr>
                <w:rFonts w:hint="default" w:ascii="Times New Roman" w:hAnsi="Times New Roman" w:cs="Times New Roman"/>
                <w:highlight w:val="none"/>
              </w:rPr>
              <w:t>4</w:t>
            </w:r>
            <w:r>
              <w:rPr>
                <w:rFonts w:hint="eastAsia"/>
                <w:highlight w:val="none"/>
              </w:rPr>
              <w:t>固废</w:t>
            </w:r>
          </w:p>
          <w:p w14:paraId="79C2DF14">
            <w:pPr>
              <w:ind w:firstLine="480"/>
              <w:rPr>
                <w:highlight w:val="none"/>
              </w:rPr>
            </w:pPr>
            <w:r>
              <w:rPr>
                <w:highlight w:val="none"/>
              </w:rPr>
              <w:t>项目运营期产生的固体废弃物为</w:t>
            </w:r>
            <w:r>
              <w:rPr>
                <w:rFonts w:hint="eastAsia"/>
                <w:highlight w:val="none"/>
              </w:rPr>
              <w:t>废旧布袋、</w:t>
            </w:r>
            <w:r>
              <w:rPr>
                <w:rFonts w:hint="eastAsia"/>
                <w:highlight w:val="none"/>
                <w:lang w:val="en-US" w:eastAsia="zh-CN"/>
              </w:rPr>
              <w:t>除尘器收集粉尘、粗渣、化粪池污泥和</w:t>
            </w:r>
            <w:r>
              <w:rPr>
                <w:rFonts w:hint="eastAsia"/>
                <w:highlight w:val="none"/>
              </w:rPr>
              <w:t>员工</w:t>
            </w:r>
            <w:r>
              <w:rPr>
                <w:highlight w:val="none"/>
              </w:rPr>
              <w:t>生活垃圾</w:t>
            </w:r>
            <w:r>
              <w:rPr>
                <w:rFonts w:hint="eastAsia"/>
                <w:highlight w:val="none"/>
              </w:rPr>
              <w:t>以及设备养护产生的</w:t>
            </w:r>
            <w:r>
              <w:rPr>
                <w:rFonts w:hint="eastAsia"/>
                <w:highlight w:val="none"/>
                <w:lang w:eastAsia="zh-CN"/>
              </w:rPr>
              <w:t>废润滑油</w:t>
            </w:r>
            <w:r>
              <w:rPr>
                <w:highlight w:val="none"/>
              </w:rPr>
              <w:t>。</w:t>
            </w:r>
          </w:p>
          <w:p w14:paraId="43F4F20F">
            <w:pPr>
              <w:ind w:firstLine="480"/>
              <w:rPr>
                <w:highlight w:val="none"/>
              </w:rPr>
            </w:pPr>
            <w:r>
              <w:rPr>
                <w:rFonts w:hint="eastAsia"/>
                <w:highlight w:val="none"/>
              </w:rPr>
              <w:t>（1）废旧布袋</w:t>
            </w:r>
          </w:p>
          <w:p w14:paraId="26F70397">
            <w:pPr>
              <w:pStyle w:val="21"/>
              <w:ind w:left="0"/>
              <w:rPr>
                <w:highlight w:val="none"/>
              </w:rPr>
            </w:pPr>
            <w:r>
              <w:rPr>
                <w:rFonts w:hint="eastAsia"/>
                <w:highlight w:val="none"/>
              </w:rPr>
              <w:t>本项目布袋除尘器运行过程中产生的废旧布袋约</w:t>
            </w:r>
            <w:r>
              <w:rPr>
                <w:rFonts w:hint="eastAsia" w:ascii="Times New Roman"/>
                <w:highlight w:val="none"/>
              </w:rPr>
              <w:t>0.5t/a，</w:t>
            </w:r>
            <w:r>
              <w:rPr>
                <w:rFonts w:hint="eastAsia"/>
                <w:highlight w:val="none"/>
              </w:rPr>
              <w:t>集中收集后</w:t>
            </w:r>
            <w:r>
              <w:rPr>
                <w:rFonts w:hint="eastAsia"/>
                <w:highlight w:val="none"/>
                <w:lang w:val="en-US" w:eastAsia="zh-CN"/>
              </w:rPr>
              <w:t>由生产厂家回收处理</w:t>
            </w:r>
            <w:r>
              <w:rPr>
                <w:rFonts w:hint="eastAsia"/>
                <w:highlight w:val="none"/>
              </w:rPr>
              <w:t>。</w:t>
            </w:r>
          </w:p>
          <w:p w14:paraId="6D517F09">
            <w:pPr>
              <w:pStyle w:val="29"/>
              <w:spacing w:line="360" w:lineRule="auto"/>
              <w:ind w:firstLine="480"/>
              <w:rPr>
                <w:sz w:val="24"/>
                <w:highlight w:val="none"/>
              </w:rPr>
            </w:pPr>
            <w:r>
              <w:rPr>
                <w:rFonts w:hint="eastAsia"/>
                <w:sz w:val="24"/>
                <w:highlight w:val="none"/>
              </w:rPr>
              <w:t>（2）除尘器收集粉尘</w:t>
            </w:r>
          </w:p>
          <w:p w14:paraId="6A836B89">
            <w:pPr>
              <w:pStyle w:val="29"/>
              <w:spacing w:line="360" w:lineRule="auto"/>
              <w:ind w:firstLine="480"/>
              <w:rPr>
                <w:rFonts w:hint="eastAsia"/>
                <w:sz w:val="24"/>
                <w:highlight w:val="none"/>
              </w:rPr>
            </w:pPr>
            <w:r>
              <w:rPr>
                <w:rFonts w:hint="eastAsia"/>
                <w:sz w:val="24"/>
                <w:highlight w:val="none"/>
              </w:rPr>
              <w:t>本项目布袋除尘器运行过程中产生</w:t>
            </w:r>
            <w:r>
              <w:rPr>
                <w:rFonts w:hint="eastAsia"/>
                <w:color w:val="auto"/>
                <w:sz w:val="24"/>
                <w:highlight w:val="none"/>
              </w:rPr>
              <w:t>的除尘器收集粉尘约50.16t/a，</w:t>
            </w:r>
            <w:r>
              <w:rPr>
                <w:rFonts w:hint="eastAsia"/>
                <w:sz w:val="24"/>
                <w:highlight w:val="none"/>
              </w:rPr>
              <w:t>集中收集后</w:t>
            </w:r>
            <w:r>
              <w:rPr>
                <w:rFonts w:hint="eastAsia"/>
                <w:sz w:val="24"/>
                <w:highlight w:val="none"/>
                <w:lang w:val="en-US" w:eastAsia="zh-CN"/>
              </w:rPr>
              <w:t>作为原料</w:t>
            </w:r>
            <w:r>
              <w:rPr>
                <w:rFonts w:hint="eastAsia"/>
                <w:sz w:val="24"/>
                <w:highlight w:val="none"/>
              </w:rPr>
              <w:t>回用于</w:t>
            </w:r>
            <w:r>
              <w:rPr>
                <w:rFonts w:hint="eastAsia"/>
                <w:sz w:val="24"/>
                <w:highlight w:val="none"/>
                <w:lang w:val="en-US" w:eastAsia="zh-CN"/>
              </w:rPr>
              <w:t>原</w:t>
            </w:r>
            <w:r>
              <w:rPr>
                <w:rFonts w:hint="eastAsia"/>
                <w:sz w:val="24"/>
                <w:highlight w:val="none"/>
              </w:rPr>
              <w:t>生产线，进入产品。</w:t>
            </w:r>
          </w:p>
          <w:p w14:paraId="3934616B">
            <w:pPr>
              <w:pStyle w:val="21"/>
              <w:keepNext w:val="0"/>
              <w:keepLines w:val="0"/>
              <w:pageBreakBefore w:val="0"/>
              <w:widowControl w:val="0"/>
              <w:kinsoku/>
              <w:wordWrap/>
              <w:overflowPunct/>
              <w:topLinePunct w:val="0"/>
              <w:autoSpaceDE/>
              <w:autoSpaceDN/>
              <w:bidi w:val="0"/>
              <w:adjustRightInd w:val="0"/>
              <w:snapToGrid w:val="0"/>
              <w:spacing w:after="0"/>
              <w:ind w:left="0"/>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w:t>
            </w:r>
            <w:r>
              <w:rPr>
                <w:rFonts w:hint="default" w:ascii="Times New Roman" w:hAnsi="Times New Roman" w:cs="Times New Roman"/>
                <w:highlight w:val="none"/>
                <w:lang w:val="en-US" w:eastAsia="zh-CN"/>
              </w:rPr>
              <w:t>粗渣</w:t>
            </w:r>
          </w:p>
          <w:p w14:paraId="3CDD6B7F">
            <w:pPr>
              <w:pStyle w:val="21"/>
              <w:keepNext w:val="0"/>
              <w:keepLines w:val="0"/>
              <w:pageBreakBefore w:val="0"/>
              <w:widowControl w:val="0"/>
              <w:kinsoku/>
              <w:wordWrap/>
              <w:overflowPunct/>
              <w:topLinePunct w:val="0"/>
              <w:autoSpaceDE/>
              <w:autoSpaceDN/>
              <w:bidi w:val="0"/>
              <w:adjustRightInd w:val="0"/>
              <w:snapToGrid w:val="0"/>
              <w:spacing w:after="0"/>
              <w:ind w:left="0"/>
              <w:textAlignment w:val="auto"/>
              <w:rPr>
                <w:rFonts w:hint="default" w:ascii="Times New Roman" w:hAnsi="Times New Roman" w:cs="Times New Roman"/>
                <w:highlight w:val="none"/>
              </w:rPr>
            </w:pPr>
            <w:r>
              <w:rPr>
                <w:rFonts w:hint="default" w:ascii="Times New Roman" w:hAnsi="Times New Roman" w:cs="Times New Roman"/>
                <w:highlight w:val="none"/>
              </w:rPr>
              <w:t>本项目</w:t>
            </w:r>
            <w:r>
              <w:rPr>
                <w:rFonts w:hint="eastAsia" w:ascii="Times New Roman" w:hAnsi="Times New Roman" w:cs="Times New Roman"/>
                <w:highlight w:val="none"/>
                <w:lang w:val="en-US" w:eastAsia="zh-CN"/>
              </w:rPr>
              <w:t>生产</w:t>
            </w:r>
            <w:r>
              <w:rPr>
                <w:rFonts w:hint="default" w:ascii="Times New Roman" w:hAnsi="Times New Roman" w:cs="Times New Roman"/>
                <w:highlight w:val="none"/>
              </w:rPr>
              <w:t>运行过程中产生的</w:t>
            </w:r>
            <w:r>
              <w:rPr>
                <w:rFonts w:hint="eastAsia" w:ascii="Times New Roman" w:hAnsi="Times New Roman" w:cs="Times New Roman"/>
                <w:highlight w:val="none"/>
                <w:lang w:val="en-US" w:eastAsia="zh-CN"/>
              </w:rPr>
              <w:t>粗渣</w:t>
            </w:r>
            <w:r>
              <w:rPr>
                <w:rFonts w:hint="default" w:ascii="Times New Roman" w:hAnsi="Times New Roman" w:cs="Times New Roman"/>
                <w:highlight w:val="none"/>
              </w:rPr>
              <w:t>约</w:t>
            </w:r>
            <w:r>
              <w:rPr>
                <w:rFonts w:hint="eastAsia" w:ascii="Times New Roman" w:hAnsi="Times New Roman" w:cs="Times New Roman"/>
                <w:highlight w:val="none"/>
                <w:lang w:val="en-US" w:eastAsia="zh-CN"/>
              </w:rPr>
              <w:t>200</w:t>
            </w:r>
            <w:r>
              <w:rPr>
                <w:rFonts w:hint="default" w:ascii="Times New Roman" w:hAnsi="Times New Roman" w:cs="Times New Roman"/>
                <w:highlight w:val="none"/>
              </w:rPr>
              <w:t>t/a，集中收集后作为原料回用于原生产线，进入产品。</w:t>
            </w:r>
          </w:p>
          <w:p w14:paraId="18A0380C">
            <w:pPr>
              <w:ind w:firstLine="480"/>
              <w:textAlignment w:val="baseline"/>
              <w:rPr>
                <w:highlight w:val="none"/>
              </w:rPr>
            </w:pPr>
            <w:r>
              <w:rPr>
                <w:rFonts w:hint="eastAsia"/>
                <w:highlight w:val="none"/>
              </w:rPr>
              <w:t>（</w:t>
            </w:r>
            <w:r>
              <w:rPr>
                <w:rFonts w:hint="eastAsia"/>
                <w:highlight w:val="none"/>
                <w:lang w:val="en-US" w:eastAsia="zh-CN"/>
              </w:rPr>
              <w:t>4</w:t>
            </w:r>
            <w:r>
              <w:rPr>
                <w:rFonts w:hint="eastAsia"/>
                <w:highlight w:val="none"/>
              </w:rPr>
              <w:t>）</w:t>
            </w:r>
            <w:r>
              <w:rPr>
                <w:rFonts w:hint="eastAsia"/>
                <w:highlight w:val="none"/>
                <w:lang w:val="en-US" w:eastAsia="zh-CN"/>
              </w:rPr>
              <w:t>化粪池污泥</w:t>
            </w:r>
          </w:p>
          <w:p w14:paraId="02BAA446">
            <w:pPr>
              <w:pStyle w:val="21"/>
              <w:keepNext w:val="0"/>
              <w:keepLines w:val="0"/>
              <w:pageBreakBefore w:val="0"/>
              <w:widowControl w:val="0"/>
              <w:kinsoku/>
              <w:wordWrap/>
              <w:overflowPunct/>
              <w:topLinePunct w:val="0"/>
              <w:autoSpaceDE/>
              <w:autoSpaceDN/>
              <w:bidi w:val="0"/>
              <w:adjustRightInd w:val="0"/>
              <w:snapToGrid w:val="0"/>
              <w:spacing w:after="0"/>
              <w:ind w:left="0"/>
              <w:jc w:val="both"/>
              <w:textAlignment w:val="auto"/>
              <w:rPr>
                <w:rFonts w:hint="default" w:eastAsia="宋体"/>
                <w:highlight w:val="none"/>
                <w:lang w:val="en-US" w:eastAsia="zh-CN"/>
              </w:rPr>
            </w:pPr>
            <w:r>
              <w:rPr>
                <w:rFonts w:hint="eastAsia"/>
                <w:highlight w:val="none"/>
                <w:lang w:val="en-US" w:eastAsia="zh-CN"/>
              </w:rPr>
              <w:t>本项目化粪池产生的污泥约</w:t>
            </w:r>
            <w:r>
              <w:rPr>
                <w:rFonts w:hint="eastAsia" w:ascii="Times New Roman" w:hAnsi="Times New Roman" w:cs="Times New Roman"/>
                <w:highlight w:val="none"/>
                <w:lang w:val="en-US" w:eastAsia="zh-CN"/>
              </w:rPr>
              <w:t>0.</w:t>
            </w:r>
            <w:r>
              <w:rPr>
                <w:rFonts w:hint="default" w:ascii="Times New Roman" w:hAnsi="Times New Roman" w:cs="Times New Roman"/>
                <w:highlight w:val="none"/>
                <w:lang w:val="en-US" w:eastAsia="zh-CN"/>
              </w:rPr>
              <w:t>5t/a</w:t>
            </w:r>
            <w:r>
              <w:rPr>
                <w:rFonts w:hint="eastAsia" w:ascii="Times New Roman" w:hAnsi="Times New Roman" w:cs="Times New Roman"/>
                <w:highlight w:val="none"/>
                <w:lang w:val="en-US" w:eastAsia="zh-CN"/>
              </w:rPr>
              <w:t>，</w:t>
            </w:r>
            <w:r>
              <w:rPr>
                <w:highlight w:val="none"/>
              </w:rPr>
              <w:t>集中收集后由当地环卫部门定期清运。</w:t>
            </w:r>
          </w:p>
          <w:p w14:paraId="6C9FCE07">
            <w:pPr>
              <w:ind w:firstLine="480"/>
              <w:textAlignment w:val="baseline"/>
              <w:rPr>
                <w:highlight w:val="none"/>
              </w:rPr>
            </w:pPr>
            <w:r>
              <w:rPr>
                <w:rFonts w:hint="eastAsia"/>
                <w:highlight w:val="none"/>
              </w:rPr>
              <w:t>（</w:t>
            </w:r>
            <w:r>
              <w:rPr>
                <w:rFonts w:hint="eastAsia"/>
                <w:highlight w:val="none"/>
                <w:lang w:val="en-US" w:eastAsia="zh-CN"/>
              </w:rPr>
              <w:t>5</w:t>
            </w:r>
            <w:r>
              <w:rPr>
                <w:rFonts w:hint="eastAsia"/>
                <w:highlight w:val="none"/>
              </w:rPr>
              <w:t>）</w:t>
            </w:r>
            <w:bookmarkStart w:id="9" w:name="_Hlk106119728"/>
            <w:r>
              <w:rPr>
                <w:highlight w:val="none"/>
              </w:rPr>
              <w:t>生活垃圾</w:t>
            </w:r>
          </w:p>
          <w:p w14:paraId="49AFCB5E">
            <w:pPr>
              <w:ind w:firstLine="480"/>
              <w:textAlignment w:val="baseline"/>
              <w:rPr>
                <w:highlight w:val="none"/>
              </w:rPr>
            </w:pPr>
            <w:r>
              <w:rPr>
                <w:rFonts w:hint="eastAsia"/>
                <w:highlight w:val="none"/>
              </w:rPr>
              <w:t>本项目劳动定员为</w:t>
            </w:r>
            <w:r>
              <w:rPr>
                <w:rFonts w:hint="eastAsia"/>
                <w:highlight w:val="none"/>
                <w:lang w:val="en-US" w:eastAsia="zh-CN"/>
              </w:rPr>
              <w:t>20</w:t>
            </w:r>
            <w:r>
              <w:rPr>
                <w:rFonts w:hint="eastAsia"/>
                <w:highlight w:val="none"/>
              </w:rPr>
              <w:t>人</w:t>
            </w:r>
            <w:r>
              <w:rPr>
                <w:highlight w:val="none"/>
              </w:rPr>
              <w:t>，生活垃圾产生</w:t>
            </w:r>
            <w:r>
              <w:rPr>
                <w:color w:val="000000"/>
                <w:highlight w:val="none"/>
              </w:rPr>
              <w:t>量按1kg/人·d计，共产生</w:t>
            </w:r>
            <w:r>
              <w:rPr>
                <w:rFonts w:hint="eastAsia"/>
                <w:color w:val="000000"/>
                <w:highlight w:val="none"/>
                <w:lang w:val="en-US" w:eastAsia="zh-CN"/>
              </w:rPr>
              <w:t>3.6</w:t>
            </w:r>
            <w:r>
              <w:rPr>
                <w:color w:val="000000"/>
                <w:highlight w:val="none"/>
              </w:rPr>
              <w:t>t/a</w:t>
            </w:r>
            <w:r>
              <w:rPr>
                <w:rFonts w:hint="eastAsia"/>
                <w:color w:val="000000"/>
                <w:highlight w:val="none"/>
              </w:rPr>
              <w:t>，</w:t>
            </w:r>
            <w:r>
              <w:rPr>
                <w:highlight w:val="none"/>
              </w:rPr>
              <w:t>集中收集后由当地环卫部门定期清运。</w:t>
            </w:r>
            <w:bookmarkEnd w:id="9"/>
          </w:p>
          <w:p w14:paraId="7819B37B">
            <w:pPr>
              <w:ind w:firstLine="480"/>
              <w:rPr>
                <w:rFonts w:hint="default"/>
                <w:highlight w:val="none"/>
                <w:lang w:val="en-US"/>
              </w:rPr>
            </w:pPr>
            <w:r>
              <w:rPr>
                <w:rFonts w:hint="eastAsia"/>
                <w:highlight w:val="none"/>
              </w:rPr>
              <w:t>（</w:t>
            </w:r>
            <w:r>
              <w:rPr>
                <w:rFonts w:hint="eastAsia"/>
                <w:highlight w:val="none"/>
                <w:lang w:val="en-US" w:eastAsia="zh-CN"/>
              </w:rPr>
              <w:t>6</w:t>
            </w:r>
            <w:r>
              <w:rPr>
                <w:rFonts w:hint="eastAsia"/>
                <w:highlight w:val="none"/>
              </w:rPr>
              <w:t>）</w:t>
            </w:r>
            <w:r>
              <w:rPr>
                <w:rFonts w:hint="eastAsia"/>
                <w:highlight w:val="none"/>
                <w:lang w:val="en-US" w:eastAsia="zh-CN"/>
              </w:rPr>
              <w:t>废润滑油</w:t>
            </w:r>
          </w:p>
          <w:p w14:paraId="51D8831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Chars="0" w:firstLine="480"/>
              <w:textAlignment w:val="auto"/>
              <w:rPr>
                <w:rFonts w:hint="default"/>
                <w:highlight w:val="none"/>
                <w:vertAlign w:val="baseline"/>
                <w:lang w:val="en-US" w:eastAsia="zh-CN"/>
              </w:rPr>
            </w:pPr>
            <w:r>
              <w:rPr>
                <w:highlight w:val="none"/>
              </w:rPr>
              <w:t>项目</w:t>
            </w:r>
            <w:r>
              <w:rPr>
                <w:rFonts w:hint="eastAsia"/>
                <w:highlight w:val="none"/>
              </w:rPr>
              <w:t>设备养护过程</w:t>
            </w:r>
            <w:r>
              <w:rPr>
                <w:highlight w:val="none"/>
              </w:rPr>
              <w:t>产生少量</w:t>
            </w:r>
            <w:r>
              <w:rPr>
                <w:rFonts w:hint="eastAsia"/>
                <w:highlight w:val="none"/>
              </w:rPr>
              <w:t>的</w:t>
            </w:r>
            <w:r>
              <w:rPr>
                <w:rFonts w:hint="eastAsia"/>
                <w:highlight w:val="none"/>
                <w:lang w:eastAsia="zh-CN"/>
              </w:rPr>
              <w:t>废润滑油</w:t>
            </w:r>
            <w:r>
              <w:rPr>
                <w:highlight w:val="none"/>
              </w:rPr>
              <w:t>，产生量为0.</w:t>
            </w:r>
            <w:r>
              <w:rPr>
                <w:rFonts w:hint="eastAsia"/>
                <w:highlight w:val="none"/>
                <w:lang w:val="en-US" w:eastAsia="zh-CN"/>
              </w:rPr>
              <w:t>1</w:t>
            </w:r>
            <w:r>
              <w:rPr>
                <w:highlight w:val="none"/>
              </w:rPr>
              <w:t>t/a，</w:t>
            </w:r>
            <w:r>
              <w:rPr>
                <w:rFonts w:hint="eastAsia"/>
                <w:highlight w:val="none"/>
                <w:lang w:eastAsia="zh-CN"/>
              </w:rPr>
              <w:t>废润滑油</w:t>
            </w:r>
            <w:r>
              <w:rPr>
                <w:highlight w:val="none"/>
              </w:rPr>
              <w:t>属</w:t>
            </w:r>
            <w:r>
              <w:rPr>
                <w:color w:val="auto"/>
                <w:highlight w:val="none"/>
              </w:rPr>
              <w:t>于《国家危险废物名录（202</w:t>
            </w:r>
            <w:r>
              <w:rPr>
                <w:rFonts w:hint="eastAsia"/>
                <w:color w:val="auto"/>
                <w:highlight w:val="none"/>
                <w:lang w:val="en-US" w:eastAsia="zh-CN"/>
              </w:rPr>
              <w:t>5</w:t>
            </w:r>
            <w:r>
              <w:rPr>
                <w:color w:val="auto"/>
                <w:highlight w:val="none"/>
              </w:rPr>
              <w:t>年）》所列的HW08非特定行业中900-214-08“</w:t>
            </w:r>
            <w:r>
              <w:rPr>
                <w:rFonts w:hint="eastAsia"/>
                <w:highlight w:val="none"/>
              </w:rPr>
              <w:t>车辆、轮船及其它机械维修过程中产生的废发动机油、制动器油、自动变速器油、齿轮油等废润滑油</w:t>
            </w:r>
            <w:r>
              <w:rPr>
                <w:highlight w:val="none"/>
              </w:rPr>
              <w:t>”，收集后暂存于</w:t>
            </w:r>
            <w:r>
              <w:rPr>
                <w:rFonts w:hint="eastAsia"/>
                <w:highlight w:val="none"/>
              </w:rPr>
              <w:t>项目区</w:t>
            </w:r>
            <w:r>
              <w:rPr>
                <w:highlight w:val="none"/>
              </w:rPr>
              <w:t>危废</w:t>
            </w:r>
            <w:r>
              <w:rPr>
                <w:rFonts w:hint="eastAsia"/>
                <w:highlight w:val="none"/>
                <w:lang w:val="en-US" w:eastAsia="zh-CN"/>
              </w:rPr>
              <w:t>贮存库</w:t>
            </w:r>
            <w:r>
              <w:rPr>
                <w:highlight w:val="none"/>
              </w:rPr>
              <w:t>内，定期交由有资质单位进行处置</w:t>
            </w:r>
            <w:r>
              <w:rPr>
                <w:rFonts w:hint="eastAsia"/>
                <w:highlight w:val="none"/>
              </w:rPr>
              <w:t>。</w:t>
            </w:r>
          </w:p>
          <w:p w14:paraId="70738C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Chars="0" w:firstLine="480"/>
              <w:textAlignment w:val="auto"/>
              <w:rPr>
                <w:highlight w:val="none"/>
              </w:rPr>
            </w:pPr>
            <w:r>
              <w:rPr>
                <w:highlight w:val="none"/>
              </w:rPr>
              <w:t>本项目运营期拟采取的固体废物处置措施合理可行，</w:t>
            </w:r>
            <w:r>
              <w:rPr>
                <w:rFonts w:hint="eastAsia"/>
                <w:highlight w:val="none"/>
                <w:lang w:val="en-US" w:eastAsia="zh-CN"/>
              </w:rPr>
              <w:t>一般工业固体废物</w:t>
            </w:r>
            <w:r>
              <w:rPr>
                <w:highlight w:val="none"/>
              </w:rPr>
              <w:t>和生活垃圾处置率可达100%，因此本项目固废处置措施是可行的。</w:t>
            </w:r>
          </w:p>
          <w:p w14:paraId="1BD2DA74">
            <w:pPr>
              <w:ind w:firstLine="480"/>
              <w:rPr>
                <w:highlight w:val="none"/>
              </w:rPr>
            </w:pPr>
            <w:r>
              <w:rPr>
                <w:highlight w:val="none"/>
              </w:rPr>
              <w:t>项目</w:t>
            </w:r>
            <w:r>
              <w:rPr>
                <w:rFonts w:hint="eastAsia"/>
                <w:highlight w:val="none"/>
              </w:rPr>
              <w:t>固体废物</w:t>
            </w:r>
            <w:r>
              <w:rPr>
                <w:highlight w:val="none"/>
              </w:rPr>
              <w:t>产生及排放情况见表</w:t>
            </w:r>
            <w:r>
              <w:rPr>
                <w:rFonts w:hint="eastAsia"/>
                <w:highlight w:val="none"/>
              </w:rPr>
              <w:t>4-</w:t>
            </w:r>
            <w:r>
              <w:rPr>
                <w:rFonts w:hint="eastAsia"/>
                <w:highlight w:val="none"/>
                <w:lang w:val="en-US" w:eastAsia="zh-CN"/>
              </w:rPr>
              <w:t>9</w:t>
            </w:r>
            <w:r>
              <w:rPr>
                <w:highlight w:val="none"/>
              </w:rPr>
              <w:t>。</w:t>
            </w:r>
          </w:p>
          <w:p w14:paraId="03134453">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sz w:val="21"/>
                <w:szCs w:val="21"/>
                <w:highlight w:val="none"/>
              </w:rPr>
            </w:pPr>
            <w:r>
              <w:rPr>
                <w:rFonts w:hint="default" w:ascii="Times New Roman" w:hAnsi="Times New Roman" w:cs="Times New Roman"/>
                <w:sz w:val="21"/>
                <w:szCs w:val="21"/>
                <w:highlight w:val="none"/>
              </w:rPr>
              <w:t>表4-</w:t>
            </w:r>
            <w:r>
              <w:rPr>
                <w:rFonts w:hint="default" w:ascii="Times New Roman" w:hAnsi="Times New Roman" w:eastAsia="宋体" w:cs="Times New Roman"/>
                <w:sz w:val="21"/>
                <w:szCs w:val="21"/>
                <w:highlight w:val="none"/>
                <w:lang w:val="en-US" w:eastAsia="zh-CN"/>
              </w:rPr>
              <w:t>9</w:t>
            </w:r>
            <w:r>
              <w:rPr>
                <w:rFonts w:hint="default" w:ascii="Times New Roman" w:hAnsi="Times New Roman" w:cs="Times New Roman"/>
                <w:sz w:val="21"/>
                <w:szCs w:val="21"/>
                <w:highlight w:val="none"/>
              </w:rPr>
              <w:t xml:space="preserve">     项目固体废物产生及排放情况表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44"/>
              <w:gridCol w:w="406"/>
              <w:gridCol w:w="772"/>
              <w:gridCol w:w="917"/>
              <w:gridCol w:w="490"/>
              <w:gridCol w:w="637"/>
              <w:gridCol w:w="583"/>
              <w:gridCol w:w="811"/>
              <w:gridCol w:w="1139"/>
              <w:gridCol w:w="948"/>
            </w:tblGrid>
            <w:tr w14:paraId="0383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1530CFC3">
                  <w:pPr>
                    <w:pStyle w:val="55"/>
                    <w:rPr>
                      <w:highlight w:val="none"/>
                    </w:rPr>
                  </w:pPr>
                  <w:r>
                    <w:rPr>
                      <w:highlight w:val="none"/>
                    </w:rPr>
                    <w:t>产生环节</w:t>
                  </w:r>
                </w:p>
              </w:tc>
              <w:tc>
                <w:tcPr>
                  <w:tcW w:w="744" w:type="dxa"/>
                  <w:vAlign w:val="center"/>
                </w:tcPr>
                <w:p w14:paraId="0C9F3ABF">
                  <w:pPr>
                    <w:pStyle w:val="55"/>
                    <w:rPr>
                      <w:highlight w:val="none"/>
                    </w:rPr>
                  </w:pPr>
                  <w:r>
                    <w:rPr>
                      <w:highlight w:val="none"/>
                    </w:rPr>
                    <w:t>名称</w:t>
                  </w:r>
                </w:p>
              </w:tc>
              <w:tc>
                <w:tcPr>
                  <w:tcW w:w="406" w:type="dxa"/>
                  <w:vAlign w:val="center"/>
                </w:tcPr>
                <w:p w14:paraId="539D5FC4">
                  <w:pPr>
                    <w:pStyle w:val="55"/>
                    <w:rPr>
                      <w:highlight w:val="none"/>
                    </w:rPr>
                  </w:pPr>
                  <w:r>
                    <w:rPr>
                      <w:highlight w:val="none"/>
                    </w:rPr>
                    <w:t>属性</w:t>
                  </w:r>
                </w:p>
              </w:tc>
              <w:tc>
                <w:tcPr>
                  <w:tcW w:w="772" w:type="dxa"/>
                  <w:vAlign w:val="center"/>
                </w:tcPr>
                <w:p w14:paraId="576FCCC0">
                  <w:pPr>
                    <w:pStyle w:val="55"/>
                    <w:rPr>
                      <w:highlight w:val="none"/>
                    </w:rPr>
                  </w:pPr>
                  <w:r>
                    <w:rPr>
                      <w:highlight w:val="none"/>
                    </w:rPr>
                    <w:t>有毒</w:t>
                  </w:r>
                  <w:r>
                    <w:rPr>
                      <w:rFonts w:hint="eastAsia"/>
                      <w:highlight w:val="none"/>
                      <w:lang w:eastAsia="zh-CN"/>
                    </w:rPr>
                    <w:t>有害物质</w:t>
                  </w:r>
                  <w:r>
                    <w:rPr>
                      <w:highlight w:val="none"/>
                    </w:rPr>
                    <w:t>名称</w:t>
                  </w:r>
                </w:p>
              </w:tc>
              <w:tc>
                <w:tcPr>
                  <w:tcW w:w="917" w:type="dxa"/>
                  <w:vAlign w:val="center"/>
                </w:tcPr>
                <w:p w14:paraId="770EC6D3">
                  <w:pPr>
                    <w:pStyle w:val="55"/>
                    <w:rPr>
                      <w:highlight w:val="none"/>
                    </w:rPr>
                  </w:pPr>
                  <w:r>
                    <w:rPr>
                      <w:rFonts w:hint="eastAsia"/>
                      <w:highlight w:val="none"/>
                      <w:lang w:val="en-US" w:eastAsia="zh-CN"/>
                    </w:rPr>
                    <w:t>固体</w:t>
                  </w:r>
                  <w:r>
                    <w:rPr>
                      <w:highlight w:val="none"/>
                    </w:rPr>
                    <w:t>废物及编码</w:t>
                  </w:r>
                </w:p>
              </w:tc>
              <w:tc>
                <w:tcPr>
                  <w:tcW w:w="490" w:type="dxa"/>
                  <w:vAlign w:val="center"/>
                </w:tcPr>
                <w:p w14:paraId="0CEE8E22">
                  <w:pPr>
                    <w:pStyle w:val="55"/>
                    <w:rPr>
                      <w:highlight w:val="none"/>
                    </w:rPr>
                  </w:pPr>
                  <w:r>
                    <w:rPr>
                      <w:highlight w:val="none"/>
                    </w:rPr>
                    <w:t>物理形状</w:t>
                  </w:r>
                </w:p>
              </w:tc>
              <w:tc>
                <w:tcPr>
                  <w:tcW w:w="637" w:type="dxa"/>
                  <w:vAlign w:val="center"/>
                </w:tcPr>
                <w:p w14:paraId="36CF5D08">
                  <w:pPr>
                    <w:pStyle w:val="55"/>
                    <w:rPr>
                      <w:highlight w:val="none"/>
                    </w:rPr>
                  </w:pPr>
                  <w:r>
                    <w:rPr>
                      <w:highlight w:val="none"/>
                    </w:rPr>
                    <w:t>环境危险特性</w:t>
                  </w:r>
                </w:p>
              </w:tc>
              <w:tc>
                <w:tcPr>
                  <w:tcW w:w="583" w:type="dxa"/>
                  <w:vAlign w:val="center"/>
                </w:tcPr>
                <w:p w14:paraId="4C30DBF7">
                  <w:pPr>
                    <w:pStyle w:val="55"/>
                    <w:rPr>
                      <w:highlight w:val="none"/>
                    </w:rPr>
                  </w:pPr>
                  <w:r>
                    <w:rPr>
                      <w:highlight w:val="none"/>
                    </w:rPr>
                    <w:t>产生量</w:t>
                  </w:r>
                  <w:r>
                    <w:rPr>
                      <w:rFonts w:hint="eastAsia"/>
                      <w:highlight w:val="none"/>
                      <w:lang w:eastAsia="zh-CN"/>
                    </w:rPr>
                    <w:t>（</w:t>
                  </w:r>
                  <w:r>
                    <w:rPr>
                      <w:highlight w:val="none"/>
                    </w:rPr>
                    <w:t>t/a</w:t>
                  </w:r>
                  <w:r>
                    <w:rPr>
                      <w:rFonts w:hint="eastAsia"/>
                      <w:highlight w:val="none"/>
                      <w:lang w:eastAsia="zh-CN"/>
                    </w:rPr>
                    <w:t>）</w:t>
                  </w:r>
                </w:p>
              </w:tc>
              <w:tc>
                <w:tcPr>
                  <w:tcW w:w="811" w:type="dxa"/>
                  <w:vAlign w:val="center"/>
                </w:tcPr>
                <w:p w14:paraId="09736754">
                  <w:pPr>
                    <w:pStyle w:val="55"/>
                    <w:rPr>
                      <w:highlight w:val="none"/>
                    </w:rPr>
                  </w:pPr>
                  <w:r>
                    <w:rPr>
                      <w:highlight w:val="none"/>
                    </w:rPr>
                    <w:t>贮存方式</w:t>
                  </w:r>
                </w:p>
              </w:tc>
              <w:tc>
                <w:tcPr>
                  <w:tcW w:w="1139" w:type="dxa"/>
                  <w:vAlign w:val="center"/>
                </w:tcPr>
                <w:p w14:paraId="2B4FB7C4">
                  <w:pPr>
                    <w:pStyle w:val="55"/>
                    <w:rPr>
                      <w:highlight w:val="none"/>
                    </w:rPr>
                  </w:pPr>
                  <w:r>
                    <w:rPr>
                      <w:highlight w:val="none"/>
                    </w:rPr>
                    <w:t>利用处置方式和去向</w:t>
                  </w:r>
                </w:p>
              </w:tc>
              <w:tc>
                <w:tcPr>
                  <w:tcW w:w="948" w:type="dxa"/>
                  <w:vAlign w:val="center"/>
                </w:tcPr>
                <w:p w14:paraId="2C49A129">
                  <w:pPr>
                    <w:pStyle w:val="55"/>
                    <w:rPr>
                      <w:highlight w:val="none"/>
                    </w:rPr>
                  </w:pPr>
                  <w:r>
                    <w:rPr>
                      <w:highlight w:val="none"/>
                    </w:rPr>
                    <w:t>利用或处置量</w:t>
                  </w:r>
                  <w:r>
                    <w:rPr>
                      <w:rFonts w:hint="eastAsia"/>
                      <w:highlight w:val="none"/>
                      <w:lang w:eastAsia="zh-CN"/>
                    </w:rPr>
                    <w:t>（</w:t>
                  </w:r>
                  <w:r>
                    <w:rPr>
                      <w:highlight w:val="none"/>
                    </w:rPr>
                    <w:t>t/a</w:t>
                  </w:r>
                  <w:r>
                    <w:rPr>
                      <w:rFonts w:hint="eastAsia"/>
                      <w:highlight w:val="none"/>
                      <w:lang w:eastAsia="zh-CN"/>
                    </w:rPr>
                    <w:t>）</w:t>
                  </w:r>
                </w:p>
              </w:tc>
            </w:tr>
            <w:tr w14:paraId="1044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239807F9">
                  <w:pPr>
                    <w:pStyle w:val="55"/>
                    <w:rPr>
                      <w:rFonts w:hint="default" w:eastAsia="宋体"/>
                      <w:highlight w:val="none"/>
                      <w:lang w:val="en-US" w:eastAsia="zh-CN"/>
                    </w:rPr>
                  </w:pPr>
                  <w:r>
                    <w:rPr>
                      <w:rFonts w:hint="eastAsia"/>
                      <w:highlight w:val="none"/>
                      <w:lang w:val="en-US" w:eastAsia="zh-CN"/>
                    </w:rPr>
                    <w:t>生产过程</w:t>
                  </w:r>
                </w:p>
              </w:tc>
              <w:tc>
                <w:tcPr>
                  <w:tcW w:w="744" w:type="dxa"/>
                  <w:vAlign w:val="center"/>
                </w:tcPr>
                <w:p w14:paraId="7109C44A">
                  <w:pPr>
                    <w:pStyle w:val="55"/>
                    <w:rPr>
                      <w:rFonts w:hint="eastAsia" w:eastAsia="宋体"/>
                      <w:highlight w:val="none"/>
                      <w:lang w:val="en-US" w:eastAsia="zh-CN"/>
                    </w:rPr>
                  </w:pPr>
                  <w:r>
                    <w:rPr>
                      <w:rFonts w:hint="eastAsia"/>
                      <w:highlight w:val="none"/>
                      <w:lang w:val="en-US" w:eastAsia="zh-CN"/>
                    </w:rPr>
                    <w:t>粗渣</w:t>
                  </w:r>
                </w:p>
              </w:tc>
              <w:tc>
                <w:tcPr>
                  <w:tcW w:w="406" w:type="dxa"/>
                  <w:vMerge w:val="restart"/>
                  <w:vAlign w:val="center"/>
                </w:tcPr>
                <w:p w14:paraId="18E7DFC4">
                  <w:pPr>
                    <w:pStyle w:val="55"/>
                    <w:rPr>
                      <w:rFonts w:hint="eastAsia"/>
                      <w:highlight w:val="none"/>
                      <w:lang w:val="en-US" w:eastAsia="zh-CN"/>
                    </w:rPr>
                  </w:pPr>
                  <w:r>
                    <w:rPr>
                      <w:rFonts w:hint="eastAsia"/>
                      <w:highlight w:val="none"/>
                      <w:lang w:val="en-US" w:eastAsia="zh-CN"/>
                    </w:rPr>
                    <w:t>一般工业固体废物</w:t>
                  </w:r>
                </w:p>
              </w:tc>
              <w:tc>
                <w:tcPr>
                  <w:tcW w:w="772" w:type="dxa"/>
                  <w:vAlign w:val="center"/>
                </w:tcPr>
                <w:p w14:paraId="05991EDF">
                  <w:pPr>
                    <w:pStyle w:val="55"/>
                    <w:rPr>
                      <w:rFonts w:hint="default" w:eastAsia="宋体"/>
                      <w:highlight w:val="none"/>
                      <w:lang w:val="en-US" w:eastAsia="zh-CN"/>
                    </w:rPr>
                  </w:pPr>
                  <w:r>
                    <w:rPr>
                      <w:rFonts w:hint="eastAsia"/>
                      <w:highlight w:val="none"/>
                      <w:lang w:val="en-US" w:eastAsia="zh-CN"/>
                    </w:rPr>
                    <w:t>无</w:t>
                  </w:r>
                </w:p>
              </w:tc>
              <w:tc>
                <w:tcPr>
                  <w:tcW w:w="917" w:type="dxa"/>
                  <w:vAlign w:val="center"/>
                </w:tcPr>
                <w:p w14:paraId="6D1E30A9">
                  <w:pPr>
                    <w:pStyle w:val="55"/>
                    <w:rPr>
                      <w:rFonts w:hint="default"/>
                      <w:highlight w:val="none"/>
                      <w:lang w:val="en-US" w:eastAsia="zh-CN"/>
                    </w:rPr>
                  </w:pPr>
                  <w:r>
                    <w:rPr>
                      <w:rFonts w:hint="eastAsia"/>
                      <w:highlight w:val="none"/>
                      <w:lang w:val="en-US" w:eastAsia="zh-CN"/>
                    </w:rPr>
                    <w:t>900-099-S59</w:t>
                  </w:r>
                </w:p>
              </w:tc>
              <w:tc>
                <w:tcPr>
                  <w:tcW w:w="490" w:type="dxa"/>
                  <w:vAlign w:val="center"/>
                </w:tcPr>
                <w:p w14:paraId="225D31A3">
                  <w:pPr>
                    <w:pStyle w:val="55"/>
                    <w:rPr>
                      <w:highlight w:val="none"/>
                    </w:rPr>
                  </w:pPr>
                  <w:r>
                    <w:rPr>
                      <w:highlight w:val="none"/>
                    </w:rPr>
                    <w:t>固态</w:t>
                  </w:r>
                </w:p>
              </w:tc>
              <w:tc>
                <w:tcPr>
                  <w:tcW w:w="637" w:type="dxa"/>
                  <w:vAlign w:val="center"/>
                </w:tcPr>
                <w:p w14:paraId="74F642EB">
                  <w:pPr>
                    <w:pStyle w:val="55"/>
                    <w:rPr>
                      <w:highlight w:val="none"/>
                    </w:rPr>
                  </w:pPr>
                  <w:r>
                    <w:rPr>
                      <w:highlight w:val="none"/>
                    </w:rPr>
                    <w:t>无</w:t>
                  </w:r>
                </w:p>
              </w:tc>
              <w:tc>
                <w:tcPr>
                  <w:tcW w:w="583" w:type="dxa"/>
                  <w:vAlign w:val="center"/>
                </w:tcPr>
                <w:p w14:paraId="07E36923">
                  <w:pPr>
                    <w:pStyle w:val="55"/>
                    <w:rPr>
                      <w:rFonts w:hint="default"/>
                      <w:highlight w:val="none"/>
                      <w:lang w:val="en-US" w:eastAsia="zh-CN"/>
                    </w:rPr>
                  </w:pPr>
                  <w:r>
                    <w:rPr>
                      <w:rFonts w:hint="eastAsia"/>
                      <w:highlight w:val="none"/>
                      <w:lang w:val="en-US" w:eastAsia="zh-CN"/>
                    </w:rPr>
                    <w:t>200</w:t>
                  </w:r>
                </w:p>
              </w:tc>
              <w:tc>
                <w:tcPr>
                  <w:tcW w:w="811" w:type="dxa"/>
                  <w:vAlign w:val="center"/>
                </w:tcPr>
                <w:p w14:paraId="5FE1952C">
                  <w:pPr>
                    <w:pStyle w:val="55"/>
                    <w:ind w:firstLine="0" w:firstLineChars="0"/>
                    <w:rPr>
                      <w:highlight w:val="none"/>
                    </w:rPr>
                  </w:pPr>
                  <w:r>
                    <w:rPr>
                      <w:highlight w:val="none"/>
                    </w:rPr>
                    <w:t>集中收集</w:t>
                  </w:r>
                </w:p>
              </w:tc>
              <w:tc>
                <w:tcPr>
                  <w:tcW w:w="1139" w:type="dxa"/>
                  <w:vAlign w:val="center"/>
                </w:tcPr>
                <w:p w14:paraId="7F181B5A">
                  <w:pPr>
                    <w:pStyle w:val="55"/>
                    <w:ind w:firstLine="0" w:firstLineChars="0"/>
                    <w:rPr>
                      <w:rFonts w:hint="eastAsia"/>
                      <w:highlight w:val="none"/>
                    </w:rPr>
                  </w:pPr>
                  <w:r>
                    <w:rPr>
                      <w:rFonts w:hint="eastAsia"/>
                      <w:highlight w:val="none"/>
                    </w:rPr>
                    <w:t>回用于</w:t>
                  </w:r>
                  <w:r>
                    <w:rPr>
                      <w:rFonts w:hint="eastAsia"/>
                      <w:highlight w:val="none"/>
                      <w:lang w:val="en-US" w:eastAsia="zh-CN"/>
                    </w:rPr>
                    <w:t>原</w:t>
                  </w:r>
                  <w:r>
                    <w:rPr>
                      <w:rFonts w:hint="eastAsia"/>
                      <w:highlight w:val="none"/>
                    </w:rPr>
                    <w:t>生产线，进入产品</w:t>
                  </w:r>
                </w:p>
              </w:tc>
              <w:tc>
                <w:tcPr>
                  <w:tcW w:w="948" w:type="dxa"/>
                  <w:vAlign w:val="center"/>
                </w:tcPr>
                <w:p w14:paraId="24627D29">
                  <w:pPr>
                    <w:pStyle w:val="55"/>
                    <w:rPr>
                      <w:rFonts w:hint="default"/>
                      <w:highlight w:val="none"/>
                      <w:lang w:val="en-US" w:eastAsia="zh-CN"/>
                    </w:rPr>
                  </w:pPr>
                  <w:r>
                    <w:rPr>
                      <w:rFonts w:hint="eastAsia"/>
                      <w:highlight w:val="none"/>
                      <w:lang w:val="en-US" w:eastAsia="zh-CN"/>
                    </w:rPr>
                    <w:t>200</w:t>
                  </w:r>
                </w:p>
              </w:tc>
            </w:tr>
            <w:tr w14:paraId="3DAB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restart"/>
                  <w:vAlign w:val="center"/>
                </w:tcPr>
                <w:p w14:paraId="19BD61C2">
                  <w:pPr>
                    <w:pStyle w:val="55"/>
                    <w:rPr>
                      <w:highlight w:val="none"/>
                    </w:rPr>
                  </w:pPr>
                  <w:r>
                    <w:rPr>
                      <w:highlight w:val="none"/>
                    </w:rPr>
                    <w:t>废气处理</w:t>
                  </w:r>
                </w:p>
              </w:tc>
              <w:tc>
                <w:tcPr>
                  <w:tcW w:w="744" w:type="dxa"/>
                  <w:vAlign w:val="center"/>
                </w:tcPr>
                <w:p w14:paraId="115C1576">
                  <w:pPr>
                    <w:pStyle w:val="55"/>
                    <w:rPr>
                      <w:highlight w:val="none"/>
                    </w:rPr>
                  </w:pPr>
                  <w:r>
                    <w:rPr>
                      <w:rFonts w:hint="eastAsia"/>
                      <w:highlight w:val="none"/>
                    </w:rPr>
                    <w:t>除尘器收集粉尘</w:t>
                  </w:r>
                </w:p>
              </w:tc>
              <w:tc>
                <w:tcPr>
                  <w:tcW w:w="406" w:type="dxa"/>
                  <w:vMerge w:val="continue"/>
                  <w:vAlign w:val="center"/>
                </w:tcPr>
                <w:p w14:paraId="14B01C5F">
                  <w:pPr>
                    <w:pStyle w:val="55"/>
                    <w:rPr>
                      <w:highlight w:val="none"/>
                    </w:rPr>
                  </w:pPr>
                </w:p>
              </w:tc>
              <w:tc>
                <w:tcPr>
                  <w:tcW w:w="772" w:type="dxa"/>
                  <w:vAlign w:val="center"/>
                </w:tcPr>
                <w:p w14:paraId="433D2D72">
                  <w:pPr>
                    <w:pStyle w:val="55"/>
                    <w:rPr>
                      <w:highlight w:val="none"/>
                    </w:rPr>
                  </w:pPr>
                  <w:r>
                    <w:rPr>
                      <w:rFonts w:hint="eastAsia"/>
                      <w:highlight w:val="none"/>
                    </w:rPr>
                    <w:t>无</w:t>
                  </w:r>
                </w:p>
              </w:tc>
              <w:tc>
                <w:tcPr>
                  <w:tcW w:w="917" w:type="dxa"/>
                  <w:vAlign w:val="center"/>
                </w:tcPr>
                <w:p w14:paraId="1D054C74">
                  <w:pPr>
                    <w:pStyle w:val="55"/>
                    <w:rPr>
                      <w:highlight w:val="none"/>
                    </w:rPr>
                  </w:pPr>
                  <w:r>
                    <w:rPr>
                      <w:rFonts w:hint="eastAsia"/>
                      <w:highlight w:val="none"/>
                      <w:lang w:val="en-US" w:eastAsia="zh-CN"/>
                    </w:rPr>
                    <w:t>900-099-S59</w:t>
                  </w:r>
                </w:p>
              </w:tc>
              <w:tc>
                <w:tcPr>
                  <w:tcW w:w="490" w:type="dxa"/>
                  <w:vAlign w:val="center"/>
                </w:tcPr>
                <w:p w14:paraId="6F52B00A">
                  <w:pPr>
                    <w:pStyle w:val="55"/>
                    <w:rPr>
                      <w:highlight w:val="none"/>
                    </w:rPr>
                  </w:pPr>
                  <w:r>
                    <w:rPr>
                      <w:highlight w:val="none"/>
                    </w:rPr>
                    <w:t>固态</w:t>
                  </w:r>
                </w:p>
              </w:tc>
              <w:tc>
                <w:tcPr>
                  <w:tcW w:w="637" w:type="dxa"/>
                  <w:vAlign w:val="center"/>
                </w:tcPr>
                <w:p w14:paraId="52386EC9">
                  <w:pPr>
                    <w:pStyle w:val="55"/>
                    <w:rPr>
                      <w:highlight w:val="none"/>
                    </w:rPr>
                  </w:pPr>
                  <w:r>
                    <w:rPr>
                      <w:highlight w:val="none"/>
                    </w:rPr>
                    <w:t>无</w:t>
                  </w:r>
                </w:p>
              </w:tc>
              <w:tc>
                <w:tcPr>
                  <w:tcW w:w="583" w:type="dxa"/>
                  <w:vAlign w:val="center"/>
                </w:tcPr>
                <w:p w14:paraId="59FEF84C">
                  <w:pPr>
                    <w:pStyle w:val="55"/>
                    <w:rPr>
                      <w:rFonts w:hint="default" w:eastAsia="宋体"/>
                      <w:highlight w:val="none"/>
                      <w:lang w:val="en-US" w:eastAsia="zh-CN"/>
                    </w:rPr>
                  </w:pPr>
                  <w:r>
                    <w:rPr>
                      <w:rFonts w:hint="eastAsia"/>
                      <w:highlight w:val="none"/>
                      <w:lang w:val="en-US" w:eastAsia="zh-CN"/>
                    </w:rPr>
                    <w:t>50.16</w:t>
                  </w:r>
                </w:p>
              </w:tc>
              <w:tc>
                <w:tcPr>
                  <w:tcW w:w="811" w:type="dxa"/>
                  <w:vAlign w:val="center"/>
                </w:tcPr>
                <w:p w14:paraId="25886F4D">
                  <w:pPr>
                    <w:pStyle w:val="55"/>
                    <w:rPr>
                      <w:highlight w:val="none"/>
                    </w:rPr>
                  </w:pPr>
                  <w:r>
                    <w:rPr>
                      <w:highlight w:val="none"/>
                    </w:rPr>
                    <w:t>集中收集</w:t>
                  </w:r>
                </w:p>
              </w:tc>
              <w:tc>
                <w:tcPr>
                  <w:tcW w:w="1139" w:type="dxa"/>
                  <w:vAlign w:val="center"/>
                </w:tcPr>
                <w:p w14:paraId="7E22A1D4">
                  <w:pPr>
                    <w:pStyle w:val="55"/>
                    <w:rPr>
                      <w:highlight w:val="none"/>
                    </w:rPr>
                  </w:pPr>
                  <w:r>
                    <w:rPr>
                      <w:rFonts w:hint="eastAsia"/>
                      <w:highlight w:val="none"/>
                    </w:rPr>
                    <w:t>回用于</w:t>
                  </w:r>
                  <w:r>
                    <w:rPr>
                      <w:rFonts w:hint="eastAsia"/>
                      <w:highlight w:val="none"/>
                      <w:lang w:val="en-US" w:eastAsia="zh-CN"/>
                    </w:rPr>
                    <w:t>原</w:t>
                  </w:r>
                  <w:r>
                    <w:rPr>
                      <w:rFonts w:hint="eastAsia"/>
                      <w:highlight w:val="none"/>
                    </w:rPr>
                    <w:t>生产线，进入产品</w:t>
                  </w:r>
                </w:p>
              </w:tc>
              <w:tc>
                <w:tcPr>
                  <w:tcW w:w="948" w:type="dxa"/>
                  <w:vAlign w:val="center"/>
                </w:tcPr>
                <w:p w14:paraId="11A73F73">
                  <w:pPr>
                    <w:pStyle w:val="55"/>
                    <w:rPr>
                      <w:rFonts w:hint="default" w:eastAsia="宋体"/>
                      <w:highlight w:val="none"/>
                      <w:lang w:val="en-US" w:eastAsia="zh-CN"/>
                    </w:rPr>
                  </w:pPr>
                  <w:r>
                    <w:rPr>
                      <w:rFonts w:hint="eastAsia"/>
                      <w:highlight w:val="none"/>
                      <w:lang w:val="en-US" w:eastAsia="zh-CN"/>
                    </w:rPr>
                    <w:t>50.16</w:t>
                  </w:r>
                </w:p>
              </w:tc>
            </w:tr>
            <w:tr w14:paraId="216C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489" w:type="dxa"/>
                  <w:vMerge w:val="continue"/>
                  <w:vAlign w:val="center"/>
                </w:tcPr>
                <w:p w14:paraId="70DA82F8">
                  <w:pPr>
                    <w:pStyle w:val="55"/>
                    <w:rPr>
                      <w:highlight w:val="none"/>
                    </w:rPr>
                  </w:pPr>
                </w:p>
              </w:tc>
              <w:tc>
                <w:tcPr>
                  <w:tcW w:w="744" w:type="dxa"/>
                  <w:vAlign w:val="center"/>
                </w:tcPr>
                <w:p w14:paraId="09DF662C">
                  <w:pPr>
                    <w:pStyle w:val="55"/>
                    <w:rPr>
                      <w:highlight w:val="none"/>
                    </w:rPr>
                  </w:pPr>
                  <w:r>
                    <w:rPr>
                      <w:rFonts w:hint="eastAsia"/>
                      <w:highlight w:val="none"/>
                    </w:rPr>
                    <w:t>废旧布袋</w:t>
                  </w:r>
                </w:p>
              </w:tc>
              <w:tc>
                <w:tcPr>
                  <w:tcW w:w="406" w:type="dxa"/>
                  <w:vMerge w:val="continue"/>
                  <w:vAlign w:val="center"/>
                </w:tcPr>
                <w:p w14:paraId="5A5F660C">
                  <w:pPr>
                    <w:pStyle w:val="55"/>
                    <w:rPr>
                      <w:highlight w:val="none"/>
                    </w:rPr>
                  </w:pPr>
                </w:p>
              </w:tc>
              <w:tc>
                <w:tcPr>
                  <w:tcW w:w="772" w:type="dxa"/>
                  <w:vAlign w:val="center"/>
                </w:tcPr>
                <w:p w14:paraId="18DABFD1">
                  <w:pPr>
                    <w:pStyle w:val="55"/>
                    <w:rPr>
                      <w:highlight w:val="none"/>
                    </w:rPr>
                  </w:pPr>
                  <w:r>
                    <w:rPr>
                      <w:rFonts w:hint="eastAsia"/>
                      <w:highlight w:val="none"/>
                    </w:rPr>
                    <w:t>无</w:t>
                  </w:r>
                </w:p>
              </w:tc>
              <w:tc>
                <w:tcPr>
                  <w:tcW w:w="917" w:type="dxa"/>
                  <w:vAlign w:val="center"/>
                </w:tcPr>
                <w:p w14:paraId="1AFD6628">
                  <w:pPr>
                    <w:pStyle w:val="55"/>
                    <w:rPr>
                      <w:highlight w:val="none"/>
                    </w:rPr>
                  </w:pPr>
                  <w:r>
                    <w:rPr>
                      <w:rFonts w:hint="eastAsia"/>
                      <w:highlight w:val="none"/>
                      <w:lang w:val="en-US" w:eastAsia="zh-CN"/>
                    </w:rPr>
                    <w:t>900-009-S59</w:t>
                  </w:r>
                </w:p>
              </w:tc>
              <w:tc>
                <w:tcPr>
                  <w:tcW w:w="490" w:type="dxa"/>
                  <w:vAlign w:val="center"/>
                </w:tcPr>
                <w:p w14:paraId="0644CCF9">
                  <w:pPr>
                    <w:pStyle w:val="55"/>
                    <w:rPr>
                      <w:highlight w:val="none"/>
                    </w:rPr>
                  </w:pPr>
                  <w:r>
                    <w:rPr>
                      <w:highlight w:val="none"/>
                    </w:rPr>
                    <w:t>固态</w:t>
                  </w:r>
                </w:p>
              </w:tc>
              <w:tc>
                <w:tcPr>
                  <w:tcW w:w="637" w:type="dxa"/>
                  <w:vAlign w:val="center"/>
                </w:tcPr>
                <w:p w14:paraId="18782807">
                  <w:pPr>
                    <w:pStyle w:val="55"/>
                    <w:rPr>
                      <w:highlight w:val="none"/>
                    </w:rPr>
                  </w:pPr>
                  <w:r>
                    <w:rPr>
                      <w:highlight w:val="none"/>
                    </w:rPr>
                    <w:t>无</w:t>
                  </w:r>
                </w:p>
              </w:tc>
              <w:tc>
                <w:tcPr>
                  <w:tcW w:w="583" w:type="dxa"/>
                  <w:vAlign w:val="center"/>
                </w:tcPr>
                <w:p w14:paraId="54A45787">
                  <w:pPr>
                    <w:pStyle w:val="55"/>
                    <w:rPr>
                      <w:highlight w:val="none"/>
                    </w:rPr>
                  </w:pPr>
                  <w:r>
                    <w:rPr>
                      <w:rFonts w:hint="eastAsia"/>
                      <w:highlight w:val="none"/>
                    </w:rPr>
                    <w:t>0.5</w:t>
                  </w:r>
                </w:p>
              </w:tc>
              <w:tc>
                <w:tcPr>
                  <w:tcW w:w="811" w:type="dxa"/>
                  <w:vAlign w:val="center"/>
                </w:tcPr>
                <w:p w14:paraId="3FBEBEB8">
                  <w:pPr>
                    <w:pStyle w:val="55"/>
                    <w:rPr>
                      <w:highlight w:val="none"/>
                    </w:rPr>
                  </w:pPr>
                  <w:r>
                    <w:rPr>
                      <w:highlight w:val="none"/>
                    </w:rPr>
                    <w:t>集中收集</w:t>
                  </w:r>
                </w:p>
              </w:tc>
              <w:tc>
                <w:tcPr>
                  <w:tcW w:w="1139" w:type="dxa"/>
                  <w:vAlign w:val="center"/>
                </w:tcPr>
                <w:p w14:paraId="13A7692B">
                  <w:pPr>
                    <w:pStyle w:val="55"/>
                    <w:rPr>
                      <w:highlight w:val="none"/>
                    </w:rPr>
                  </w:pPr>
                  <w:r>
                    <w:rPr>
                      <w:rFonts w:hint="eastAsia"/>
                      <w:highlight w:val="none"/>
                    </w:rPr>
                    <w:t>集中收集后</w:t>
                  </w:r>
                  <w:r>
                    <w:rPr>
                      <w:rFonts w:hint="eastAsia"/>
                      <w:highlight w:val="none"/>
                      <w:lang w:val="en-US" w:eastAsia="zh-CN"/>
                    </w:rPr>
                    <w:t>由生产厂家回收处理</w:t>
                  </w:r>
                </w:p>
              </w:tc>
              <w:tc>
                <w:tcPr>
                  <w:tcW w:w="948" w:type="dxa"/>
                  <w:vAlign w:val="center"/>
                </w:tcPr>
                <w:p w14:paraId="187A65AC">
                  <w:pPr>
                    <w:pStyle w:val="55"/>
                    <w:rPr>
                      <w:highlight w:val="none"/>
                    </w:rPr>
                  </w:pPr>
                  <w:r>
                    <w:rPr>
                      <w:rFonts w:hint="eastAsia"/>
                      <w:highlight w:val="none"/>
                    </w:rPr>
                    <w:t>0.5</w:t>
                  </w:r>
                </w:p>
              </w:tc>
            </w:tr>
            <w:tr w14:paraId="1A1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89" w:type="dxa"/>
                  <w:vMerge w:val="restart"/>
                  <w:vAlign w:val="center"/>
                </w:tcPr>
                <w:p w14:paraId="56C280B5">
                  <w:pPr>
                    <w:pStyle w:val="55"/>
                    <w:rPr>
                      <w:highlight w:val="none"/>
                    </w:rPr>
                  </w:pPr>
                  <w:r>
                    <w:rPr>
                      <w:highlight w:val="none"/>
                    </w:rPr>
                    <w:t>设备检修</w:t>
                  </w:r>
                </w:p>
              </w:tc>
              <w:tc>
                <w:tcPr>
                  <w:tcW w:w="744" w:type="dxa"/>
                  <w:vAlign w:val="center"/>
                </w:tcPr>
                <w:p w14:paraId="7ED073E5">
                  <w:pPr>
                    <w:pStyle w:val="55"/>
                    <w:rPr>
                      <w:rFonts w:hint="eastAsia" w:eastAsia="宋体"/>
                      <w:highlight w:val="none"/>
                      <w:lang w:eastAsia="zh-CN"/>
                    </w:rPr>
                  </w:pPr>
                  <w:r>
                    <w:rPr>
                      <w:rFonts w:hint="eastAsia"/>
                      <w:highlight w:val="none"/>
                      <w:lang w:eastAsia="zh-CN"/>
                    </w:rPr>
                    <w:t>废润滑油</w:t>
                  </w:r>
                </w:p>
              </w:tc>
              <w:tc>
                <w:tcPr>
                  <w:tcW w:w="406" w:type="dxa"/>
                  <w:vMerge w:val="restart"/>
                  <w:vAlign w:val="center"/>
                </w:tcPr>
                <w:p w14:paraId="1DFB17B9">
                  <w:pPr>
                    <w:pStyle w:val="55"/>
                    <w:rPr>
                      <w:highlight w:val="none"/>
                    </w:rPr>
                  </w:pPr>
                  <w:r>
                    <w:rPr>
                      <w:highlight w:val="none"/>
                    </w:rPr>
                    <w:t>危险废物</w:t>
                  </w:r>
                </w:p>
              </w:tc>
              <w:tc>
                <w:tcPr>
                  <w:tcW w:w="772" w:type="dxa"/>
                  <w:vMerge w:val="restart"/>
                  <w:vAlign w:val="center"/>
                </w:tcPr>
                <w:p w14:paraId="44C9CDAD">
                  <w:pPr>
                    <w:pStyle w:val="55"/>
                    <w:rPr>
                      <w:highlight w:val="none"/>
                    </w:rPr>
                  </w:pPr>
                  <w:r>
                    <w:rPr>
                      <w:highlight w:val="none"/>
                    </w:rPr>
                    <w:t>废矿物油与含矿物油废物</w:t>
                  </w:r>
                </w:p>
              </w:tc>
              <w:tc>
                <w:tcPr>
                  <w:tcW w:w="917" w:type="dxa"/>
                  <w:vAlign w:val="center"/>
                </w:tcPr>
                <w:p w14:paraId="0CE44BE7">
                  <w:pPr>
                    <w:pStyle w:val="55"/>
                    <w:rPr>
                      <w:highlight w:val="none"/>
                    </w:rPr>
                  </w:pPr>
                  <w:r>
                    <w:rPr>
                      <w:rFonts w:hint="eastAsia"/>
                      <w:highlight w:val="none"/>
                      <w:lang w:val="en-US" w:eastAsia="zh-CN"/>
                    </w:rPr>
                    <w:t>HW08</w:t>
                  </w:r>
                  <w:r>
                    <w:rPr>
                      <w:highlight w:val="none"/>
                    </w:rPr>
                    <w:t>900-214-08</w:t>
                  </w:r>
                </w:p>
              </w:tc>
              <w:tc>
                <w:tcPr>
                  <w:tcW w:w="490" w:type="dxa"/>
                  <w:vAlign w:val="center"/>
                </w:tcPr>
                <w:p w14:paraId="2D409F88">
                  <w:pPr>
                    <w:pStyle w:val="55"/>
                    <w:rPr>
                      <w:highlight w:val="none"/>
                    </w:rPr>
                  </w:pPr>
                  <w:r>
                    <w:rPr>
                      <w:highlight w:val="none"/>
                    </w:rPr>
                    <w:t>液态</w:t>
                  </w:r>
                </w:p>
              </w:tc>
              <w:tc>
                <w:tcPr>
                  <w:tcW w:w="637" w:type="dxa"/>
                  <w:vAlign w:val="center"/>
                </w:tcPr>
                <w:p w14:paraId="2334EA3E">
                  <w:pPr>
                    <w:pStyle w:val="55"/>
                    <w:rPr>
                      <w:highlight w:val="none"/>
                    </w:rPr>
                  </w:pPr>
                  <w:r>
                    <w:rPr>
                      <w:highlight w:val="none"/>
                    </w:rPr>
                    <w:t>T</w:t>
                  </w:r>
                  <w:r>
                    <w:rPr>
                      <w:rFonts w:hint="eastAsia"/>
                      <w:highlight w:val="none"/>
                      <w:lang w:eastAsia="zh-CN"/>
                    </w:rPr>
                    <w:t xml:space="preserve">, </w:t>
                  </w:r>
                  <w:r>
                    <w:rPr>
                      <w:highlight w:val="none"/>
                    </w:rPr>
                    <w:t>I</w:t>
                  </w:r>
                </w:p>
              </w:tc>
              <w:tc>
                <w:tcPr>
                  <w:tcW w:w="583" w:type="dxa"/>
                  <w:vAlign w:val="center"/>
                </w:tcPr>
                <w:p w14:paraId="400B0B17">
                  <w:pPr>
                    <w:pStyle w:val="55"/>
                    <w:rPr>
                      <w:rFonts w:hint="eastAsia" w:eastAsia="宋体"/>
                      <w:highlight w:val="none"/>
                      <w:lang w:eastAsia="zh-CN"/>
                    </w:rPr>
                  </w:pPr>
                  <w:r>
                    <w:rPr>
                      <w:highlight w:val="none"/>
                    </w:rPr>
                    <w:t>0.</w:t>
                  </w:r>
                  <w:r>
                    <w:rPr>
                      <w:rFonts w:hint="eastAsia"/>
                      <w:highlight w:val="none"/>
                      <w:lang w:val="en-US" w:eastAsia="zh-CN"/>
                    </w:rPr>
                    <w:t>1</w:t>
                  </w:r>
                </w:p>
              </w:tc>
              <w:tc>
                <w:tcPr>
                  <w:tcW w:w="811" w:type="dxa"/>
                  <w:vMerge w:val="restart"/>
                  <w:vAlign w:val="center"/>
                </w:tcPr>
                <w:p w14:paraId="02B53E89">
                  <w:pPr>
                    <w:pStyle w:val="55"/>
                    <w:rPr>
                      <w:highlight w:val="none"/>
                    </w:rPr>
                  </w:pPr>
                  <w:r>
                    <w:rPr>
                      <w:highlight w:val="none"/>
                    </w:rPr>
                    <w:t>暂存于危废</w:t>
                  </w:r>
                  <w:r>
                    <w:rPr>
                      <w:rFonts w:hint="eastAsia"/>
                      <w:highlight w:val="none"/>
                      <w:lang w:val="en-US" w:eastAsia="zh-CN"/>
                    </w:rPr>
                    <w:t>贮存库</w:t>
                  </w:r>
                </w:p>
              </w:tc>
              <w:tc>
                <w:tcPr>
                  <w:tcW w:w="1139" w:type="dxa"/>
                  <w:vMerge w:val="restart"/>
                  <w:vAlign w:val="center"/>
                </w:tcPr>
                <w:p w14:paraId="7E2CC4B0">
                  <w:pPr>
                    <w:pStyle w:val="55"/>
                    <w:rPr>
                      <w:highlight w:val="none"/>
                    </w:rPr>
                  </w:pPr>
                  <w:r>
                    <w:rPr>
                      <w:rFonts w:hint="eastAsia"/>
                      <w:highlight w:val="none"/>
                    </w:rPr>
                    <w:t>交由有资质单位定期拉运处理</w:t>
                  </w:r>
                </w:p>
              </w:tc>
              <w:tc>
                <w:tcPr>
                  <w:tcW w:w="948" w:type="dxa"/>
                  <w:vAlign w:val="center"/>
                </w:tcPr>
                <w:p w14:paraId="1682999D">
                  <w:pPr>
                    <w:pStyle w:val="55"/>
                    <w:rPr>
                      <w:rFonts w:hint="eastAsia" w:eastAsia="宋体"/>
                      <w:highlight w:val="none"/>
                      <w:lang w:eastAsia="zh-CN"/>
                    </w:rPr>
                  </w:pPr>
                  <w:r>
                    <w:rPr>
                      <w:highlight w:val="none"/>
                    </w:rPr>
                    <w:t>0</w:t>
                  </w:r>
                  <w:r>
                    <w:rPr>
                      <w:rFonts w:hint="eastAsia"/>
                      <w:highlight w:val="none"/>
                    </w:rPr>
                    <w:t>.</w:t>
                  </w:r>
                  <w:r>
                    <w:rPr>
                      <w:rFonts w:hint="eastAsia"/>
                      <w:highlight w:val="none"/>
                      <w:lang w:val="en-US" w:eastAsia="zh-CN"/>
                    </w:rPr>
                    <w:t>1</w:t>
                  </w:r>
                </w:p>
              </w:tc>
            </w:tr>
            <w:tr w14:paraId="5E7C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89" w:type="dxa"/>
                  <w:vMerge w:val="continue"/>
                  <w:vAlign w:val="center"/>
                </w:tcPr>
                <w:p w14:paraId="71F33C5B">
                  <w:pPr>
                    <w:pStyle w:val="55"/>
                    <w:rPr>
                      <w:highlight w:val="none"/>
                    </w:rPr>
                  </w:pPr>
                </w:p>
              </w:tc>
              <w:tc>
                <w:tcPr>
                  <w:tcW w:w="744" w:type="dxa"/>
                  <w:vAlign w:val="center"/>
                </w:tcPr>
                <w:p w14:paraId="11F131EE">
                  <w:pPr>
                    <w:pStyle w:val="55"/>
                    <w:rPr>
                      <w:rFonts w:hint="default"/>
                      <w:highlight w:val="none"/>
                      <w:lang w:val="en-US" w:eastAsia="zh-CN"/>
                    </w:rPr>
                  </w:pPr>
                  <w:r>
                    <w:rPr>
                      <w:rFonts w:hint="eastAsia"/>
                      <w:highlight w:val="none"/>
                      <w:lang w:val="en-US" w:eastAsia="zh-CN"/>
                    </w:rPr>
                    <w:t>废油桶</w:t>
                  </w:r>
                </w:p>
              </w:tc>
              <w:tc>
                <w:tcPr>
                  <w:tcW w:w="406" w:type="dxa"/>
                  <w:vMerge w:val="continue"/>
                  <w:vAlign w:val="center"/>
                </w:tcPr>
                <w:p w14:paraId="25A6304E">
                  <w:pPr>
                    <w:pStyle w:val="55"/>
                    <w:rPr>
                      <w:highlight w:val="none"/>
                    </w:rPr>
                  </w:pPr>
                </w:p>
              </w:tc>
              <w:tc>
                <w:tcPr>
                  <w:tcW w:w="772" w:type="dxa"/>
                  <w:vMerge w:val="continue"/>
                  <w:vAlign w:val="center"/>
                </w:tcPr>
                <w:p w14:paraId="65CC9A80">
                  <w:pPr>
                    <w:pStyle w:val="55"/>
                    <w:rPr>
                      <w:highlight w:val="none"/>
                    </w:rPr>
                  </w:pPr>
                </w:p>
              </w:tc>
              <w:tc>
                <w:tcPr>
                  <w:tcW w:w="917" w:type="dxa"/>
                  <w:vAlign w:val="center"/>
                </w:tcPr>
                <w:p w14:paraId="715D63D3">
                  <w:pPr>
                    <w:pStyle w:val="55"/>
                    <w:rPr>
                      <w:rFonts w:hint="eastAsia"/>
                      <w:highlight w:val="none"/>
                      <w:lang w:val="en-US" w:eastAsia="zh-CN"/>
                    </w:rPr>
                  </w:pPr>
                  <w:r>
                    <w:rPr>
                      <w:color w:val="auto"/>
                      <w:highlight w:val="none"/>
                    </w:rPr>
                    <w:t>900-</w:t>
                  </w:r>
                  <w:r>
                    <w:rPr>
                      <w:rFonts w:hint="eastAsia"/>
                      <w:color w:val="auto"/>
                      <w:highlight w:val="none"/>
                      <w:lang w:val="en-US" w:eastAsia="zh-CN"/>
                    </w:rPr>
                    <w:t>249</w:t>
                  </w:r>
                  <w:r>
                    <w:rPr>
                      <w:color w:val="auto"/>
                      <w:highlight w:val="none"/>
                    </w:rPr>
                    <w:t>-08</w:t>
                  </w:r>
                </w:p>
              </w:tc>
              <w:tc>
                <w:tcPr>
                  <w:tcW w:w="490" w:type="dxa"/>
                  <w:vAlign w:val="center"/>
                </w:tcPr>
                <w:p w14:paraId="33D76BDB">
                  <w:pPr>
                    <w:pStyle w:val="55"/>
                    <w:rPr>
                      <w:highlight w:val="none"/>
                    </w:rPr>
                  </w:pPr>
                  <w:r>
                    <w:rPr>
                      <w:rFonts w:hint="eastAsia"/>
                      <w:color w:val="auto"/>
                      <w:highlight w:val="none"/>
                      <w:lang w:val="en-US" w:eastAsia="zh-CN"/>
                    </w:rPr>
                    <w:t>固态</w:t>
                  </w:r>
                </w:p>
              </w:tc>
              <w:tc>
                <w:tcPr>
                  <w:tcW w:w="637" w:type="dxa"/>
                  <w:vAlign w:val="center"/>
                </w:tcPr>
                <w:p w14:paraId="28E8E7DB">
                  <w:pPr>
                    <w:pStyle w:val="55"/>
                    <w:rPr>
                      <w:highlight w:val="none"/>
                    </w:rPr>
                  </w:pPr>
                  <w:r>
                    <w:rPr>
                      <w:highlight w:val="none"/>
                    </w:rPr>
                    <w:t>T</w:t>
                  </w:r>
                  <w:r>
                    <w:rPr>
                      <w:rFonts w:hint="eastAsia"/>
                      <w:highlight w:val="none"/>
                      <w:lang w:eastAsia="zh-CN"/>
                    </w:rPr>
                    <w:t xml:space="preserve">, </w:t>
                  </w:r>
                  <w:r>
                    <w:rPr>
                      <w:highlight w:val="none"/>
                    </w:rPr>
                    <w:t>I</w:t>
                  </w:r>
                </w:p>
              </w:tc>
              <w:tc>
                <w:tcPr>
                  <w:tcW w:w="583" w:type="dxa"/>
                  <w:vAlign w:val="center"/>
                </w:tcPr>
                <w:p w14:paraId="067B0B0C">
                  <w:pPr>
                    <w:pStyle w:val="55"/>
                    <w:rPr>
                      <w:highlight w:val="none"/>
                    </w:rPr>
                  </w:pPr>
                  <w:r>
                    <w:rPr>
                      <w:highlight w:val="none"/>
                    </w:rPr>
                    <w:t>0.</w:t>
                  </w:r>
                  <w:r>
                    <w:rPr>
                      <w:rFonts w:hint="eastAsia"/>
                      <w:highlight w:val="none"/>
                      <w:lang w:val="en-US" w:eastAsia="zh-CN"/>
                    </w:rPr>
                    <w:t>1</w:t>
                  </w:r>
                </w:p>
              </w:tc>
              <w:tc>
                <w:tcPr>
                  <w:tcW w:w="811" w:type="dxa"/>
                  <w:vMerge w:val="continue"/>
                  <w:vAlign w:val="center"/>
                </w:tcPr>
                <w:p w14:paraId="31940581">
                  <w:pPr>
                    <w:pStyle w:val="55"/>
                    <w:rPr>
                      <w:highlight w:val="none"/>
                    </w:rPr>
                  </w:pPr>
                </w:p>
              </w:tc>
              <w:tc>
                <w:tcPr>
                  <w:tcW w:w="1139" w:type="dxa"/>
                  <w:vMerge w:val="continue"/>
                  <w:vAlign w:val="center"/>
                </w:tcPr>
                <w:p w14:paraId="691076F9">
                  <w:pPr>
                    <w:pStyle w:val="55"/>
                    <w:rPr>
                      <w:rFonts w:hint="eastAsia"/>
                      <w:highlight w:val="none"/>
                    </w:rPr>
                  </w:pPr>
                </w:p>
              </w:tc>
              <w:tc>
                <w:tcPr>
                  <w:tcW w:w="948" w:type="dxa"/>
                  <w:vAlign w:val="center"/>
                </w:tcPr>
                <w:p w14:paraId="1E478D61">
                  <w:pPr>
                    <w:pStyle w:val="55"/>
                    <w:rPr>
                      <w:highlight w:val="none"/>
                    </w:rPr>
                  </w:pPr>
                  <w:r>
                    <w:rPr>
                      <w:highlight w:val="none"/>
                    </w:rPr>
                    <w:t>0.</w:t>
                  </w:r>
                  <w:r>
                    <w:rPr>
                      <w:rFonts w:hint="eastAsia"/>
                      <w:highlight w:val="none"/>
                      <w:lang w:val="en-US" w:eastAsia="zh-CN"/>
                    </w:rPr>
                    <w:t>1</w:t>
                  </w:r>
                </w:p>
              </w:tc>
            </w:tr>
            <w:tr w14:paraId="76AF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restart"/>
                  <w:vAlign w:val="center"/>
                </w:tcPr>
                <w:p w14:paraId="319C856E">
                  <w:pPr>
                    <w:pStyle w:val="55"/>
                    <w:rPr>
                      <w:highlight w:val="none"/>
                    </w:rPr>
                  </w:pPr>
                  <w:r>
                    <w:rPr>
                      <w:highlight w:val="none"/>
                    </w:rPr>
                    <w:t>生活区</w:t>
                  </w:r>
                </w:p>
              </w:tc>
              <w:tc>
                <w:tcPr>
                  <w:tcW w:w="744" w:type="dxa"/>
                  <w:vAlign w:val="center"/>
                </w:tcPr>
                <w:p w14:paraId="5CB7A47A">
                  <w:pPr>
                    <w:pStyle w:val="55"/>
                    <w:rPr>
                      <w:highlight w:val="none"/>
                    </w:rPr>
                  </w:pPr>
                  <w:r>
                    <w:rPr>
                      <w:highlight w:val="none"/>
                    </w:rPr>
                    <w:t>生活垃圾</w:t>
                  </w:r>
                </w:p>
              </w:tc>
              <w:tc>
                <w:tcPr>
                  <w:tcW w:w="406" w:type="dxa"/>
                  <w:vAlign w:val="center"/>
                </w:tcPr>
                <w:p w14:paraId="0C2DBC28">
                  <w:pPr>
                    <w:pStyle w:val="55"/>
                    <w:rPr>
                      <w:highlight w:val="none"/>
                    </w:rPr>
                  </w:pPr>
                  <w:r>
                    <w:rPr>
                      <w:highlight w:val="none"/>
                    </w:rPr>
                    <w:t>生活垃圾</w:t>
                  </w:r>
                </w:p>
              </w:tc>
              <w:tc>
                <w:tcPr>
                  <w:tcW w:w="772" w:type="dxa"/>
                  <w:vAlign w:val="center"/>
                </w:tcPr>
                <w:p w14:paraId="51980A38">
                  <w:pPr>
                    <w:pStyle w:val="55"/>
                    <w:rPr>
                      <w:highlight w:val="none"/>
                    </w:rPr>
                  </w:pPr>
                  <w:r>
                    <w:rPr>
                      <w:highlight w:val="none"/>
                    </w:rPr>
                    <w:t>无</w:t>
                  </w:r>
                </w:p>
              </w:tc>
              <w:tc>
                <w:tcPr>
                  <w:tcW w:w="917" w:type="dxa"/>
                  <w:vAlign w:val="center"/>
                </w:tcPr>
                <w:p w14:paraId="50CCEF51">
                  <w:pPr>
                    <w:pStyle w:val="55"/>
                    <w:rPr>
                      <w:rFonts w:hint="default" w:eastAsia="宋体"/>
                      <w:highlight w:val="none"/>
                      <w:lang w:val="en-US" w:eastAsia="zh-CN"/>
                    </w:rPr>
                  </w:pPr>
                  <w:r>
                    <w:rPr>
                      <w:rFonts w:hint="eastAsia"/>
                      <w:highlight w:val="none"/>
                      <w:lang w:val="en-US" w:eastAsia="zh-CN"/>
                    </w:rPr>
                    <w:t>900-001-S61</w:t>
                  </w:r>
                </w:p>
              </w:tc>
              <w:tc>
                <w:tcPr>
                  <w:tcW w:w="490" w:type="dxa"/>
                  <w:vAlign w:val="center"/>
                </w:tcPr>
                <w:p w14:paraId="6105E29F">
                  <w:pPr>
                    <w:pStyle w:val="55"/>
                    <w:rPr>
                      <w:highlight w:val="none"/>
                    </w:rPr>
                  </w:pPr>
                  <w:r>
                    <w:rPr>
                      <w:highlight w:val="none"/>
                    </w:rPr>
                    <w:t>固态</w:t>
                  </w:r>
                </w:p>
              </w:tc>
              <w:tc>
                <w:tcPr>
                  <w:tcW w:w="637" w:type="dxa"/>
                  <w:vAlign w:val="center"/>
                </w:tcPr>
                <w:p w14:paraId="39D3D2B1">
                  <w:pPr>
                    <w:pStyle w:val="55"/>
                    <w:rPr>
                      <w:highlight w:val="none"/>
                    </w:rPr>
                  </w:pPr>
                  <w:r>
                    <w:rPr>
                      <w:highlight w:val="none"/>
                    </w:rPr>
                    <w:t>无</w:t>
                  </w:r>
                </w:p>
              </w:tc>
              <w:tc>
                <w:tcPr>
                  <w:tcW w:w="583" w:type="dxa"/>
                  <w:vAlign w:val="center"/>
                </w:tcPr>
                <w:p w14:paraId="0E469D7B">
                  <w:pPr>
                    <w:pStyle w:val="55"/>
                    <w:rPr>
                      <w:rFonts w:hint="default" w:eastAsia="宋体"/>
                      <w:highlight w:val="none"/>
                      <w:lang w:val="en-US" w:eastAsia="zh-CN"/>
                    </w:rPr>
                  </w:pPr>
                  <w:r>
                    <w:rPr>
                      <w:rFonts w:hint="eastAsia"/>
                      <w:highlight w:val="none"/>
                      <w:lang w:val="en-US" w:eastAsia="zh-CN"/>
                    </w:rPr>
                    <w:t>3.6</w:t>
                  </w:r>
                </w:p>
              </w:tc>
              <w:tc>
                <w:tcPr>
                  <w:tcW w:w="811" w:type="dxa"/>
                  <w:vAlign w:val="center"/>
                </w:tcPr>
                <w:p w14:paraId="46142E9B">
                  <w:pPr>
                    <w:pStyle w:val="55"/>
                    <w:rPr>
                      <w:highlight w:val="none"/>
                    </w:rPr>
                  </w:pPr>
                  <w:r>
                    <w:rPr>
                      <w:highlight w:val="none"/>
                    </w:rPr>
                    <w:t>集中收集</w:t>
                  </w:r>
                </w:p>
              </w:tc>
              <w:tc>
                <w:tcPr>
                  <w:tcW w:w="1139" w:type="dxa"/>
                  <w:vAlign w:val="center"/>
                </w:tcPr>
                <w:p w14:paraId="0F4CCF9F">
                  <w:pPr>
                    <w:pStyle w:val="55"/>
                    <w:rPr>
                      <w:highlight w:val="none"/>
                    </w:rPr>
                  </w:pPr>
                  <w:r>
                    <w:rPr>
                      <w:highlight w:val="none"/>
                    </w:rPr>
                    <w:t>交由环卫部门统一清运</w:t>
                  </w:r>
                </w:p>
              </w:tc>
              <w:tc>
                <w:tcPr>
                  <w:tcW w:w="948" w:type="dxa"/>
                  <w:vAlign w:val="center"/>
                </w:tcPr>
                <w:p w14:paraId="10C5BC0A">
                  <w:pPr>
                    <w:pStyle w:val="55"/>
                    <w:rPr>
                      <w:rFonts w:hint="default" w:eastAsia="宋体"/>
                      <w:highlight w:val="none"/>
                      <w:lang w:val="en-US" w:eastAsia="zh-CN"/>
                    </w:rPr>
                  </w:pPr>
                  <w:r>
                    <w:rPr>
                      <w:rFonts w:hint="eastAsia"/>
                      <w:highlight w:val="none"/>
                      <w:lang w:val="en-US" w:eastAsia="zh-CN"/>
                    </w:rPr>
                    <w:t>3.6</w:t>
                  </w:r>
                </w:p>
              </w:tc>
            </w:tr>
            <w:tr w14:paraId="3FF5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vAlign w:val="center"/>
                </w:tcPr>
                <w:p w14:paraId="20B5D1B9">
                  <w:pPr>
                    <w:pStyle w:val="55"/>
                    <w:rPr>
                      <w:highlight w:val="none"/>
                    </w:rPr>
                  </w:pPr>
                </w:p>
              </w:tc>
              <w:tc>
                <w:tcPr>
                  <w:tcW w:w="744" w:type="dxa"/>
                  <w:vAlign w:val="center"/>
                </w:tcPr>
                <w:p w14:paraId="766D2166">
                  <w:pPr>
                    <w:pStyle w:val="55"/>
                    <w:rPr>
                      <w:rFonts w:hint="eastAsia" w:eastAsia="宋体"/>
                      <w:highlight w:val="none"/>
                      <w:lang w:val="en-US" w:eastAsia="zh-CN"/>
                    </w:rPr>
                  </w:pPr>
                  <w:r>
                    <w:rPr>
                      <w:rFonts w:hint="eastAsia"/>
                      <w:highlight w:val="none"/>
                      <w:lang w:val="en-US" w:eastAsia="zh-CN"/>
                    </w:rPr>
                    <w:t>化粪池污泥</w:t>
                  </w:r>
                </w:p>
              </w:tc>
              <w:tc>
                <w:tcPr>
                  <w:tcW w:w="406" w:type="dxa"/>
                  <w:vAlign w:val="center"/>
                </w:tcPr>
                <w:p w14:paraId="547B92D4">
                  <w:pPr>
                    <w:pStyle w:val="55"/>
                    <w:rPr>
                      <w:highlight w:val="none"/>
                    </w:rPr>
                  </w:pPr>
                  <w:r>
                    <w:rPr>
                      <w:rFonts w:hint="eastAsia"/>
                      <w:highlight w:val="none"/>
                      <w:lang w:val="en-US" w:eastAsia="zh-CN"/>
                    </w:rPr>
                    <w:t>化粪池污泥</w:t>
                  </w:r>
                </w:p>
              </w:tc>
              <w:tc>
                <w:tcPr>
                  <w:tcW w:w="772" w:type="dxa"/>
                  <w:vAlign w:val="center"/>
                </w:tcPr>
                <w:p w14:paraId="101DEF44">
                  <w:pPr>
                    <w:pStyle w:val="55"/>
                    <w:rPr>
                      <w:rFonts w:hint="eastAsia" w:eastAsia="宋体"/>
                      <w:highlight w:val="none"/>
                      <w:lang w:val="en-US" w:eastAsia="zh-CN"/>
                    </w:rPr>
                  </w:pPr>
                  <w:r>
                    <w:rPr>
                      <w:rFonts w:hint="eastAsia"/>
                      <w:highlight w:val="none"/>
                      <w:lang w:val="en-US" w:eastAsia="zh-CN"/>
                    </w:rPr>
                    <w:t>无</w:t>
                  </w:r>
                </w:p>
              </w:tc>
              <w:tc>
                <w:tcPr>
                  <w:tcW w:w="917" w:type="dxa"/>
                  <w:vAlign w:val="center"/>
                </w:tcPr>
                <w:p w14:paraId="0464A016">
                  <w:pPr>
                    <w:pStyle w:val="55"/>
                    <w:rPr>
                      <w:rFonts w:hint="default"/>
                      <w:highlight w:val="none"/>
                      <w:lang w:val="en-US" w:eastAsia="zh-CN"/>
                    </w:rPr>
                  </w:pPr>
                  <w:r>
                    <w:rPr>
                      <w:rFonts w:hint="default"/>
                      <w:highlight w:val="none"/>
                      <w:lang w:val="en-US" w:eastAsia="zh-CN"/>
                    </w:rPr>
                    <w:t xml:space="preserve">900-002-S64 </w:t>
                  </w:r>
                </w:p>
              </w:tc>
              <w:tc>
                <w:tcPr>
                  <w:tcW w:w="490" w:type="dxa"/>
                  <w:vAlign w:val="center"/>
                </w:tcPr>
                <w:p w14:paraId="6A9B1049">
                  <w:pPr>
                    <w:pStyle w:val="55"/>
                    <w:rPr>
                      <w:rFonts w:hint="eastAsia" w:eastAsia="宋体"/>
                      <w:highlight w:val="none"/>
                      <w:lang w:val="en-US" w:eastAsia="zh-CN"/>
                    </w:rPr>
                  </w:pPr>
                  <w:r>
                    <w:rPr>
                      <w:rFonts w:hint="eastAsia"/>
                      <w:highlight w:val="none"/>
                      <w:lang w:val="en-US" w:eastAsia="zh-CN"/>
                    </w:rPr>
                    <w:t>/</w:t>
                  </w:r>
                </w:p>
              </w:tc>
              <w:tc>
                <w:tcPr>
                  <w:tcW w:w="637" w:type="dxa"/>
                  <w:vAlign w:val="center"/>
                </w:tcPr>
                <w:p w14:paraId="4D7EA3C1">
                  <w:pPr>
                    <w:pStyle w:val="55"/>
                    <w:rPr>
                      <w:highlight w:val="none"/>
                    </w:rPr>
                  </w:pPr>
                  <w:r>
                    <w:rPr>
                      <w:highlight w:val="none"/>
                    </w:rPr>
                    <w:t>无</w:t>
                  </w:r>
                </w:p>
              </w:tc>
              <w:tc>
                <w:tcPr>
                  <w:tcW w:w="583" w:type="dxa"/>
                  <w:vAlign w:val="center"/>
                </w:tcPr>
                <w:p w14:paraId="4EFAE90B">
                  <w:pPr>
                    <w:pStyle w:val="55"/>
                    <w:rPr>
                      <w:rFonts w:hint="default"/>
                      <w:highlight w:val="none"/>
                      <w:lang w:val="en-US" w:eastAsia="zh-CN"/>
                    </w:rPr>
                  </w:pPr>
                  <w:r>
                    <w:rPr>
                      <w:rFonts w:hint="eastAsia"/>
                      <w:highlight w:val="none"/>
                      <w:lang w:val="en-US" w:eastAsia="zh-CN"/>
                    </w:rPr>
                    <w:t>0.5</w:t>
                  </w:r>
                </w:p>
              </w:tc>
              <w:tc>
                <w:tcPr>
                  <w:tcW w:w="811" w:type="dxa"/>
                  <w:vAlign w:val="center"/>
                </w:tcPr>
                <w:p w14:paraId="1ECE3856">
                  <w:pPr>
                    <w:pStyle w:val="55"/>
                    <w:rPr>
                      <w:highlight w:val="none"/>
                    </w:rPr>
                  </w:pPr>
                  <w:r>
                    <w:rPr>
                      <w:highlight w:val="none"/>
                    </w:rPr>
                    <w:t>集中收集</w:t>
                  </w:r>
                </w:p>
              </w:tc>
              <w:tc>
                <w:tcPr>
                  <w:tcW w:w="1139" w:type="dxa"/>
                  <w:vAlign w:val="center"/>
                </w:tcPr>
                <w:p w14:paraId="5F8FE302">
                  <w:pPr>
                    <w:pStyle w:val="55"/>
                    <w:rPr>
                      <w:highlight w:val="none"/>
                    </w:rPr>
                  </w:pPr>
                  <w:r>
                    <w:rPr>
                      <w:highlight w:val="none"/>
                    </w:rPr>
                    <w:t>交由环卫部门统一清运</w:t>
                  </w:r>
                </w:p>
              </w:tc>
              <w:tc>
                <w:tcPr>
                  <w:tcW w:w="948" w:type="dxa"/>
                  <w:vAlign w:val="center"/>
                </w:tcPr>
                <w:p w14:paraId="78C90DAC">
                  <w:pPr>
                    <w:pStyle w:val="55"/>
                    <w:rPr>
                      <w:rFonts w:hint="default"/>
                      <w:highlight w:val="none"/>
                      <w:lang w:val="en-US" w:eastAsia="zh-CN"/>
                    </w:rPr>
                  </w:pPr>
                  <w:r>
                    <w:rPr>
                      <w:rFonts w:hint="eastAsia"/>
                      <w:highlight w:val="none"/>
                      <w:lang w:val="en-US" w:eastAsia="zh-CN"/>
                    </w:rPr>
                    <w:t>0.5</w:t>
                  </w:r>
                </w:p>
              </w:tc>
            </w:tr>
          </w:tbl>
          <w:p w14:paraId="53A97E9C">
            <w:pPr>
              <w:ind w:firstLine="480" w:firstLineChars="200"/>
              <w:rPr>
                <w:rFonts w:hint="eastAsia"/>
                <w:highlight w:val="none"/>
              </w:rPr>
            </w:pPr>
            <w:r>
              <w:rPr>
                <w:rFonts w:hint="eastAsia"/>
                <w:highlight w:val="none"/>
              </w:rPr>
              <w:t>根据固废的种类、产生量及其管理的全过程可能造成的环境影响进行分析：①全厂固废分类收集与贮存，不混放，固废相互间不影响。</w:t>
            </w:r>
          </w:p>
          <w:p w14:paraId="745831C5">
            <w:pPr>
              <w:ind w:firstLine="480" w:firstLineChars="200"/>
              <w:rPr>
                <w:rFonts w:hint="eastAsia"/>
                <w:highlight w:val="none"/>
              </w:rPr>
            </w:pPr>
            <w:r>
              <w:rPr>
                <w:rFonts w:hint="eastAsia"/>
                <w:highlight w:val="none"/>
              </w:rPr>
              <w:t>②除尘器收集粉尘</w:t>
            </w:r>
            <w:r>
              <w:rPr>
                <w:rFonts w:hint="eastAsia"/>
                <w:highlight w:val="none"/>
                <w:lang w:eastAsia="zh-CN"/>
              </w:rPr>
              <w:t>、</w:t>
            </w:r>
            <w:r>
              <w:rPr>
                <w:rFonts w:hint="eastAsia"/>
                <w:highlight w:val="none"/>
                <w:lang w:val="en-US" w:eastAsia="zh-CN"/>
              </w:rPr>
              <w:t>粗渣</w:t>
            </w:r>
            <w:r>
              <w:rPr>
                <w:rFonts w:hint="eastAsia"/>
                <w:highlight w:val="none"/>
              </w:rPr>
              <w:t>回用于</w:t>
            </w:r>
            <w:r>
              <w:rPr>
                <w:rFonts w:hint="eastAsia"/>
                <w:highlight w:val="none"/>
                <w:lang w:val="en-US" w:eastAsia="zh-CN"/>
              </w:rPr>
              <w:t>原</w:t>
            </w:r>
            <w:r>
              <w:rPr>
                <w:rFonts w:hint="eastAsia"/>
                <w:highlight w:val="none"/>
              </w:rPr>
              <w:t>生产线进入产品</w:t>
            </w:r>
            <w:r>
              <w:rPr>
                <w:rFonts w:hint="eastAsia"/>
                <w:highlight w:val="none"/>
                <w:lang w:eastAsia="zh-CN"/>
              </w:rPr>
              <w:t>，</w:t>
            </w:r>
            <w:r>
              <w:rPr>
                <w:rFonts w:hint="eastAsia"/>
                <w:highlight w:val="none"/>
              </w:rPr>
              <w:t>废旧布袋集中收集后</w:t>
            </w:r>
            <w:r>
              <w:rPr>
                <w:rFonts w:hint="eastAsia"/>
                <w:highlight w:val="none"/>
                <w:lang w:val="en-US" w:eastAsia="zh-CN"/>
              </w:rPr>
              <w:t>由生产厂家回收处理</w:t>
            </w:r>
            <w:r>
              <w:rPr>
                <w:rFonts w:hint="eastAsia"/>
                <w:highlight w:val="none"/>
              </w:rPr>
              <w:t>。</w:t>
            </w:r>
          </w:p>
          <w:p w14:paraId="43040301">
            <w:pPr>
              <w:ind w:firstLine="480" w:firstLineChars="200"/>
              <w:rPr>
                <w:rFonts w:hint="eastAsia"/>
                <w:highlight w:val="none"/>
              </w:rPr>
            </w:pPr>
            <w:r>
              <w:rPr>
                <w:rFonts w:hint="eastAsia"/>
                <w:highlight w:val="none"/>
              </w:rPr>
              <w:t>③全厂的固废通过处置或利用，对大气、水体、土壤环境基本不产生影响。</w:t>
            </w:r>
          </w:p>
          <w:p w14:paraId="6098CC98">
            <w:pPr>
              <w:ind w:firstLine="480" w:firstLineChars="200"/>
              <w:rPr>
                <w:rFonts w:hint="eastAsia"/>
                <w:highlight w:val="none"/>
              </w:rPr>
            </w:pPr>
            <w:r>
              <w:rPr>
                <w:rFonts w:hint="eastAsia"/>
                <w:highlight w:val="none"/>
              </w:rPr>
              <w:t>因此，企业全厂的固废均得到合理处置，对环境不产生二次污染。</w:t>
            </w:r>
          </w:p>
          <w:p w14:paraId="00B88AC6">
            <w:pPr>
              <w:ind w:firstLine="48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环境管理要求</w:t>
            </w:r>
          </w:p>
          <w:p w14:paraId="0ECE09D2">
            <w:pPr>
              <w:ind w:firstLine="480" w:firstLineChars="200"/>
              <w:rPr>
                <w:rFonts w:hint="eastAsia"/>
                <w:highlight w:val="none"/>
              </w:rPr>
            </w:pPr>
            <w:r>
              <w:rPr>
                <w:rFonts w:hint="eastAsia"/>
                <w:highlight w:val="none"/>
              </w:rPr>
              <w:t>①按照《一般工业固体废物贮存和填埋污染控制标准》（GB18599-2020）的要求设置暂存场所。</w:t>
            </w:r>
          </w:p>
          <w:p w14:paraId="41C89848">
            <w:pPr>
              <w:ind w:firstLine="480" w:firstLineChars="200"/>
              <w:rPr>
                <w:rFonts w:hint="eastAsia"/>
                <w:highlight w:val="none"/>
              </w:rPr>
            </w:pPr>
            <w:r>
              <w:rPr>
                <w:rFonts w:hint="eastAsia"/>
                <w:highlight w:val="none"/>
              </w:rPr>
              <w:t>②贮存场所不得露天堆放，应做好防风、防雨、防晒设施，防流失，防外水入侵要求。</w:t>
            </w:r>
          </w:p>
          <w:p w14:paraId="76FEDC81">
            <w:pPr>
              <w:ind w:firstLine="480"/>
              <w:rPr>
                <w:highlight w:val="none"/>
              </w:rPr>
            </w:pPr>
            <w:r>
              <w:rPr>
                <w:rFonts w:hint="eastAsia"/>
                <w:highlight w:val="none"/>
              </w:rPr>
              <w:t>综合上述，项目各项固体废物均能</w:t>
            </w:r>
            <w:r>
              <w:rPr>
                <w:rFonts w:hint="eastAsia"/>
                <w:highlight w:val="none"/>
                <w:lang w:eastAsia="zh-CN"/>
              </w:rPr>
              <w:t>得到</w:t>
            </w:r>
            <w:r>
              <w:rPr>
                <w:rFonts w:hint="eastAsia"/>
                <w:highlight w:val="none"/>
              </w:rPr>
              <w:t>妥善处理，对当地环境影响较小。</w:t>
            </w:r>
          </w:p>
          <w:p w14:paraId="4EF80BA8">
            <w:pPr>
              <w:ind w:firstLine="482"/>
              <w:rPr>
                <w:highlight w:val="none"/>
              </w:rPr>
            </w:pPr>
            <w:r>
              <w:rPr>
                <w:b/>
                <w:bCs/>
                <w:highlight w:val="none"/>
              </w:rPr>
              <w:t>危险废物</w:t>
            </w:r>
            <w:r>
              <w:rPr>
                <w:rFonts w:hint="eastAsia"/>
                <w:b/>
                <w:bCs/>
                <w:highlight w:val="none"/>
              </w:rPr>
              <w:t>贮存库</w:t>
            </w:r>
            <w:r>
              <w:rPr>
                <w:b/>
                <w:bCs/>
                <w:highlight w:val="none"/>
              </w:rPr>
              <w:t>防渗及管理措施</w:t>
            </w:r>
            <w:r>
              <w:rPr>
                <w:rFonts w:hint="eastAsia"/>
                <w:highlight w:val="none"/>
              </w:rPr>
              <w:t>：</w:t>
            </w:r>
          </w:p>
          <w:p w14:paraId="753A713B">
            <w:pPr>
              <w:ind w:firstLine="480"/>
              <w:rPr>
                <w:highlight w:val="none"/>
              </w:rPr>
            </w:pPr>
            <w:r>
              <w:rPr>
                <w:highlight w:val="none"/>
              </w:rPr>
              <w:t>为防止危废暂存过程中对环境产生污染影响，根据《危险废物贮存污染控制标准》</w:t>
            </w:r>
            <w:r>
              <w:rPr>
                <w:rFonts w:hint="eastAsia"/>
                <w:highlight w:val="none"/>
              </w:rPr>
              <w:t>（</w:t>
            </w:r>
            <w:r>
              <w:rPr>
                <w:highlight w:val="none"/>
              </w:rPr>
              <w:t>GB18597-20</w:t>
            </w:r>
            <w:r>
              <w:rPr>
                <w:rFonts w:hint="eastAsia"/>
                <w:highlight w:val="none"/>
              </w:rPr>
              <w:t>23）、</w:t>
            </w:r>
            <w:r>
              <w:rPr>
                <w:highlight w:val="none"/>
              </w:rPr>
              <w:t>《危险废物收集 贮存运输技术规范》</w:t>
            </w:r>
            <w:r>
              <w:rPr>
                <w:rFonts w:hint="eastAsia"/>
                <w:highlight w:val="none"/>
              </w:rPr>
              <w:t>（</w:t>
            </w:r>
            <w:r>
              <w:rPr>
                <w:highlight w:val="none"/>
              </w:rPr>
              <w:t>HJ2025-2012</w:t>
            </w:r>
            <w:r>
              <w:rPr>
                <w:rFonts w:hint="eastAsia"/>
                <w:highlight w:val="none"/>
              </w:rPr>
              <w:t>）、</w:t>
            </w:r>
            <w:r>
              <w:rPr>
                <w:highlight w:val="none"/>
              </w:rPr>
              <w:t>《危险废物管理计划和管理台账制定技术导则》</w:t>
            </w:r>
            <w:r>
              <w:rPr>
                <w:rFonts w:hint="eastAsia"/>
                <w:highlight w:val="none"/>
              </w:rPr>
              <w:t>（</w:t>
            </w:r>
            <w:r>
              <w:rPr>
                <w:highlight w:val="none"/>
              </w:rPr>
              <w:t>HJ 1259-2022</w:t>
            </w:r>
            <w:r>
              <w:rPr>
                <w:rFonts w:hint="eastAsia"/>
                <w:highlight w:val="none"/>
              </w:rPr>
              <w:t>）</w:t>
            </w:r>
            <w:r>
              <w:rPr>
                <w:highlight w:val="none"/>
              </w:rPr>
              <w:t>中的相关要求，</w:t>
            </w:r>
            <w:r>
              <w:rPr>
                <w:rFonts w:hint="eastAsia"/>
                <w:highlight w:val="none"/>
              </w:rPr>
              <w:t>本项目应</w:t>
            </w:r>
            <w:r>
              <w:rPr>
                <w:highlight w:val="none"/>
              </w:rPr>
              <w:t>采取下述管理措施：</w:t>
            </w:r>
          </w:p>
          <w:p w14:paraId="5E16CBE8">
            <w:pPr>
              <w:ind w:firstLine="480"/>
              <w:rPr>
                <w:highlight w:val="none"/>
              </w:rPr>
            </w:pPr>
            <w:r>
              <w:rPr>
                <w:highlight w:val="none"/>
              </w:rPr>
              <w:t>①危险废物</w:t>
            </w:r>
            <w:r>
              <w:rPr>
                <w:rFonts w:hint="eastAsia"/>
                <w:highlight w:val="none"/>
              </w:rPr>
              <w:t>分类收集，分区存放，</w:t>
            </w:r>
            <w:r>
              <w:rPr>
                <w:highlight w:val="none"/>
              </w:rPr>
              <w:t>采用密闭容器进行盛装，且盛装容器贴有危险废物标识，贮存间设置危险废物警示标志，由专人进行管理，有完善的危险废物排放量及处置记录。</w:t>
            </w:r>
          </w:p>
          <w:p w14:paraId="2B997DA4">
            <w:pPr>
              <w:ind w:firstLine="480"/>
              <w:rPr>
                <w:highlight w:val="none"/>
              </w:rPr>
            </w:pPr>
            <w:r>
              <w:rPr>
                <w:highlight w:val="none"/>
              </w:rPr>
              <w:t>②对密闭容器定期进行检查，泄漏损坏时立即进行处理，并将其装入完好容器内。</w:t>
            </w:r>
          </w:p>
          <w:p w14:paraId="3A75C7CF">
            <w:pPr>
              <w:ind w:firstLine="480"/>
              <w:rPr>
                <w:highlight w:val="none"/>
              </w:rPr>
            </w:pPr>
            <w:r>
              <w:rPr>
                <w:highlight w:val="none"/>
              </w:rPr>
              <w:t>③危险废物转移遵从《危险废物转移管理办法》</w:t>
            </w:r>
            <w:r>
              <w:rPr>
                <w:rFonts w:hint="eastAsia"/>
                <w:highlight w:val="none"/>
              </w:rPr>
              <w:t>（部令第23号）</w:t>
            </w:r>
            <w:r>
              <w:rPr>
                <w:highlight w:val="none"/>
              </w:rPr>
              <w:t>及其他有关规定的要求。</w:t>
            </w:r>
          </w:p>
          <w:p w14:paraId="537F11C3">
            <w:pPr>
              <w:ind w:firstLine="480"/>
              <w:rPr>
                <w:highlight w:val="none"/>
              </w:rPr>
            </w:pPr>
            <w:r>
              <w:rPr>
                <w:highlight w:val="none"/>
              </w:rPr>
              <w:fldChar w:fldCharType="begin"/>
            </w:r>
            <w:r>
              <w:rPr>
                <w:highlight w:val="none"/>
              </w:rPr>
              <w:instrText xml:space="preserve"> = 4 \* GB3 \* MERGEFORMAT </w:instrText>
            </w:r>
            <w:r>
              <w:rPr>
                <w:highlight w:val="none"/>
              </w:rPr>
              <w:fldChar w:fldCharType="separate"/>
            </w:r>
            <w:r>
              <w:rPr>
                <w:highlight w:val="none"/>
              </w:rPr>
              <w:t>④</w:t>
            </w:r>
            <w:r>
              <w:rPr>
                <w:highlight w:val="none"/>
              </w:rPr>
              <w:fldChar w:fldCharType="end"/>
            </w:r>
            <w:r>
              <w:rPr>
                <w:highlight w:val="none"/>
              </w:rPr>
              <w:t>产生危险废物的单位应定期通过国家危险废物信息管理系统向所在地生态环境主管部门申报危险废物的种类、产生量、流向、贮存、利用、处置等有关资料。</w:t>
            </w:r>
          </w:p>
          <w:p w14:paraId="4CD93D35">
            <w:pPr>
              <w:ind w:firstLine="480"/>
              <w:rPr>
                <w:highlight w:val="none"/>
              </w:rPr>
            </w:pPr>
            <w:r>
              <w:rPr>
                <w:highlight w:val="none"/>
              </w:rPr>
              <w:fldChar w:fldCharType="begin"/>
            </w:r>
            <w:r>
              <w:rPr>
                <w:highlight w:val="none"/>
              </w:rPr>
              <w:instrText xml:space="preserve"> = 5 \* GB3 \* MERGEFORMAT </w:instrText>
            </w:r>
            <w:r>
              <w:rPr>
                <w:highlight w:val="none"/>
              </w:rPr>
              <w:fldChar w:fldCharType="separate"/>
            </w:r>
            <w:r>
              <w:rPr>
                <w:highlight w:val="none"/>
              </w:rPr>
              <w:t>⑤</w:t>
            </w:r>
            <w:r>
              <w:rPr>
                <w:highlight w:val="none"/>
              </w:rPr>
              <w:fldChar w:fldCharType="end"/>
            </w:r>
            <w:r>
              <w:rPr>
                <w:highlight w:val="none"/>
              </w:rPr>
              <w:t>加强人员培训，提高转运人员风险意识，加强危险废物转运车辆及容器的巡查管理，及时发现泄漏情况并及时处理，定期检查各种危险废物转运专用容器，防止</w:t>
            </w:r>
            <w:r>
              <w:rPr>
                <w:rFonts w:hint="eastAsia"/>
                <w:highlight w:val="none"/>
                <w:lang w:eastAsia="zh-CN"/>
              </w:rPr>
              <w:t>泄漏</w:t>
            </w:r>
            <w:r>
              <w:rPr>
                <w:highlight w:val="none"/>
              </w:rPr>
              <w:t>，相关车辆及转运容器每班检查一次，可避免危险废物厂内转运过程中散落、泄露对周边环境造成影响。</w:t>
            </w:r>
          </w:p>
          <w:p w14:paraId="450DEC27">
            <w:pPr>
              <w:ind w:firstLine="480"/>
              <w:rPr>
                <w:highlight w:val="none"/>
              </w:rPr>
            </w:pPr>
            <w:r>
              <w:rPr>
                <w:highlight w:val="none"/>
              </w:rPr>
              <w:fldChar w:fldCharType="begin"/>
            </w:r>
            <w:r>
              <w:rPr>
                <w:highlight w:val="none"/>
              </w:rPr>
              <w:instrText xml:space="preserve"> = 6 \* GB3 \* MERGEFORMAT </w:instrText>
            </w:r>
            <w:r>
              <w:rPr>
                <w:highlight w:val="none"/>
              </w:rPr>
              <w:fldChar w:fldCharType="separate"/>
            </w:r>
            <w:r>
              <w:rPr>
                <w:highlight w:val="none"/>
              </w:rPr>
              <w:t>⑥</w:t>
            </w:r>
            <w:r>
              <w:rPr>
                <w:highlight w:val="none"/>
              </w:rPr>
              <w:fldChar w:fldCharType="end"/>
            </w:r>
            <w:r>
              <w:rPr>
                <w:highlight w:val="none"/>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42295C19">
            <w:pPr>
              <w:ind w:firstLine="480"/>
              <w:rPr>
                <w:highlight w:val="none"/>
              </w:rPr>
            </w:pPr>
            <w:r>
              <w:rPr>
                <w:rFonts w:hint="eastAsia" w:ascii="宋体" w:hAnsi="宋体" w:cs="宋体"/>
                <w:highlight w:val="none"/>
              </w:rPr>
              <w:t>⑦</w:t>
            </w:r>
            <w:r>
              <w:rPr>
                <w:rFonts w:hint="eastAsia"/>
                <w:highlight w:val="none"/>
              </w:rPr>
              <w:t>企业</w:t>
            </w:r>
            <w:r>
              <w:rPr>
                <w:highlight w:val="none"/>
              </w:rPr>
              <w:t>要结合自身的实际情况，与生产记录相衔接，</w:t>
            </w:r>
            <w:r>
              <w:rPr>
                <w:rFonts w:hint="eastAsia"/>
                <w:highlight w:val="none"/>
              </w:rPr>
              <w:t>根据</w:t>
            </w:r>
            <w:r>
              <w:rPr>
                <w:rFonts w:hint="eastAsia" w:ascii="宋体" w:hAnsi="宋体" w:cs="宋体"/>
                <w:color w:val="000000"/>
                <w:kern w:val="0"/>
                <w:highlight w:val="none"/>
              </w:rPr>
              <w:t>《</w:t>
            </w:r>
            <w:r>
              <w:rPr>
                <w:highlight w:val="none"/>
              </w:rPr>
              <w:fldChar w:fldCharType="begin"/>
            </w:r>
            <w:r>
              <w:rPr>
                <w:highlight w:val="none"/>
              </w:rPr>
              <w:instrText xml:space="preserve"> HYPERLINK "https://www.mee.gov.cn/gkml/hbb/bgg/201601/W020160128385366835993.pdf" </w:instrText>
            </w:r>
            <w:r>
              <w:rPr>
                <w:highlight w:val="none"/>
              </w:rPr>
              <w:fldChar w:fldCharType="separate"/>
            </w:r>
            <w:r>
              <w:rPr>
                <w:rFonts w:hint="eastAsia" w:ascii="宋体" w:hAnsi="宋体" w:cs="宋体"/>
                <w:color w:val="000000"/>
                <w:kern w:val="0"/>
                <w:highlight w:val="none"/>
              </w:rPr>
              <w:t>危险废物产生单位管理计划制定指南</w:t>
            </w:r>
            <w:r>
              <w:rPr>
                <w:rFonts w:hint="eastAsia" w:ascii="宋体" w:hAnsi="宋体" w:cs="宋体"/>
                <w:color w:val="000000"/>
                <w:kern w:val="0"/>
                <w:highlight w:val="none"/>
              </w:rPr>
              <w:fldChar w:fldCharType="end"/>
            </w:r>
            <w:r>
              <w:rPr>
                <w:rFonts w:hint="eastAsia" w:ascii="宋体" w:hAnsi="宋体" w:cs="宋体"/>
                <w:color w:val="000000"/>
                <w:kern w:val="0"/>
                <w:highlight w:val="none"/>
              </w:rPr>
              <w:t>》</w:t>
            </w:r>
            <w:r>
              <w:rPr>
                <w:highlight w:val="none"/>
              </w:rPr>
              <w:t>建立危险废物台账</w:t>
            </w:r>
            <w:r>
              <w:rPr>
                <w:rFonts w:hint="eastAsia"/>
                <w:highlight w:val="none"/>
              </w:rPr>
              <w:t>。</w:t>
            </w:r>
          </w:p>
          <w:p w14:paraId="47BF134F">
            <w:pPr>
              <w:ind w:firstLine="480"/>
              <w:rPr>
                <w:highlight w:val="none"/>
              </w:rPr>
            </w:pPr>
            <w:r>
              <w:rPr>
                <w:highlight w:val="none"/>
              </w:rPr>
              <w:t>建设单位认真落实上述</w:t>
            </w:r>
            <w:r>
              <w:rPr>
                <w:rFonts w:hint="eastAsia"/>
                <w:highlight w:val="none"/>
              </w:rPr>
              <w:t>危险废物管理</w:t>
            </w:r>
            <w:r>
              <w:rPr>
                <w:highlight w:val="none"/>
              </w:rPr>
              <w:t>处置方法，项目固体废弃物对周围环境不会产生明显影响。</w:t>
            </w:r>
          </w:p>
          <w:p w14:paraId="08548A94">
            <w:pPr>
              <w:pStyle w:val="3"/>
              <w:rPr>
                <w:highlight w:val="none"/>
              </w:rPr>
            </w:pPr>
            <w:r>
              <w:rPr>
                <w:rFonts w:hint="default" w:ascii="Times New Roman" w:hAnsi="Times New Roman" w:cs="Times New Roman"/>
                <w:highlight w:val="none"/>
              </w:rPr>
              <w:t>5</w:t>
            </w:r>
            <w:r>
              <w:rPr>
                <w:rFonts w:hint="eastAsia"/>
                <w:highlight w:val="none"/>
              </w:rPr>
              <w:t>地下水、土壤</w:t>
            </w:r>
          </w:p>
          <w:p w14:paraId="2E55112E">
            <w:pPr>
              <w:ind w:firstLine="480"/>
              <w:rPr>
                <w:highlight w:val="none"/>
              </w:rPr>
            </w:pPr>
            <w:r>
              <w:rPr>
                <w:rFonts w:hint="eastAsia"/>
                <w:highlight w:val="none"/>
              </w:rPr>
              <w:t>（1）污染源、类型及途径</w:t>
            </w:r>
          </w:p>
          <w:p w14:paraId="1080DB25">
            <w:pPr>
              <w:ind w:firstLine="480"/>
              <w:rPr>
                <w:highlight w:val="none"/>
              </w:rPr>
            </w:pPr>
            <w:r>
              <w:rPr>
                <w:rFonts w:hint="eastAsia"/>
                <w:highlight w:val="none"/>
              </w:rPr>
              <w:t>拟建项目运营后对地下水和土壤污染源、污染物类型和污染途径详见表4-</w:t>
            </w:r>
            <w:r>
              <w:rPr>
                <w:rFonts w:hint="eastAsia"/>
                <w:highlight w:val="none"/>
                <w:lang w:val="en-US" w:eastAsia="zh-CN"/>
              </w:rPr>
              <w:t>10</w:t>
            </w:r>
            <w:r>
              <w:rPr>
                <w:rFonts w:hint="eastAsia"/>
                <w:highlight w:val="none"/>
              </w:rPr>
              <w:t>。</w:t>
            </w:r>
          </w:p>
          <w:p w14:paraId="3A63C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Times New Roman"/>
                <w:b/>
                <w:bCs/>
                <w:sz w:val="21"/>
                <w:szCs w:val="21"/>
                <w:highlight w:val="none"/>
              </w:rPr>
            </w:pPr>
            <w:bookmarkStart w:id="10" w:name="_Hlk105607531"/>
            <w:r>
              <w:rPr>
                <w:rFonts w:hint="eastAsia" w:ascii="宋体" w:hAnsi="宋体" w:eastAsia="Times New Roman"/>
                <w:b/>
                <w:bCs/>
                <w:sz w:val="21"/>
                <w:szCs w:val="21"/>
                <w:highlight w:val="none"/>
              </w:rPr>
              <w:t>表</w:t>
            </w:r>
            <w:r>
              <w:rPr>
                <w:rFonts w:hint="default" w:ascii="Times New Roman" w:hAnsi="Times New Roman" w:eastAsia="Times New Roman" w:cs="Times New Roman"/>
                <w:b/>
                <w:bCs/>
                <w:sz w:val="21"/>
                <w:szCs w:val="21"/>
                <w:highlight w:val="none"/>
              </w:rPr>
              <w:t>4-</w:t>
            </w:r>
            <w:r>
              <w:rPr>
                <w:rFonts w:hint="default" w:ascii="Times New Roman" w:hAnsi="Times New Roman" w:cs="Times New Roman"/>
                <w:b/>
                <w:bCs/>
                <w:sz w:val="21"/>
                <w:szCs w:val="21"/>
                <w:highlight w:val="none"/>
                <w:lang w:val="en-US" w:eastAsia="zh-CN"/>
              </w:rPr>
              <w:t>10</w:t>
            </w:r>
            <w:r>
              <w:rPr>
                <w:rFonts w:hint="default" w:ascii="Times New Roman" w:hAnsi="Times New Roman" w:eastAsia="Times New Roman" w:cs="Times New Roman"/>
                <w:b/>
                <w:bCs/>
                <w:sz w:val="21"/>
                <w:szCs w:val="21"/>
                <w:highlight w:val="none"/>
              </w:rPr>
              <w:t xml:space="preserve"> </w:t>
            </w:r>
            <w:r>
              <w:rPr>
                <w:rFonts w:ascii="宋体" w:hAnsi="宋体" w:eastAsia="Times New Roman"/>
                <w:b/>
                <w:bCs/>
                <w:sz w:val="21"/>
                <w:szCs w:val="21"/>
                <w:highlight w:val="none"/>
              </w:rPr>
              <w:t xml:space="preserve"> </w:t>
            </w:r>
            <w:r>
              <w:rPr>
                <w:rFonts w:hint="eastAsia" w:ascii="宋体" w:hAnsi="宋体" w:eastAsia="Times New Roman"/>
                <w:b/>
                <w:bCs/>
                <w:sz w:val="21"/>
                <w:szCs w:val="21"/>
                <w:highlight w:val="none"/>
              </w:rPr>
              <w:t>拟建项目地下水、土壤污染源、类型及途径一览表</w:t>
            </w:r>
          </w:p>
          <w:tbl>
            <w:tblPr>
              <w:tblStyle w:val="30"/>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2610"/>
              <w:gridCol w:w="1845"/>
              <w:gridCol w:w="1213"/>
            </w:tblGrid>
            <w:tr w14:paraId="490C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901" w:type="dxa"/>
                  <w:gridSpan w:val="2"/>
                  <w:vAlign w:val="center"/>
                </w:tcPr>
                <w:p w14:paraId="21EB0187">
                  <w:pPr>
                    <w:pStyle w:val="55"/>
                    <w:rPr>
                      <w:highlight w:val="none"/>
                    </w:rPr>
                  </w:pPr>
                  <w:r>
                    <w:rPr>
                      <w:rFonts w:hint="eastAsia"/>
                      <w:highlight w:val="none"/>
                    </w:rPr>
                    <w:t>污染源</w:t>
                  </w:r>
                </w:p>
              </w:tc>
              <w:tc>
                <w:tcPr>
                  <w:tcW w:w="1845" w:type="dxa"/>
                  <w:vMerge w:val="restart"/>
                  <w:vAlign w:val="center"/>
                </w:tcPr>
                <w:p w14:paraId="4FA660F3">
                  <w:pPr>
                    <w:pStyle w:val="55"/>
                    <w:rPr>
                      <w:highlight w:val="none"/>
                    </w:rPr>
                  </w:pPr>
                  <w:r>
                    <w:rPr>
                      <w:rFonts w:hint="eastAsia"/>
                      <w:highlight w:val="none"/>
                    </w:rPr>
                    <w:t>污染物类型</w:t>
                  </w:r>
                </w:p>
              </w:tc>
              <w:tc>
                <w:tcPr>
                  <w:tcW w:w="1213" w:type="dxa"/>
                  <w:vMerge w:val="restart"/>
                  <w:vAlign w:val="center"/>
                </w:tcPr>
                <w:p w14:paraId="3CE21A00">
                  <w:pPr>
                    <w:pStyle w:val="55"/>
                    <w:rPr>
                      <w:highlight w:val="none"/>
                    </w:rPr>
                  </w:pPr>
                  <w:r>
                    <w:rPr>
                      <w:rFonts w:hint="eastAsia"/>
                      <w:highlight w:val="none"/>
                    </w:rPr>
                    <w:t>污染途径</w:t>
                  </w:r>
                </w:p>
              </w:tc>
            </w:tr>
            <w:tr w14:paraId="0D2C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1" w:type="dxa"/>
                  <w:vAlign w:val="center"/>
                </w:tcPr>
                <w:p w14:paraId="794D3730">
                  <w:pPr>
                    <w:pStyle w:val="55"/>
                    <w:rPr>
                      <w:highlight w:val="none"/>
                    </w:rPr>
                  </w:pPr>
                  <w:r>
                    <w:rPr>
                      <w:rFonts w:hint="eastAsia"/>
                      <w:highlight w:val="none"/>
                    </w:rPr>
                    <w:t>装置</w:t>
                  </w:r>
                </w:p>
              </w:tc>
              <w:tc>
                <w:tcPr>
                  <w:tcW w:w="2610" w:type="dxa"/>
                  <w:vAlign w:val="center"/>
                </w:tcPr>
                <w:p w14:paraId="224B14D1">
                  <w:pPr>
                    <w:pStyle w:val="55"/>
                    <w:rPr>
                      <w:highlight w:val="none"/>
                    </w:rPr>
                  </w:pPr>
                  <w:r>
                    <w:rPr>
                      <w:rFonts w:hint="eastAsia"/>
                      <w:highlight w:val="none"/>
                    </w:rPr>
                    <w:t>节点</w:t>
                  </w:r>
                </w:p>
              </w:tc>
              <w:tc>
                <w:tcPr>
                  <w:tcW w:w="1845" w:type="dxa"/>
                  <w:vMerge w:val="continue"/>
                  <w:vAlign w:val="center"/>
                </w:tcPr>
                <w:p w14:paraId="356A4A74">
                  <w:pPr>
                    <w:pStyle w:val="55"/>
                    <w:rPr>
                      <w:highlight w:val="none"/>
                    </w:rPr>
                  </w:pPr>
                </w:p>
              </w:tc>
              <w:tc>
                <w:tcPr>
                  <w:tcW w:w="1213" w:type="dxa"/>
                  <w:vMerge w:val="continue"/>
                  <w:vAlign w:val="center"/>
                </w:tcPr>
                <w:p w14:paraId="49B70447">
                  <w:pPr>
                    <w:pStyle w:val="55"/>
                    <w:rPr>
                      <w:highlight w:val="none"/>
                    </w:rPr>
                  </w:pPr>
                </w:p>
              </w:tc>
            </w:tr>
            <w:tr w14:paraId="43F0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1" w:type="dxa"/>
                  <w:vAlign w:val="center"/>
                </w:tcPr>
                <w:p w14:paraId="6CAA8573">
                  <w:pPr>
                    <w:pStyle w:val="55"/>
                    <w:rPr>
                      <w:rFonts w:hint="eastAsia" w:eastAsia="宋体"/>
                      <w:highlight w:val="none"/>
                      <w:lang w:eastAsia="zh-CN"/>
                    </w:rPr>
                  </w:pPr>
                  <w:r>
                    <w:rPr>
                      <w:rFonts w:hint="eastAsia"/>
                      <w:highlight w:val="none"/>
                    </w:rPr>
                    <w:t>化粪池</w:t>
                  </w:r>
                </w:p>
              </w:tc>
              <w:tc>
                <w:tcPr>
                  <w:tcW w:w="2610" w:type="dxa"/>
                  <w:vAlign w:val="center"/>
                </w:tcPr>
                <w:p w14:paraId="64CE73F4">
                  <w:pPr>
                    <w:pStyle w:val="55"/>
                    <w:rPr>
                      <w:highlight w:val="none"/>
                    </w:rPr>
                  </w:pPr>
                  <w:r>
                    <w:rPr>
                      <w:rFonts w:hint="eastAsia"/>
                      <w:highlight w:val="none"/>
                    </w:rPr>
                    <w:t>池体、池壁渗漏</w:t>
                  </w:r>
                </w:p>
              </w:tc>
              <w:tc>
                <w:tcPr>
                  <w:tcW w:w="1845" w:type="dxa"/>
                  <w:vAlign w:val="center"/>
                </w:tcPr>
                <w:p w14:paraId="5F433620">
                  <w:pPr>
                    <w:pStyle w:val="55"/>
                    <w:rPr>
                      <w:rFonts w:hint="default" w:eastAsia="宋体"/>
                      <w:highlight w:val="none"/>
                      <w:lang w:val="en-US" w:eastAsia="zh-CN"/>
                    </w:rPr>
                  </w:pPr>
                  <w:r>
                    <w:rPr>
                      <w:highlight w:val="none"/>
                    </w:rPr>
                    <w:t>COD、</w:t>
                  </w:r>
                  <w:r>
                    <w:rPr>
                      <w:rFonts w:hint="eastAsia"/>
                      <w:highlight w:val="none"/>
                    </w:rPr>
                    <w:t>S</w:t>
                  </w:r>
                  <w:r>
                    <w:rPr>
                      <w:highlight w:val="none"/>
                    </w:rPr>
                    <w:t>S</w:t>
                  </w:r>
                  <w:r>
                    <w:rPr>
                      <w:rFonts w:hint="eastAsia"/>
                      <w:highlight w:val="none"/>
                    </w:rPr>
                    <w:t>、</w:t>
                  </w:r>
                  <w:r>
                    <w:rPr>
                      <w:highlight w:val="none"/>
                    </w:rPr>
                    <w:t>氨氮</w:t>
                  </w:r>
                </w:p>
              </w:tc>
              <w:tc>
                <w:tcPr>
                  <w:tcW w:w="1213" w:type="dxa"/>
                  <w:vAlign w:val="center"/>
                </w:tcPr>
                <w:p w14:paraId="716765C3">
                  <w:pPr>
                    <w:pStyle w:val="55"/>
                    <w:rPr>
                      <w:color w:val="auto"/>
                      <w:highlight w:val="none"/>
                    </w:rPr>
                  </w:pPr>
                  <w:r>
                    <w:rPr>
                      <w:rFonts w:hint="eastAsia"/>
                      <w:color w:val="auto"/>
                      <w:highlight w:val="none"/>
                    </w:rPr>
                    <w:t>地面漫流</w:t>
                  </w:r>
                </w:p>
              </w:tc>
            </w:tr>
            <w:tr w14:paraId="6730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1" w:type="dxa"/>
                  <w:vAlign w:val="center"/>
                </w:tcPr>
                <w:p w14:paraId="084F5240">
                  <w:pPr>
                    <w:pStyle w:val="55"/>
                    <w:rPr>
                      <w:highlight w:val="none"/>
                    </w:rPr>
                  </w:pPr>
                  <w:r>
                    <w:rPr>
                      <w:rFonts w:hint="eastAsia"/>
                      <w:highlight w:val="none"/>
                    </w:rPr>
                    <w:t>危险废物</w:t>
                  </w:r>
                  <w:r>
                    <w:rPr>
                      <w:rFonts w:hint="eastAsia"/>
                      <w:highlight w:val="none"/>
                      <w:lang w:val="en-US" w:eastAsia="zh-CN"/>
                    </w:rPr>
                    <w:t>贮存库</w:t>
                  </w:r>
                </w:p>
              </w:tc>
              <w:tc>
                <w:tcPr>
                  <w:tcW w:w="2610" w:type="dxa"/>
                  <w:vAlign w:val="center"/>
                </w:tcPr>
                <w:p w14:paraId="66130B35">
                  <w:pPr>
                    <w:pStyle w:val="55"/>
                    <w:rPr>
                      <w:highlight w:val="none"/>
                    </w:rPr>
                  </w:pPr>
                  <w:r>
                    <w:rPr>
                      <w:rFonts w:hint="eastAsia"/>
                      <w:highlight w:val="none"/>
                    </w:rPr>
                    <w:t>危险废物</w:t>
                  </w:r>
                  <w:r>
                    <w:rPr>
                      <w:rFonts w:hint="eastAsia"/>
                      <w:highlight w:val="none"/>
                      <w:lang w:eastAsia="zh-CN"/>
                    </w:rPr>
                    <w:t>泄漏</w:t>
                  </w:r>
                  <w:r>
                    <w:rPr>
                      <w:rFonts w:hint="eastAsia"/>
                      <w:highlight w:val="none"/>
                    </w:rPr>
                    <w:t>、地坪下渗</w:t>
                  </w:r>
                </w:p>
              </w:tc>
              <w:tc>
                <w:tcPr>
                  <w:tcW w:w="1845" w:type="dxa"/>
                  <w:vAlign w:val="center"/>
                </w:tcPr>
                <w:p w14:paraId="03A1E5AC">
                  <w:pPr>
                    <w:pStyle w:val="55"/>
                    <w:rPr>
                      <w:highlight w:val="none"/>
                    </w:rPr>
                  </w:pPr>
                  <w:r>
                    <w:rPr>
                      <w:rFonts w:hint="eastAsia"/>
                      <w:highlight w:val="none"/>
                    </w:rPr>
                    <w:t>废矿物油</w:t>
                  </w:r>
                </w:p>
              </w:tc>
              <w:tc>
                <w:tcPr>
                  <w:tcW w:w="1213" w:type="dxa"/>
                  <w:vAlign w:val="center"/>
                </w:tcPr>
                <w:p w14:paraId="79368B95">
                  <w:pPr>
                    <w:pStyle w:val="55"/>
                    <w:rPr>
                      <w:color w:val="auto"/>
                      <w:highlight w:val="none"/>
                    </w:rPr>
                  </w:pPr>
                  <w:r>
                    <w:rPr>
                      <w:rFonts w:hint="eastAsia"/>
                      <w:color w:val="auto"/>
                      <w:highlight w:val="none"/>
                    </w:rPr>
                    <w:t>地面漫流</w:t>
                  </w:r>
                </w:p>
              </w:tc>
            </w:tr>
            <w:bookmarkEnd w:id="10"/>
          </w:tbl>
          <w:p w14:paraId="3197C467">
            <w:pPr>
              <w:ind w:firstLine="480"/>
              <w:rPr>
                <w:highlight w:val="none"/>
              </w:rPr>
            </w:pPr>
            <w:r>
              <w:rPr>
                <w:rFonts w:hint="eastAsia"/>
                <w:highlight w:val="none"/>
              </w:rPr>
              <w:t>（</w:t>
            </w:r>
            <w:r>
              <w:rPr>
                <w:highlight w:val="none"/>
              </w:rPr>
              <w:t>2</w:t>
            </w:r>
            <w:r>
              <w:rPr>
                <w:rFonts w:hint="eastAsia"/>
                <w:highlight w:val="none"/>
              </w:rPr>
              <w:t>）项目主要防渗措施</w:t>
            </w:r>
          </w:p>
          <w:p w14:paraId="26567CA9">
            <w:pPr>
              <w:ind w:firstLine="480"/>
              <w:rPr>
                <w:highlight w:val="none"/>
              </w:rPr>
            </w:pPr>
            <w:r>
              <w:rPr>
                <w:rFonts w:hint="eastAsia"/>
                <w:highlight w:val="none"/>
              </w:rPr>
              <w:t>本项目采取的分区防渗措施，项目分区防渗划分为重点防渗区、一般防渗区和简单防渗区，具体分区防渗详见表4-</w:t>
            </w:r>
            <w:r>
              <w:rPr>
                <w:rFonts w:hint="eastAsia"/>
                <w:highlight w:val="none"/>
                <w:lang w:val="en-US" w:eastAsia="zh-CN"/>
              </w:rPr>
              <w:t>11</w:t>
            </w:r>
            <w:r>
              <w:rPr>
                <w:rFonts w:hint="eastAsia"/>
                <w:highlight w:val="none"/>
              </w:rPr>
              <w:t>。</w:t>
            </w:r>
          </w:p>
          <w:p w14:paraId="5EF91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Times New Roman"/>
                <w:b/>
                <w:bCs/>
                <w:highlight w:val="none"/>
              </w:rPr>
            </w:pPr>
            <w:r>
              <w:rPr>
                <w:rFonts w:hint="default" w:ascii="Times New Roman" w:hAnsi="Times New Roman" w:eastAsia="Times New Roman" w:cs="Times New Roman"/>
                <w:b/>
                <w:bCs/>
                <w:sz w:val="21"/>
                <w:szCs w:val="21"/>
                <w:highlight w:val="none"/>
              </w:rPr>
              <w:t>表4-</w:t>
            </w:r>
            <w:r>
              <w:rPr>
                <w:rFonts w:hint="default" w:ascii="Times New Roman" w:hAnsi="Times New Roman" w:eastAsia="宋体" w:cs="Times New Roman"/>
                <w:b/>
                <w:bCs/>
                <w:sz w:val="21"/>
                <w:szCs w:val="21"/>
                <w:highlight w:val="none"/>
                <w:lang w:val="en-US" w:eastAsia="zh-CN"/>
              </w:rPr>
              <w:t>1</w:t>
            </w:r>
            <w:r>
              <w:rPr>
                <w:rFonts w:hint="default" w:ascii="Times New Roman" w:hAnsi="Times New Roman" w:cs="Times New Roman"/>
                <w:b/>
                <w:bCs/>
                <w:sz w:val="21"/>
                <w:szCs w:val="21"/>
                <w:highlight w:val="none"/>
                <w:lang w:val="en-US" w:eastAsia="zh-CN"/>
              </w:rPr>
              <w:t>1</w:t>
            </w:r>
            <w:r>
              <w:rPr>
                <w:rFonts w:hint="default" w:ascii="Times New Roman" w:hAnsi="Times New Roman" w:eastAsia="Times New Roman" w:cs="Times New Roman"/>
                <w:b/>
                <w:bCs/>
                <w:sz w:val="21"/>
                <w:szCs w:val="21"/>
                <w:highlight w:val="none"/>
              </w:rPr>
              <w:t xml:space="preserve">  污染防渗分区防控一览表</w:t>
            </w:r>
          </w:p>
          <w:tbl>
            <w:tblPr>
              <w:tblStyle w:val="30"/>
              <w:tblW w:w="812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200"/>
              <w:gridCol w:w="3630"/>
              <w:gridCol w:w="2239"/>
            </w:tblGrid>
            <w:tr w14:paraId="02AE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vAlign w:val="center"/>
                </w:tcPr>
                <w:p w14:paraId="16415092">
                  <w:pPr>
                    <w:pStyle w:val="55"/>
                    <w:rPr>
                      <w:highlight w:val="none"/>
                    </w:rPr>
                  </w:pPr>
                  <w:r>
                    <w:rPr>
                      <w:rFonts w:hint="eastAsia"/>
                      <w:highlight w:val="none"/>
                    </w:rPr>
                    <w:t>防渗分区</w:t>
                  </w:r>
                </w:p>
              </w:tc>
              <w:tc>
                <w:tcPr>
                  <w:tcW w:w="1200" w:type="dxa"/>
                  <w:vAlign w:val="center"/>
                </w:tcPr>
                <w:p w14:paraId="62BCBC44">
                  <w:pPr>
                    <w:pStyle w:val="55"/>
                    <w:rPr>
                      <w:highlight w:val="none"/>
                    </w:rPr>
                  </w:pPr>
                  <w:r>
                    <w:rPr>
                      <w:rFonts w:hint="eastAsia"/>
                      <w:highlight w:val="none"/>
                    </w:rPr>
                    <w:t>防渗区域</w:t>
                  </w:r>
                </w:p>
              </w:tc>
              <w:tc>
                <w:tcPr>
                  <w:tcW w:w="3630" w:type="dxa"/>
                  <w:vAlign w:val="center"/>
                </w:tcPr>
                <w:p w14:paraId="7D8F64A0">
                  <w:pPr>
                    <w:pStyle w:val="55"/>
                    <w:rPr>
                      <w:highlight w:val="none"/>
                    </w:rPr>
                  </w:pPr>
                  <w:r>
                    <w:rPr>
                      <w:rFonts w:hint="eastAsia"/>
                      <w:highlight w:val="none"/>
                    </w:rPr>
                    <w:t>防渗要求</w:t>
                  </w:r>
                </w:p>
              </w:tc>
              <w:tc>
                <w:tcPr>
                  <w:tcW w:w="2239" w:type="dxa"/>
                  <w:vAlign w:val="center"/>
                </w:tcPr>
                <w:p w14:paraId="01144BDC">
                  <w:pPr>
                    <w:pStyle w:val="55"/>
                    <w:rPr>
                      <w:highlight w:val="none"/>
                    </w:rPr>
                  </w:pPr>
                  <w:r>
                    <w:rPr>
                      <w:rFonts w:hint="eastAsia"/>
                      <w:highlight w:val="none"/>
                    </w:rPr>
                    <w:t>执行标准</w:t>
                  </w:r>
                </w:p>
              </w:tc>
            </w:tr>
            <w:tr w14:paraId="24D0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vAlign w:val="center"/>
                </w:tcPr>
                <w:p w14:paraId="0A382A2E">
                  <w:pPr>
                    <w:pStyle w:val="55"/>
                    <w:rPr>
                      <w:highlight w:val="none"/>
                    </w:rPr>
                  </w:pPr>
                  <w:r>
                    <w:rPr>
                      <w:rFonts w:hint="eastAsia"/>
                      <w:highlight w:val="none"/>
                    </w:rPr>
                    <w:t>重点防渗区</w:t>
                  </w:r>
                </w:p>
              </w:tc>
              <w:tc>
                <w:tcPr>
                  <w:tcW w:w="1200" w:type="dxa"/>
                  <w:vAlign w:val="center"/>
                </w:tcPr>
                <w:p w14:paraId="27B6EBD5">
                  <w:pPr>
                    <w:pStyle w:val="55"/>
                    <w:rPr>
                      <w:highlight w:val="none"/>
                    </w:rPr>
                  </w:pPr>
                  <w:r>
                    <w:rPr>
                      <w:rFonts w:hint="eastAsia"/>
                      <w:highlight w:val="none"/>
                    </w:rPr>
                    <w:t>危险废物</w:t>
                  </w:r>
                  <w:r>
                    <w:rPr>
                      <w:rFonts w:hint="eastAsia"/>
                      <w:highlight w:val="none"/>
                      <w:lang w:val="en-US" w:eastAsia="zh-CN"/>
                    </w:rPr>
                    <w:t>贮存库</w:t>
                  </w:r>
                </w:p>
              </w:tc>
              <w:tc>
                <w:tcPr>
                  <w:tcW w:w="3630" w:type="dxa"/>
                  <w:vAlign w:val="center"/>
                </w:tcPr>
                <w:p w14:paraId="2F820FA9">
                  <w:pPr>
                    <w:pStyle w:val="55"/>
                    <w:rPr>
                      <w:highlight w:val="none"/>
                    </w:rPr>
                  </w:pPr>
                  <w:r>
                    <w:rPr>
                      <w:rFonts w:hint="eastAsia"/>
                      <w:highlight w:val="none"/>
                    </w:rPr>
                    <w:t>基础防渗，防渗层为至少</w:t>
                  </w:r>
                  <w:r>
                    <w:rPr>
                      <w:highlight w:val="none"/>
                    </w:rPr>
                    <w:t>1m</w:t>
                  </w:r>
                  <w:r>
                    <w:rPr>
                      <w:rFonts w:hint="eastAsia"/>
                      <w:highlight w:val="none"/>
                    </w:rPr>
                    <w:t>厚黏土层（渗透系数不大于</w:t>
                  </w:r>
                  <w:r>
                    <w:rPr>
                      <w:highlight w:val="none"/>
                    </w:rPr>
                    <w:t>10</w:t>
                  </w:r>
                  <w:r>
                    <w:rPr>
                      <w:highlight w:val="none"/>
                      <w:vertAlign w:val="superscript"/>
                    </w:rPr>
                    <w:t>-7</w:t>
                  </w:r>
                  <w:r>
                    <w:rPr>
                      <w:highlight w:val="none"/>
                    </w:rPr>
                    <w:t>cm/s</w:t>
                  </w:r>
                  <w:r>
                    <w:rPr>
                      <w:rFonts w:hint="eastAsia"/>
                      <w:highlight w:val="none"/>
                    </w:rPr>
                    <w:t>），或至少</w:t>
                  </w:r>
                  <w:r>
                    <w:rPr>
                      <w:highlight w:val="none"/>
                    </w:rPr>
                    <w:t>2mm</w:t>
                  </w:r>
                  <w:r>
                    <w:rPr>
                      <w:rFonts w:hint="eastAsia"/>
                      <w:highlight w:val="none"/>
                    </w:rPr>
                    <w:t>厚高密度聚乙烯膜等人工防渗材料（渗透系数不大于</w:t>
                  </w:r>
                  <w:r>
                    <w:rPr>
                      <w:highlight w:val="none"/>
                    </w:rPr>
                    <w:t>10</w:t>
                  </w:r>
                  <w:r>
                    <w:rPr>
                      <w:highlight w:val="none"/>
                      <w:vertAlign w:val="superscript"/>
                    </w:rPr>
                    <w:t>-10</w:t>
                  </w:r>
                  <w:r>
                    <w:rPr>
                      <w:highlight w:val="none"/>
                    </w:rPr>
                    <w:t>cm/s</w:t>
                  </w:r>
                  <w:r>
                    <w:rPr>
                      <w:rFonts w:hint="eastAsia"/>
                      <w:highlight w:val="none"/>
                    </w:rPr>
                    <w:t>），或其他防渗性能等效的材料。贮存设施地面与裙脚应采取表面防渗措施；表面防渗材料应与所接触的物料或污染物相容，可采用抗渗混凝土、高密度聚乙烯膜、钠基膨润土防水毯或其他防渗性能等效的材料。</w:t>
                  </w:r>
                </w:p>
              </w:tc>
              <w:tc>
                <w:tcPr>
                  <w:tcW w:w="2239" w:type="dxa"/>
                  <w:vAlign w:val="center"/>
                </w:tcPr>
                <w:p w14:paraId="2B9F997E">
                  <w:pPr>
                    <w:pStyle w:val="55"/>
                    <w:rPr>
                      <w:highlight w:val="none"/>
                    </w:rPr>
                  </w:pPr>
                  <w:r>
                    <w:rPr>
                      <w:highlight w:val="none"/>
                    </w:rPr>
                    <w:t>《危险废物贮存污染控制标准》（</w:t>
                  </w:r>
                  <w:r>
                    <w:rPr>
                      <w:rFonts w:hint="eastAsia"/>
                      <w:highlight w:val="none"/>
                    </w:rPr>
                    <w:t>GB18597-2023</w:t>
                  </w:r>
                  <w:r>
                    <w:rPr>
                      <w:highlight w:val="none"/>
                    </w:rPr>
                    <w:t>）</w:t>
                  </w:r>
                </w:p>
              </w:tc>
            </w:tr>
            <w:tr w14:paraId="6A7A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vAlign w:val="center"/>
                </w:tcPr>
                <w:p w14:paraId="63786DD2">
                  <w:pPr>
                    <w:pStyle w:val="55"/>
                    <w:rPr>
                      <w:highlight w:val="none"/>
                    </w:rPr>
                  </w:pPr>
                  <w:r>
                    <w:rPr>
                      <w:rFonts w:hint="eastAsia"/>
                      <w:highlight w:val="none"/>
                    </w:rPr>
                    <w:t>一般防渗区</w:t>
                  </w:r>
                </w:p>
              </w:tc>
              <w:tc>
                <w:tcPr>
                  <w:tcW w:w="1200" w:type="dxa"/>
                  <w:vAlign w:val="center"/>
                </w:tcPr>
                <w:p w14:paraId="1E1A0A87">
                  <w:pPr>
                    <w:pStyle w:val="55"/>
                    <w:rPr>
                      <w:highlight w:val="none"/>
                    </w:rPr>
                  </w:pPr>
                  <w:r>
                    <w:rPr>
                      <w:rFonts w:hint="eastAsia"/>
                      <w:highlight w:val="none"/>
                    </w:rPr>
                    <w:t>化粪池</w:t>
                  </w:r>
                </w:p>
              </w:tc>
              <w:tc>
                <w:tcPr>
                  <w:tcW w:w="3630" w:type="dxa"/>
                  <w:vAlign w:val="center"/>
                </w:tcPr>
                <w:p w14:paraId="68128C78">
                  <w:pPr>
                    <w:pStyle w:val="55"/>
                    <w:rPr>
                      <w:highlight w:val="none"/>
                    </w:rPr>
                  </w:pPr>
                  <w:r>
                    <w:rPr>
                      <w:highlight w:val="none"/>
                    </w:rPr>
                    <w:t>等效黏土防渗层Mb</w:t>
                  </w:r>
                  <w:r>
                    <w:rPr>
                      <w:rFonts w:hint="eastAsia"/>
                      <w:highlight w:val="none"/>
                    </w:rPr>
                    <w:t>≧</w:t>
                  </w:r>
                  <w:r>
                    <w:rPr>
                      <w:highlight w:val="none"/>
                    </w:rPr>
                    <w:t>1.5m</w:t>
                  </w:r>
                  <w:r>
                    <w:rPr>
                      <w:rFonts w:hint="eastAsia"/>
                      <w:highlight w:val="none"/>
                    </w:rPr>
                    <w:t>，</w:t>
                  </w:r>
                  <w:r>
                    <w:rPr>
                      <w:highlight w:val="none"/>
                    </w:rPr>
                    <w:t>K≤1.0×10-7cm/s</w:t>
                  </w:r>
                </w:p>
              </w:tc>
              <w:tc>
                <w:tcPr>
                  <w:tcW w:w="2239" w:type="dxa"/>
                  <w:vMerge w:val="restart"/>
                  <w:vAlign w:val="center"/>
                </w:tcPr>
                <w:p w14:paraId="2AA3D6F9">
                  <w:pPr>
                    <w:pStyle w:val="55"/>
                    <w:rPr>
                      <w:highlight w:val="none"/>
                    </w:rPr>
                  </w:pPr>
                  <w:r>
                    <w:rPr>
                      <w:rFonts w:hint="eastAsia"/>
                      <w:highlight w:val="none"/>
                    </w:rPr>
                    <w:t>《环境影响评价技术导则 地下水环境》HJ 610-2016</w:t>
                  </w:r>
                </w:p>
              </w:tc>
            </w:tr>
            <w:tr w14:paraId="5840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vAlign w:val="center"/>
                </w:tcPr>
                <w:p w14:paraId="06F80B41">
                  <w:pPr>
                    <w:pStyle w:val="55"/>
                    <w:rPr>
                      <w:highlight w:val="none"/>
                    </w:rPr>
                  </w:pPr>
                  <w:r>
                    <w:rPr>
                      <w:rFonts w:hint="eastAsia"/>
                      <w:highlight w:val="none"/>
                    </w:rPr>
                    <w:t>简单防渗区</w:t>
                  </w:r>
                </w:p>
              </w:tc>
              <w:tc>
                <w:tcPr>
                  <w:tcW w:w="1200" w:type="dxa"/>
                  <w:vAlign w:val="center"/>
                </w:tcPr>
                <w:p w14:paraId="74D4605A">
                  <w:pPr>
                    <w:pStyle w:val="55"/>
                    <w:rPr>
                      <w:highlight w:val="none"/>
                    </w:rPr>
                  </w:pPr>
                  <w:r>
                    <w:rPr>
                      <w:highlight w:val="none"/>
                    </w:rPr>
                    <w:t>除重点防渗区及一般防渗区外区域</w:t>
                  </w:r>
                </w:p>
              </w:tc>
              <w:tc>
                <w:tcPr>
                  <w:tcW w:w="3630" w:type="dxa"/>
                  <w:vAlign w:val="center"/>
                </w:tcPr>
                <w:p w14:paraId="12814F30">
                  <w:pPr>
                    <w:pStyle w:val="55"/>
                    <w:rPr>
                      <w:highlight w:val="none"/>
                    </w:rPr>
                  </w:pPr>
                  <w:r>
                    <w:rPr>
                      <w:rFonts w:hint="eastAsia"/>
                      <w:snapToGrid w:val="0"/>
                      <w:highlight w:val="none"/>
                    </w:rPr>
                    <w:t>一般地面硬化</w:t>
                  </w:r>
                </w:p>
              </w:tc>
              <w:tc>
                <w:tcPr>
                  <w:tcW w:w="2239" w:type="dxa"/>
                  <w:vMerge w:val="continue"/>
                  <w:vAlign w:val="center"/>
                </w:tcPr>
                <w:p w14:paraId="05C7ACE6">
                  <w:pPr>
                    <w:pStyle w:val="55"/>
                    <w:rPr>
                      <w:highlight w:val="none"/>
                    </w:rPr>
                  </w:pPr>
                </w:p>
              </w:tc>
            </w:tr>
          </w:tbl>
          <w:p w14:paraId="414C66FC">
            <w:pPr>
              <w:ind w:firstLine="480"/>
              <w:rPr>
                <w:rFonts w:hint="eastAsia"/>
                <w:color w:val="000000"/>
                <w:highlight w:val="none"/>
              </w:rPr>
            </w:pPr>
            <w:r>
              <w:rPr>
                <w:rFonts w:hint="eastAsia"/>
                <w:color w:val="000000"/>
                <w:highlight w:val="none"/>
              </w:rPr>
              <w:t>拟建项目化粪池采取一般防渗措施，危险废物</w:t>
            </w:r>
            <w:r>
              <w:rPr>
                <w:rFonts w:hint="eastAsia"/>
                <w:highlight w:val="none"/>
                <w:lang w:val="en-US" w:eastAsia="zh-CN"/>
              </w:rPr>
              <w:t>贮存库</w:t>
            </w:r>
            <w:r>
              <w:rPr>
                <w:rFonts w:hint="eastAsia"/>
                <w:color w:val="000000"/>
                <w:highlight w:val="none"/>
              </w:rPr>
              <w:t>采取重点防渗措施，通过采取上述措施后，拟建项目</w:t>
            </w:r>
            <w:r>
              <w:rPr>
                <w:rFonts w:hint="eastAsia"/>
                <w:color w:val="000000"/>
                <w:highlight w:val="none"/>
                <w:lang w:val="en-US" w:eastAsia="zh-CN"/>
              </w:rPr>
              <w:t>正常情况下</w:t>
            </w:r>
            <w:r>
              <w:rPr>
                <w:rFonts w:hint="eastAsia"/>
                <w:color w:val="000000"/>
                <w:highlight w:val="none"/>
              </w:rPr>
              <w:t>营运对地下水和土壤的影响较小。</w:t>
            </w:r>
          </w:p>
          <w:p w14:paraId="5DE17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Times New Roman" w:cs="Times New Roman"/>
                <w:b/>
                <w:bCs/>
                <w:sz w:val="21"/>
                <w:szCs w:val="21"/>
                <w:highlight w:val="none"/>
              </w:rPr>
              <w:t>表4-</w:t>
            </w:r>
            <w:r>
              <w:rPr>
                <w:rFonts w:hint="default" w:ascii="Times New Roman" w:hAnsi="Times New Roman" w:eastAsia="宋体" w:cs="Times New Roman"/>
                <w:b/>
                <w:bCs/>
                <w:sz w:val="21"/>
                <w:szCs w:val="21"/>
                <w:highlight w:val="none"/>
                <w:lang w:val="en-US" w:eastAsia="zh-CN"/>
              </w:rPr>
              <w:t>1</w:t>
            </w:r>
            <w:r>
              <w:rPr>
                <w:rFonts w:hint="default" w:ascii="Times New Roman" w:hAnsi="Times New Roman" w:cs="Times New Roman"/>
                <w:b/>
                <w:bCs/>
                <w:sz w:val="21"/>
                <w:szCs w:val="21"/>
                <w:highlight w:val="none"/>
                <w:lang w:val="en-US" w:eastAsia="zh-CN"/>
              </w:rPr>
              <w:t>2</w:t>
            </w:r>
            <w:r>
              <w:rPr>
                <w:rFonts w:hint="default" w:ascii="Times New Roman" w:hAnsi="Times New Roman" w:eastAsia="Times New Roman" w:cs="Times New Roman"/>
                <w:b/>
                <w:bCs/>
                <w:sz w:val="21"/>
                <w:szCs w:val="21"/>
                <w:highlight w:val="none"/>
              </w:rPr>
              <w:t xml:space="preserve">  </w:t>
            </w:r>
            <w:r>
              <w:rPr>
                <w:rFonts w:hint="default" w:ascii="Times New Roman" w:hAnsi="Times New Roman" w:eastAsia="宋体" w:cs="Times New Roman"/>
                <w:b/>
                <w:bCs/>
                <w:sz w:val="21"/>
                <w:szCs w:val="21"/>
                <w:highlight w:val="none"/>
                <w:lang w:val="en-US" w:eastAsia="zh-CN"/>
              </w:rPr>
              <w:t>事故状态下土壤、地下水跟踪监测一览表</w:t>
            </w:r>
          </w:p>
          <w:tbl>
            <w:tblPr>
              <w:tblStyle w:val="30"/>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2376"/>
              <w:gridCol w:w="1824"/>
              <w:gridCol w:w="2282"/>
            </w:tblGrid>
            <w:tr w14:paraId="3B39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vAlign w:val="center"/>
                </w:tcPr>
                <w:p w14:paraId="21474E16">
                  <w:pPr>
                    <w:pStyle w:val="55"/>
                    <w:rPr>
                      <w:rFonts w:hint="default" w:eastAsia="宋体"/>
                      <w:highlight w:val="none"/>
                      <w:lang w:val="en-US" w:eastAsia="zh-CN"/>
                    </w:rPr>
                  </w:pPr>
                  <w:r>
                    <w:rPr>
                      <w:rFonts w:hint="eastAsia"/>
                      <w:highlight w:val="none"/>
                      <w:lang w:val="en-US" w:eastAsia="zh-CN"/>
                    </w:rPr>
                    <w:t>事故状态</w:t>
                  </w:r>
                </w:p>
              </w:tc>
              <w:tc>
                <w:tcPr>
                  <w:tcW w:w="2376" w:type="dxa"/>
                  <w:vAlign w:val="center"/>
                </w:tcPr>
                <w:p w14:paraId="09F9A404">
                  <w:pPr>
                    <w:pStyle w:val="55"/>
                    <w:rPr>
                      <w:highlight w:val="none"/>
                    </w:rPr>
                  </w:pPr>
                  <w:r>
                    <w:rPr>
                      <w:rFonts w:hint="eastAsia"/>
                      <w:highlight w:val="none"/>
                      <w:lang w:val="en-US" w:eastAsia="zh-CN"/>
                    </w:rPr>
                    <w:t>监测点数</w:t>
                  </w:r>
                </w:p>
              </w:tc>
              <w:tc>
                <w:tcPr>
                  <w:tcW w:w="1824" w:type="dxa"/>
                  <w:vAlign w:val="center"/>
                </w:tcPr>
                <w:p w14:paraId="025833DE">
                  <w:pPr>
                    <w:pStyle w:val="55"/>
                    <w:rPr>
                      <w:rFonts w:hint="eastAsia" w:eastAsia="宋体"/>
                      <w:highlight w:val="none"/>
                      <w:lang w:eastAsia="zh-CN"/>
                    </w:rPr>
                  </w:pPr>
                  <w:r>
                    <w:rPr>
                      <w:rFonts w:hint="eastAsia"/>
                      <w:highlight w:val="none"/>
                      <w:lang w:val="en-US" w:eastAsia="zh-CN"/>
                    </w:rPr>
                    <w:t>监测内容</w:t>
                  </w:r>
                </w:p>
              </w:tc>
              <w:tc>
                <w:tcPr>
                  <w:tcW w:w="2282" w:type="dxa"/>
                  <w:vAlign w:val="center"/>
                </w:tcPr>
                <w:p w14:paraId="3922DC32">
                  <w:pPr>
                    <w:pStyle w:val="55"/>
                    <w:rPr>
                      <w:rFonts w:hint="default" w:eastAsia="宋体"/>
                      <w:highlight w:val="none"/>
                      <w:lang w:val="en-US" w:eastAsia="zh-CN"/>
                    </w:rPr>
                  </w:pPr>
                  <w:r>
                    <w:rPr>
                      <w:rFonts w:hint="eastAsia"/>
                      <w:highlight w:val="none"/>
                      <w:lang w:val="en-US" w:eastAsia="zh-CN"/>
                    </w:rPr>
                    <w:t>技术规范</w:t>
                  </w:r>
                </w:p>
              </w:tc>
            </w:tr>
            <w:tr w14:paraId="7051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vMerge w:val="restart"/>
                  <w:vAlign w:val="center"/>
                </w:tcPr>
                <w:p w14:paraId="7D6B600B">
                  <w:pPr>
                    <w:pStyle w:val="55"/>
                    <w:rPr>
                      <w:rFonts w:hint="default" w:eastAsia="宋体"/>
                      <w:highlight w:val="none"/>
                      <w:lang w:val="en-US" w:eastAsia="zh-CN"/>
                    </w:rPr>
                  </w:pPr>
                  <w:r>
                    <w:rPr>
                      <w:rFonts w:hint="eastAsia"/>
                      <w:highlight w:val="none"/>
                      <w:lang w:val="en-US" w:eastAsia="zh-CN"/>
                    </w:rPr>
                    <w:t>危险废物贮存库地面破损、发生火灾等其他环境风险事故</w:t>
                  </w:r>
                </w:p>
              </w:tc>
              <w:tc>
                <w:tcPr>
                  <w:tcW w:w="2376" w:type="dxa"/>
                  <w:vAlign w:val="center"/>
                </w:tcPr>
                <w:p w14:paraId="0FC9FCC0">
                  <w:pPr>
                    <w:pStyle w:val="55"/>
                    <w:rPr>
                      <w:highlight w:val="none"/>
                    </w:rPr>
                  </w:pPr>
                  <w:r>
                    <w:rPr>
                      <w:highlight w:val="none"/>
                    </w:rPr>
                    <w:t>场界外设置</w:t>
                  </w:r>
                  <w:r>
                    <w:rPr>
                      <w:rFonts w:hint="default"/>
                      <w:highlight w:val="none"/>
                    </w:rPr>
                    <w:t>1</w:t>
                  </w:r>
                  <w:r>
                    <w:rPr>
                      <w:highlight w:val="none"/>
                    </w:rPr>
                    <w:t>个土壤对照点；</w:t>
                  </w:r>
                  <w:r>
                    <w:rPr>
                      <w:rFonts w:hint="eastAsia"/>
                      <w:highlight w:val="none"/>
                      <w:lang w:val="en-US" w:eastAsia="zh-CN"/>
                    </w:rPr>
                    <w:t>事故区</w:t>
                  </w:r>
                  <w:r>
                    <w:rPr>
                      <w:highlight w:val="none"/>
                    </w:rPr>
                    <w:t>附近设置</w:t>
                  </w:r>
                  <w:r>
                    <w:rPr>
                      <w:rFonts w:hint="default"/>
                      <w:highlight w:val="none"/>
                    </w:rPr>
                    <w:t>1</w:t>
                  </w:r>
                  <w:r>
                    <w:rPr>
                      <w:highlight w:val="none"/>
                    </w:rPr>
                    <w:t>个土壤监测点</w:t>
                  </w:r>
                </w:p>
              </w:tc>
              <w:tc>
                <w:tcPr>
                  <w:tcW w:w="1824" w:type="dxa"/>
                  <w:vMerge w:val="restart"/>
                  <w:vAlign w:val="center"/>
                </w:tcPr>
                <w:p w14:paraId="1AE94750">
                  <w:pPr>
                    <w:pStyle w:val="55"/>
                    <w:rPr>
                      <w:rFonts w:hint="default" w:eastAsia="宋体"/>
                      <w:highlight w:val="none"/>
                      <w:lang w:val="en-US" w:eastAsia="zh-CN"/>
                    </w:rPr>
                  </w:pPr>
                  <w:r>
                    <w:rPr>
                      <w:rFonts w:hint="eastAsia"/>
                      <w:highlight w:val="none"/>
                      <w:lang w:val="en-US" w:eastAsia="zh-CN"/>
                    </w:rPr>
                    <w:t>COD、BOD</w:t>
                  </w:r>
                  <w:r>
                    <w:rPr>
                      <w:rFonts w:hint="eastAsia"/>
                      <w:highlight w:val="none"/>
                      <w:vertAlign w:val="subscript"/>
                      <w:lang w:val="en-US" w:eastAsia="zh-CN"/>
                    </w:rPr>
                    <w:t>5</w:t>
                  </w:r>
                  <w:r>
                    <w:rPr>
                      <w:rFonts w:hint="eastAsia"/>
                      <w:highlight w:val="none"/>
                      <w:lang w:val="en-US" w:eastAsia="zh-CN"/>
                    </w:rPr>
                    <w:t>、氨氮、石油类</w:t>
                  </w:r>
                </w:p>
              </w:tc>
              <w:tc>
                <w:tcPr>
                  <w:tcW w:w="2282" w:type="dxa"/>
                  <w:vAlign w:val="center"/>
                </w:tcPr>
                <w:p w14:paraId="0E9B802A">
                  <w:pPr>
                    <w:pStyle w:val="55"/>
                    <w:rPr>
                      <w:highlight w:val="none"/>
                    </w:rPr>
                  </w:pPr>
                  <w:r>
                    <w:rPr>
                      <w:rFonts w:hint="eastAsia" w:ascii="宋体" w:hAnsi="宋体" w:cs="宋体"/>
                      <w:color w:val="000000"/>
                      <w:kern w:val="0"/>
                      <w:highlight w:val="none"/>
                      <w:lang w:bidi="ar"/>
                    </w:rPr>
                    <w:t>《环境影响评价技术导则 土壤环境（试行）》</w:t>
                  </w:r>
                  <w:r>
                    <w:rPr>
                      <w:rFonts w:hint="eastAsia" w:ascii="宋体" w:hAnsi="宋体" w:cs="宋体"/>
                      <w:color w:val="000000"/>
                      <w:kern w:val="0"/>
                      <w:highlight w:val="none"/>
                      <w:lang w:eastAsia="zh-CN" w:bidi="ar"/>
                    </w:rPr>
                    <w:t>（</w:t>
                  </w:r>
                  <w:r>
                    <w:rPr>
                      <w:color w:val="000000"/>
                      <w:kern w:val="0"/>
                      <w:highlight w:val="none"/>
                      <w:lang w:bidi="ar"/>
                    </w:rPr>
                    <w:t>HJ964-2018)</w:t>
                  </w:r>
                </w:p>
              </w:tc>
            </w:tr>
            <w:tr w14:paraId="6EA3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54" w:type="dxa"/>
                  <w:vMerge w:val="continue"/>
                  <w:vAlign w:val="center"/>
                </w:tcPr>
                <w:p w14:paraId="18B0C41E">
                  <w:pPr>
                    <w:pStyle w:val="55"/>
                    <w:rPr>
                      <w:highlight w:val="none"/>
                    </w:rPr>
                  </w:pPr>
                </w:p>
              </w:tc>
              <w:tc>
                <w:tcPr>
                  <w:tcW w:w="2376" w:type="dxa"/>
                  <w:vAlign w:val="center"/>
                </w:tcPr>
                <w:p w14:paraId="5052578F">
                  <w:pPr>
                    <w:pStyle w:val="55"/>
                    <w:rPr>
                      <w:highlight w:val="none"/>
                    </w:rPr>
                  </w:pPr>
                  <w:r>
                    <w:rPr>
                      <w:rFonts w:hint="eastAsia"/>
                      <w:highlight w:val="none"/>
                      <w:lang w:val="en-US" w:eastAsia="zh-CN"/>
                    </w:rPr>
                    <w:t>事故区上游</w:t>
                  </w:r>
                  <w:r>
                    <w:rPr>
                      <w:rFonts w:hint="default"/>
                      <w:highlight w:val="none"/>
                    </w:rPr>
                    <w:t>1</w:t>
                  </w:r>
                  <w:r>
                    <w:rPr>
                      <w:highlight w:val="none"/>
                    </w:rPr>
                    <w:t>个</w:t>
                  </w:r>
                  <w:r>
                    <w:rPr>
                      <w:rFonts w:hint="eastAsia"/>
                      <w:highlight w:val="none"/>
                      <w:lang w:val="en-US" w:eastAsia="zh-CN"/>
                    </w:rPr>
                    <w:t>地下水监测井</w:t>
                  </w:r>
                  <w:r>
                    <w:rPr>
                      <w:highlight w:val="none"/>
                    </w:rPr>
                    <w:t>对照点；</w:t>
                  </w:r>
                  <w:r>
                    <w:rPr>
                      <w:rFonts w:hint="eastAsia"/>
                      <w:highlight w:val="none"/>
                      <w:lang w:val="en-US" w:eastAsia="zh-CN"/>
                    </w:rPr>
                    <w:t>事故区下游</w:t>
                  </w:r>
                  <w:r>
                    <w:rPr>
                      <w:highlight w:val="none"/>
                    </w:rPr>
                    <w:t>设置</w:t>
                  </w:r>
                  <w:r>
                    <w:rPr>
                      <w:rFonts w:hint="default"/>
                      <w:highlight w:val="none"/>
                    </w:rPr>
                    <w:t>1</w:t>
                  </w:r>
                  <w:r>
                    <w:rPr>
                      <w:highlight w:val="none"/>
                    </w:rPr>
                    <w:t>个</w:t>
                  </w:r>
                  <w:r>
                    <w:rPr>
                      <w:rFonts w:hint="eastAsia"/>
                      <w:highlight w:val="none"/>
                      <w:lang w:val="en-US" w:eastAsia="zh-CN"/>
                    </w:rPr>
                    <w:t>地下水</w:t>
                  </w:r>
                  <w:r>
                    <w:rPr>
                      <w:highlight w:val="none"/>
                    </w:rPr>
                    <w:t>监测点</w:t>
                  </w:r>
                </w:p>
              </w:tc>
              <w:tc>
                <w:tcPr>
                  <w:tcW w:w="1824" w:type="dxa"/>
                  <w:vMerge w:val="continue"/>
                  <w:vAlign w:val="center"/>
                </w:tcPr>
                <w:p w14:paraId="1BDE9EAF">
                  <w:pPr>
                    <w:pStyle w:val="55"/>
                    <w:rPr>
                      <w:highlight w:val="none"/>
                    </w:rPr>
                  </w:pPr>
                </w:p>
              </w:tc>
              <w:tc>
                <w:tcPr>
                  <w:tcW w:w="2282" w:type="dxa"/>
                  <w:vAlign w:val="center"/>
                </w:tcPr>
                <w:p w14:paraId="0CEBF0C6">
                  <w:pPr>
                    <w:pStyle w:val="55"/>
                    <w:rPr>
                      <w:highlight w:val="none"/>
                    </w:rPr>
                  </w:pPr>
                  <w:r>
                    <w:rPr>
                      <w:rFonts w:hint="eastAsia"/>
                      <w:highlight w:val="none"/>
                    </w:rPr>
                    <w:t>《环境影响评价技术导则 地下水环境》</w:t>
                  </w:r>
                  <w:r>
                    <w:rPr>
                      <w:rFonts w:hint="eastAsia"/>
                      <w:highlight w:val="none"/>
                      <w:lang w:eastAsia="zh-CN"/>
                    </w:rPr>
                    <w:t>（</w:t>
                  </w:r>
                  <w:r>
                    <w:rPr>
                      <w:rFonts w:hint="eastAsia"/>
                      <w:highlight w:val="none"/>
                    </w:rPr>
                    <w:t>HJ 610-2016</w:t>
                  </w:r>
                  <w:r>
                    <w:rPr>
                      <w:rFonts w:hint="eastAsia"/>
                      <w:highlight w:val="none"/>
                      <w:lang w:eastAsia="zh-CN"/>
                    </w:rPr>
                    <w:t>）</w:t>
                  </w:r>
                </w:p>
              </w:tc>
            </w:tr>
          </w:tbl>
          <w:p w14:paraId="2B17BBF2">
            <w:pPr>
              <w:pStyle w:val="3"/>
              <w:rPr>
                <w:highlight w:val="none"/>
              </w:rPr>
            </w:pPr>
            <w:r>
              <w:rPr>
                <w:rFonts w:hint="eastAsia" w:ascii="Times New Roman" w:hAnsi="Times New Roman" w:cs="Times New Roman"/>
                <w:highlight w:val="none"/>
              </w:rPr>
              <w:t>6</w:t>
            </w:r>
            <w:r>
              <w:rPr>
                <w:rFonts w:hint="eastAsia"/>
                <w:highlight w:val="none"/>
              </w:rPr>
              <w:t>环境风险分析</w:t>
            </w:r>
          </w:p>
          <w:p w14:paraId="48920A0E">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风险评价的目的是分析和预测建设项目存在的潜在危险、有害因素，项目建设和运行期间发生的可预测突发事件或事故（一般不包括人为破坏及自然灾害），引起有毒有害、易燃易爆等物质泄漏，或突发事件产生的新的有毒有害物质，所造成的对人身安全与环境的影响和损害程度，提出合理可行的防范、应急与减缓措施，以使建设项目事故率、损失和环境影响达到可接受水平。</w:t>
            </w:r>
          </w:p>
          <w:p w14:paraId="25989E71">
            <w:pPr>
              <w:ind w:firstLine="480"/>
              <w:rPr>
                <w:color w:val="000000" w:themeColor="text1"/>
                <w:highlight w:val="none"/>
                <w14:textFill>
                  <w14:solidFill>
                    <w14:schemeClr w14:val="tx1"/>
                  </w14:solidFill>
                </w14:textFill>
              </w:rPr>
            </w:pPr>
            <w:r>
              <w:rPr>
                <w:rFonts w:hint="eastAsia"/>
                <w:color w:val="000000"/>
                <w:highlight w:val="none"/>
              </w:rPr>
              <w:t>（1）风险物质调查</w:t>
            </w:r>
          </w:p>
          <w:p w14:paraId="6B032958">
            <w:pPr>
              <w:widowControl/>
              <w:ind w:firstLine="480"/>
              <w:jc w:val="left"/>
              <w:rPr>
                <w:highlight w:val="none"/>
              </w:rPr>
            </w:pPr>
            <w:r>
              <w:rPr>
                <w:rFonts w:hint="eastAsia"/>
                <w:color w:val="000000"/>
                <w:highlight w:val="none"/>
              </w:rPr>
              <w:t>根据项目生产工艺特点和原辅材料使用情况，拟建项目涉及《建设项目环境风险评价技术导则》（HJ169-2018）附录B所涉及的风险物质主要机油，机油暂存量及分布区域等情况详见</w:t>
            </w:r>
            <w:r>
              <w:rPr>
                <w:rFonts w:hint="eastAsia"/>
                <w:highlight w:val="none"/>
              </w:rPr>
              <w:t>表4-1</w:t>
            </w:r>
            <w:r>
              <w:rPr>
                <w:rFonts w:hint="eastAsia"/>
                <w:highlight w:val="none"/>
                <w:lang w:val="en-US" w:eastAsia="zh-CN"/>
              </w:rPr>
              <w:t>3</w:t>
            </w:r>
            <w:r>
              <w:rPr>
                <w:rFonts w:hint="eastAsia"/>
                <w:highlight w:val="none"/>
              </w:rPr>
              <w:t>。</w:t>
            </w:r>
          </w:p>
          <w:p w14:paraId="7355FC11">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表4-1</w:t>
            </w:r>
            <w:r>
              <w:rPr>
                <w:rFonts w:hint="eastAsia" w:ascii="Times New Roman" w:hAnsi="Times New Roman" w:eastAsia="宋体" w:cs="Times New Roman"/>
                <w:sz w:val="21"/>
                <w:szCs w:val="21"/>
                <w:highlight w:val="none"/>
                <w:lang w:val="en-US" w:eastAsia="zh-CN"/>
              </w:rPr>
              <w:t>3</w:t>
            </w:r>
            <w:r>
              <w:rPr>
                <w:rFonts w:hint="default" w:ascii="Times New Roman" w:hAnsi="Times New Roman" w:cs="Times New Roman"/>
                <w:sz w:val="21"/>
                <w:szCs w:val="21"/>
                <w:highlight w:val="none"/>
              </w:rPr>
              <w:t xml:space="preserve">  本项目涉及的风险源分布情况表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839"/>
              <w:gridCol w:w="1232"/>
              <w:gridCol w:w="1210"/>
              <w:gridCol w:w="1135"/>
              <w:gridCol w:w="2485"/>
            </w:tblGrid>
            <w:tr w14:paraId="62DB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44" w:type="dxa"/>
                  <w:vAlign w:val="center"/>
                </w:tcPr>
                <w:p w14:paraId="44B415FB">
                  <w:pPr>
                    <w:pStyle w:val="55"/>
                    <w:rPr>
                      <w:highlight w:val="none"/>
                    </w:rPr>
                  </w:pPr>
                  <w:r>
                    <w:rPr>
                      <w:highlight w:val="none"/>
                    </w:rPr>
                    <w:t>名称</w:t>
                  </w:r>
                </w:p>
              </w:tc>
              <w:tc>
                <w:tcPr>
                  <w:tcW w:w="765" w:type="dxa"/>
                  <w:vAlign w:val="center"/>
                </w:tcPr>
                <w:p w14:paraId="4BBC1720">
                  <w:pPr>
                    <w:pStyle w:val="55"/>
                    <w:rPr>
                      <w:highlight w:val="none"/>
                    </w:rPr>
                  </w:pPr>
                  <w:r>
                    <w:rPr>
                      <w:rFonts w:hint="eastAsia"/>
                      <w:highlight w:val="none"/>
                      <w:lang w:val="en-US" w:eastAsia="zh-CN"/>
                    </w:rPr>
                    <w:t>危废代码</w:t>
                  </w:r>
                </w:p>
              </w:tc>
              <w:tc>
                <w:tcPr>
                  <w:tcW w:w="1124" w:type="dxa"/>
                  <w:vAlign w:val="center"/>
                </w:tcPr>
                <w:p w14:paraId="096CE0E7">
                  <w:pPr>
                    <w:pStyle w:val="55"/>
                    <w:rPr>
                      <w:highlight w:val="none"/>
                    </w:rPr>
                  </w:pPr>
                  <w:r>
                    <w:rPr>
                      <w:highlight w:val="none"/>
                    </w:rPr>
                    <w:t>最大储存量（t）</w:t>
                  </w:r>
                </w:p>
              </w:tc>
              <w:tc>
                <w:tcPr>
                  <w:tcW w:w="1104" w:type="dxa"/>
                  <w:vAlign w:val="center"/>
                </w:tcPr>
                <w:p w14:paraId="30FCA149">
                  <w:pPr>
                    <w:pStyle w:val="55"/>
                    <w:rPr>
                      <w:highlight w:val="none"/>
                    </w:rPr>
                  </w:pPr>
                  <w:r>
                    <w:rPr>
                      <w:highlight w:val="none"/>
                    </w:rPr>
                    <w:t>临界量（t）</w:t>
                  </w:r>
                </w:p>
              </w:tc>
              <w:tc>
                <w:tcPr>
                  <w:tcW w:w="1035" w:type="dxa"/>
                  <w:vAlign w:val="center"/>
                </w:tcPr>
                <w:p w14:paraId="66C43D2B">
                  <w:pPr>
                    <w:pStyle w:val="55"/>
                    <w:rPr>
                      <w:highlight w:val="none"/>
                    </w:rPr>
                  </w:pPr>
                  <w:r>
                    <w:rPr>
                      <w:highlight w:val="none"/>
                    </w:rPr>
                    <w:t>储存方式</w:t>
                  </w:r>
                </w:p>
              </w:tc>
              <w:tc>
                <w:tcPr>
                  <w:tcW w:w="2267" w:type="dxa"/>
                  <w:vAlign w:val="center"/>
                </w:tcPr>
                <w:p w14:paraId="116B77AF">
                  <w:pPr>
                    <w:pStyle w:val="55"/>
                    <w:rPr>
                      <w:highlight w:val="none"/>
                    </w:rPr>
                  </w:pPr>
                  <w:r>
                    <w:rPr>
                      <w:highlight w:val="none"/>
                    </w:rPr>
                    <w:t>分布区域</w:t>
                  </w:r>
                </w:p>
              </w:tc>
            </w:tr>
            <w:tr w14:paraId="2239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4" w:type="dxa"/>
                  <w:vAlign w:val="center"/>
                </w:tcPr>
                <w:p w14:paraId="100BE4D3">
                  <w:pPr>
                    <w:pStyle w:val="55"/>
                    <w:rPr>
                      <w:rFonts w:hint="eastAsia" w:eastAsia="宋体"/>
                      <w:highlight w:val="none"/>
                      <w:lang w:eastAsia="zh-CN"/>
                    </w:rPr>
                  </w:pPr>
                  <w:r>
                    <w:rPr>
                      <w:rFonts w:hint="eastAsia"/>
                      <w:highlight w:val="none"/>
                      <w:lang w:eastAsia="zh-CN"/>
                    </w:rPr>
                    <w:t>废润滑油</w:t>
                  </w:r>
                </w:p>
              </w:tc>
              <w:tc>
                <w:tcPr>
                  <w:tcW w:w="765" w:type="dxa"/>
                  <w:vAlign w:val="center"/>
                </w:tcPr>
                <w:p w14:paraId="33562AA0">
                  <w:pPr>
                    <w:pStyle w:val="55"/>
                    <w:rPr>
                      <w:highlight w:val="none"/>
                    </w:rPr>
                  </w:pPr>
                  <w:r>
                    <w:rPr>
                      <w:highlight w:val="none"/>
                    </w:rPr>
                    <w:t>900-214-08</w:t>
                  </w:r>
                </w:p>
              </w:tc>
              <w:tc>
                <w:tcPr>
                  <w:tcW w:w="1124" w:type="dxa"/>
                  <w:vAlign w:val="center"/>
                </w:tcPr>
                <w:p w14:paraId="2EBEAB3A">
                  <w:pPr>
                    <w:pStyle w:val="55"/>
                    <w:rPr>
                      <w:rFonts w:hint="eastAsia" w:eastAsia="宋体"/>
                      <w:highlight w:val="none"/>
                      <w:lang w:eastAsia="zh-CN"/>
                    </w:rPr>
                  </w:pPr>
                  <w:r>
                    <w:rPr>
                      <w:highlight w:val="none"/>
                    </w:rPr>
                    <w:t>0.</w:t>
                  </w:r>
                  <w:r>
                    <w:rPr>
                      <w:rFonts w:hint="eastAsia"/>
                      <w:highlight w:val="none"/>
                      <w:lang w:val="en-US" w:eastAsia="zh-CN"/>
                    </w:rPr>
                    <w:t>1</w:t>
                  </w:r>
                </w:p>
              </w:tc>
              <w:tc>
                <w:tcPr>
                  <w:tcW w:w="1104" w:type="dxa"/>
                  <w:vAlign w:val="center"/>
                </w:tcPr>
                <w:p w14:paraId="63BB8E69">
                  <w:pPr>
                    <w:pStyle w:val="55"/>
                    <w:rPr>
                      <w:highlight w:val="none"/>
                    </w:rPr>
                  </w:pPr>
                  <w:r>
                    <w:rPr>
                      <w:highlight w:val="none"/>
                    </w:rPr>
                    <w:t>2500</w:t>
                  </w:r>
                </w:p>
              </w:tc>
              <w:tc>
                <w:tcPr>
                  <w:tcW w:w="1035" w:type="dxa"/>
                  <w:vAlign w:val="center"/>
                </w:tcPr>
                <w:p w14:paraId="2D5330C8">
                  <w:pPr>
                    <w:pStyle w:val="55"/>
                    <w:rPr>
                      <w:highlight w:val="none"/>
                    </w:rPr>
                  </w:pPr>
                  <w:r>
                    <w:rPr>
                      <w:highlight w:val="none"/>
                    </w:rPr>
                    <w:t>桶装</w:t>
                  </w:r>
                </w:p>
              </w:tc>
              <w:tc>
                <w:tcPr>
                  <w:tcW w:w="2267" w:type="dxa"/>
                  <w:vAlign w:val="center"/>
                </w:tcPr>
                <w:p w14:paraId="6B832BF1">
                  <w:pPr>
                    <w:pStyle w:val="55"/>
                    <w:rPr>
                      <w:highlight w:val="none"/>
                    </w:rPr>
                  </w:pPr>
                  <w:r>
                    <w:rPr>
                      <w:highlight w:val="none"/>
                    </w:rPr>
                    <w:t>生产设备、危废</w:t>
                  </w:r>
                  <w:r>
                    <w:rPr>
                      <w:rFonts w:hint="eastAsia"/>
                      <w:highlight w:val="none"/>
                      <w:lang w:val="en-US" w:eastAsia="zh-CN"/>
                    </w:rPr>
                    <w:t>贮存库</w:t>
                  </w:r>
                </w:p>
              </w:tc>
            </w:tr>
            <w:tr w14:paraId="3AF3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4" w:type="dxa"/>
                  <w:vAlign w:val="center"/>
                </w:tcPr>
                <w:p w14:paraId="076A2C5E">
                  <w:pPr>
                    <w:pStyle w:val="55"/>
                    <w:rPr>
                      <w:rFonts w:hint="default"/>
                      <w:highlight w:val="none"/>
                      <w:lang w:val="en-US" w:eastAsia="zh-CN"/>
                    </w:rPr>
                  </w:pPr>
                  <w:r>
                    <w:rPr>
                      <w:rFonts w:hint="eastAsia"/>
                      <w:highlight w:val="none"/>
                      <w:lang w:val="en-US" w:eastAsia="zh-CN"/>
                    </w:rPr>
                    <w:t>废油桶</w:t>
                  </w:r>
                </w:p>
              </w:tc>
              <w:tc>
                <w:tcPr>
                  <w:tcW w:w="765" w:type="dxa"/>
                  <w:vAlign w:val="center"/>
                </w:tcPr>
                <w:p w14:paraId="2951DD20">
                  <w:pPr>
                    <w:pStyle w:val="55"/>
                    <w:rPr>
                      <w:highlight w:val="none"/>
                    </w:rPr>
                  </w:pPr>
                  <w:r>
                    <w:rPr>
                      <w:rFonts w:hint="eastAsia"/>
                      <w:highlight w:val="none"/>
                    </w:rPr>
                    <w:t>900-249-08</w:t>
                  </w:r>
                </w:p>
              </w:tc>
              <w:tc>
                <w:tcPr>
                  <w:tcW w:w="1124" w:type="dxa"/>
                  <w:vAlign w:val="center"/>
                </w:tcPr>
                <w:p w14:paraId="2AA71ED8">
                  <w:pPr>
                    <w:pStyle w:val="55"/>
                    <w:ind w:firstLine="0" w:firstLineChars="0"/>
                    <w:rPr>
                      <w:highlight w:val="none"/>
                    </w:rPr>
                  </w:pPr>
                  <w:r>
                    <w:rPr>
                      <w:highlight w:val="none"/>
                    </w:rPr>
                    <w:t>0.</w:t>
                  </w:r>
                  <w:r>
                    <w:rPr>
                      <w:rFonts w:hint="eastAsia"/>
                      <w:highlight w:val="none"/>
                      <w:lang w:val="en-US" w:eastAsia="zh-CN"/>
                    </w:rPr>
                    <w:t>1</w:t>
                  </w:r>
                </w:p>
              </w:tc>
              <w:tc>
                <w:tcPr>
                  <w:tcW w:w="1104" w:type="dxa"/>
                  <w:vAlign w:val="center"/>
                </w:tcPr>
                <w:p w14:paraId="21551D74">
                  <w:pPr>
                    <w:pStyle w:val="55"/>
                    <w:ind w:firstLine="0" w:firstLineChars="0"/>
                    <w:rPr>
                      <w:highlight w:val="none"/>
                    </w:rPr>
                  </w:pPr>
                  <w:r>
                    <w:rPr>
                      <w:highlight w:val="none"/>
                    </w:rPr>
                    <w:t>2500</w:t>
                  </w:r>
                </w:p>
              </w:tc>
              <w:tc>
                <w:tcPr>
                  <w:tcW w:w="1035" w:type="dxa"/>
                  <w:vAlign w:val="center"/>
                </w:tcPr>
                <w:p w14:paraId="55B682ED">
                  <w:pPr>
                    <w:pStyle w:val="55"/>
                    <w:ind w:firstLine="0" w:firstLineChars="0"/>
                    <w:rPr>
                      <w:highlight w:val="none"/>
                    </w:rPr>
                  </w:pPr>
                  <w:r>
                    <w:rPr>
                      <w:highlight w:val="none"/>
                    </w:rPr>
                    <w:t>桶装</w:t>
                  </w:r>
                </w:p>
              </w:tc>
              <w:tc>
                <w:tcPr>
                  <w:tcW w:w="2267" w:type="dxa"/>
                  <w:vAlign w:val="center"/>
                </w:tcPr>
                <w:p w14:paraId="0AB0C79D">
                  <w:pPr>
                    <w:pStyle w:val="55"/>
                    <w:ind w:firstLine="0" w:firstLineChars="0"/>
                    <w:rPr>
                      <w:highlight w:val="none"/>
                    </w:rPr>
                  </w:pPr>
                  <w:r>
                    <w:rPr>
                      <w:highlight w:val="none"/>
                    </w:rPr>
                    <w:t>生产设备、危废</w:t>
                  </w:r>
                  <w:r>
                    <w:rPr>
                      <w:rFonts w:hint="eastAsia"/>
                      <w:highlight w:val="none"/>
                      <w:lang w:val="en-US" w:eastAsia="zh-CN"/>
                    </w:rPr>
                    <w:t>贮存库</w:t>
                  </w:r>
                </w:p>
              </w:tc>
            </w:tr>
          </w:tbl>
          <w:p w14:paraId="16F20494">
            <w:pPr>
              <w:ind w:firstLine="480"/>
              <w:rPr>
                <w:color w:val="000000"/>
                <w:highlight w:val="none"/>
              </w:rPr>
            </w:pPr>
            <w:r>
              <w:rPr>
                <w:rFonts w:hint="eastAsia"/>
                <w:color w:val="000000"/>
                <w:highlight w:val="none"/>
              </w:rPr>
              <w:t>拟建项目危险物质数量与临界量比值Q=0.000</w:t>
            </w:r>
            <w:r>
              <w:rPr>
                <w:rFonts w:hint="eastAsia"/>
                <w:color w:val="000000"/>
                <w:highlight w:val="none"/>
                <w:lang w:val="en-US" w:eastAsia="zh-CN"/>
              </w:rPr>
              <w:t>08</w:t>
            </w:r>
            <w:r>
              <w:rPr>
                <w:rFonts w:hint="eastAsia"/>
                <w:color w:val="000000"/>
                <w:highlight w:val="none"/>
              </w:rPr>
              <w:t>＜1。根据《建设项目环境风险评价技术导则》（HJ 169-2018）附录C，当Q＜1时，可直接判断该项目环境风险潜势为</w:t>
            </w:r>
            <w:r>
              <w:rPr>
                <w:rFonts w:hint="default" w:ascii="Times New Roman" w:hAnsi="Times New Roman" w:cs="Times New Roman"/>
                <w:color w:val="000000"/>
                <w:highlight w:val="none"/>
              </w:rPr>
              <w:t>Ⅰ</w:t>
            </w:r>
            <w:r>
              <w:rPr>
                <w:rFonts w:hint="eastAsia"/>
                <w:color w:val="000000"/>
                <w:highlight w:val="none"/>
              </w:rPr>
              <w:t>。</w:t>
            </w:r>
          </w:p>
          <w:p w14:paraId="5DA652EB">
            <w:pPr>
              <w:ind w:firstLine="480"/>
              <w:rPr>
                <w:color w:val="000000"/>
                <w:highlight w:val="none"/>
              </w:rPr>
            </w:pPr>
            <w:r>
              <w:rPr>
                <w:rFonts w:hint="eastAsia"/>
                <w:color w:val="000000"/>
                <w:highlight w:val="none"/>
              </w:rPr>
              <w:t>（</w:t>
            </w:r>
            <w:r>
              <w:rPr>
                <w:color w:val="000000"/>
                <w:highlight w:val="none"/>
              </w:rPr>
              <w:t>2）可能影响途径</w:t>
            </w:r>
          </w:p>
          <w:p w14:paraId="50C7E134">
            <w:pPr>
              <w:ind w:firstLine="480"/>
              <w:rPr>
                <w:color w:val="000000"/>
                <w:highlight w:val="none"/>
              </w:rPr>
            </w:pPr>
            <w:r>
              <w:rPr>
                <w:color w:val="000000"/>
                <w:highlight w:val="none"/>
              </w:rPr>
              <w:t>通过对风险物质类型、风险源、有害物质识别可能影响的途径，识别结果详见表</w:t>
            </w:r>
            <w:r>
              <w:rPr>
                <w:rFonts w:hint="eastAsia"/>
                <w:color w:val="000000"/>
                <w:highlight w:val="none"/>
              </w:rPr>
              <w:t>4-1</w:t>
            </w:r>
            <w:r>
              <w:rPr>
                <w:rFonts w:hint="eastAsia"/>
                <w:color w:val="000000"/>
                <w:highlight w:val="none"/>
                <w:lang w:val="en-US" w:eastAsia="zh-CN"/>
              </w:rPr>
              <w:t>4</w:t>
            </w:r>
            <w:r>
              <w:rPr>
                <w:color w:val="000000"/>
                <w:highlight w:val="none"/>
              </w:rPr>
              <w:t>。</w:t>
            </w:r>
          </w:p>
          <w:p w14:paraId="1F176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表4-1</w:t>
            </w:r>
            <w:r>
              <w:rPr>
                <w:rFonts w:hint="eastAsia" w:cs="Times New Roman"/>
                <w:b/>
                <w:bCs/>
                <w:color w:val="000000"/>
                <w:sz w:val="21"/>
                <w:szCs w:val="21"/>
                <w:highlight w:val="none"/>
                <w:lang w:val="en-US" w:eastAsia="zh-CN"/>
              </w:rPr>
              <w:t>4</w:t>
            </w:r>
            <w:r>
              <w:rPr>
                <w:rFonts w:hint="default" w:ascii="Times New Roman" w:hAnsi="Times New Roman" w:cs="Times New Roman"/>
                <w:b/>
                <w:bCs/>
                <w:color w:val="000000"/>
                <w:sz w:val="21"/>
                <w:szCs w:val="21"/>
                <w:highlight w:val="none"/>
              </w:rPr>
              <w:t xml:space="preserve">  拟建项目风险物质影响途径一览表</w:t>
            </w:r>
          </w:p>
          <w:tbl>
            <w:tblPr>
              <w:tblStyle w:val="30"/>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066"/>
              <w:gridCol w:w="1125"/>
              <w:gridCol w:w="1559"/>
              <w:gridCol w:w="2988"/>
            </w:tblGrid>
            <w:tr w14:paraId="5CE0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60E19F86">
                  <w:pPr>
                    <w:pStyle w:val="55"/>
                    <w:rPr>
                      <w:highlight w:val="none"/>
                    </w:rPr>
                  </w:pPr>
                  <w:r>
                    <w:rPr>
                      <w:rFonts w:hint="eastAsia"/>
                      <w:highlight w:val="none"/>
                    </w:rPr>
                    <w:t>危险单元</w:t>
                  </w:r>
                </w:p>
              </w:tc>
              <w:tc>
                <w:tcPr>
                  <w:tcW w:w="1066" w:type="dxa"/>
                  <w:vAlign w:val="center"/>
                </w:tcPr>
                <w:p w14:paraId="4AB1C3E0">
                  <w:pPr>
                    <w:pStyle w:val="55"/>
                    <w:rPr>
                      <w:highlight w:val="none"/>
                    </w:rPr>
                  </w:pPr>
                  <w:r>
                    <w:rPr>
                      <w:rFonts w:hint="eastAsia"/>
                      <w:highlight w:val="none"/>
                    </w:rPr>
                    <w:t>风险源</w:t>
                  </w:r>
                </w:p>
              </w:tc>
              <w:tc>
                <w:tcPr>
                  <w:tcW w:w="1125" w:type="dxa"/>
                  <w:vAlign w:val="center"/>
                </w:tcPr>
                <w:p w14:paraId="20B44D4E">
                  <w:pPr>
                    <w:pStyle w:val="55"/>
                    <w:rPr>
                      <w:highlight w:val="none"/>
                    </w:rPr>
                  </w:pPr>
                  <w:r>
                    <w:rPr>
                      <w:rFonts w:hint="eastAsia"/>
                      <w:highlight w:val="none"/>
                    </w:rPr>
                    <w:t>有害物质</w:t>
                  </w:r>
                </w:p>
              </w:tc>
              <w:tc>
                <w:tcPr>
                  <w:tcW w:w="1559" w:type="dxa"/>
                  <w:vAlign w:val="center"/>
                </w:tcPr>
                <w:p w14:paraId="40067683">
                  <w:pPr>
                    <w:pStyle w:val="55"/>
                    <w:rPr>
                      <w:highlight w:val="none"/>
                    </w:rPr>
                  </w:pPr>
                  <w:r>
                    <w:rPr>
                      <w:rFonts w:hint="eastAsia"/>
                      <w:highlight w:val="none"/>
                    </w:rPr>
                    <w:t>环境风险类型</w:t>
                  </w:r>
                </w:p>
              </w:tc>
              <w:tc>
                <w:tcPr>
                  <w:tcW w:w="2988" w:type="dxa"/>
                  <w:vAlign w:val="center"/>
                </w:tcPr>
                <w:p w14:paraId="52FD5CE0">
                  <w:pPr>
                    <w:pStyle w:val="55"/>
                    <w:rPr>
                      <w:highlight w:val="none"/>
                    </w:rPr>
                  </w:pPr>
                  <w:r>
                    <w:rPr>
                      <w:rFonts w:hint="eastAsia"/>
                      <w:highlight w:val="none"/>
                    </w:rPr>
                    <w:t>环境影响途径</w:t>
                  </w:r>
                </w:p>
              </w:tc>
            </w:tr>
            <w:tr w14:paraId="2922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397F0136">
                  <w:pPr>
                    <w:pStyle w:val="55"/>
                    <w:rPr>
                      <w:highlight w:val="none"/>
                    </w:rPr>
                  </w:pPr>
                  <w:r>
                    <w:rPr>
                      <w:rFonts w:hint="eastAsia"/>
                      <w:highlight w:val="none"/>
                    </w:rPr>
                    <w:t>危废</w:t>
                  </w:r>
                  <w:r>
                    <w:rPr>
                      <w:rFonts w:hint="eastAsia"/>
                      <w:highlight w:val="none"/>
                      <w:lang w:val="en-US" w:eastAsia="zh-CN"/>
                    </w:rPr>
                    <w:t>贮存库</w:t>
                  </w:r>
                </w:p>
              </w:tc>
              <w:tc>
                <w:tcPr>
                  <w:tcW w:w="1066" w:type="dxa"/>
                  <w:vAlign w:val="center"/>
                </w:tcPr>
                <w:p w14:paraId="585E5413">
                  <w:pPr>
                    <w:pStyle w:val="55"/>
                    <w:rPr>
                      <w:highlight w:val="none"/>
                    </w:rPr>
                  </w:pPr>
                  <w:r>
                    <w:rPr>
                      <w:rFonts w:hint="eastAsia"/>
                      <w:highlight w:val="none"/>
                    </w:rPr>
                    <w:t>危险废物</w:t>
                  </w:r>
                </w:p>
              </w:tc>
              <w:tc>
                <w:tcPr>
                  <w:tcW w:w="1125" w:type="dxa"/>
                  <w:vAlign w:val="center"/>
                </w:tcPr>
                <w:p w14:paraId="35CC467A">
                  <w:pPr>
                    <w:pStyle w:val="55"/>
                    <w:rPr>
                      <w:rFonts w:hint="default"/>
                      <w:highlight w:val="none"/>
                      <w:lang w:val="en-US"/>
                    </w:rPr>
                  </w:pPr>
                  <w:r>
                    <w:rPr>
                      <w:rFonts w:hint="eastAsia"/>
                      <w:highlight w:val="none"/>
                      <w:lang w:val="en-US" w:eastAsia="zh-CN"/>
                    </w:rPr>
                    <w:t>废润滑油、废油桶</w:t>
                  </w:r>
                </w:p>
              </w:tc>
              <w:tc>
                <w:tcPr>
                  <w:tcW w:w="1559" w:type="dxa"/>
                  <w:vAlign w:val="center"/>
                </w:tcPr>
                <w:p w14:paraId="78B88D89">
                  <w:pPr>
                    <w:pStyle w:val="55"/>
                    <w:rPr>
                      <w:highlight w:val="none"/>
                    </w:rPr>
                  </w:pPr>
                  <w:r>
                    <w:rPr>
                      <w:rFonts w:hint="eastAsia"/>
                      <w:highlight w:val="none"/>
                    </w:rPr>
                    <w:t>泄漏</w:t>
                  </w:r>
                </w:p>
              </w:tc>
              <w:tc>
                <w:tcPr>
                  <w:tcW w:w="2988" w:type="dxa"/>
                  <w:vAlign w:val="center"/>
                </w:tcPr>
                <w:p w14:paraId="5B1AAB17">
                  <w:pPr>
                    <w:pStyle w:val="55"/>
                    <w:rPr>
                      <w:highlight w:val="none"/>
                    </w:rPr>
                  </w:pPr>
                  <w:r>
                    <w:rPr>
                      <w:rFonts w:hint="eastAsia"/>
                      <w:highlight w:val="none"/>
                    </w:rPr>
                    <w:t>机油泄漏通过地坪下渗等对周围地下水和土壤环境造成影响</w:t>
                  </w:r>
                </w:p>
              </w:tc>
            </w:tr>
          </w:tbl>
          <w:p w14:paraId="0B5AC8FC">
            <w:pPr>
              <w:ind w:firstLine="480"/>
              <w:rPr>
                <w:color w:val="000000"/>
                <w:highlight w:val="none"/>
              </w:rPr>
            </w:pPr>
            <w:r>
              <w:rPr>
                <w:rFonts w:hint="eastAsia"/>
                <w:color w:val="000000"/>
                <w:highlight w:val="none"/>
              </w:rPr>
              <w:t>（3）环境风险防范措施</w:t>
            </w:r>
          </w:p>
          <w:p w14:paraId="34DD113D">
            <w:pPr>
              <w:ind w:firstLine="480"/>
              <w:rPr>
                <w:color w:val="000000"/>
                <w:highlight w:val="none"/>
              </w:rPr>
            </w:pPr>
            <w:r>
              <w:rPr>
                <w:rFonts w:hint="eastAsia"/>
                <w:color w:val="000000"/>
                <w:highlight w:val="none"/>
              </w:rPr>
              <w:t>①严格按照有关建筑防火规范和《爆炸危险环境电力装置设计规范》进行设计；加大宣传教育力度，增强工作人员的整体消防安全意识。参加社会消防安全知识培训，提高广大职工的消防安全意识，使其掌握防火、灭火、逃生的基础知识；规范生产，设置专门的库房，把生产区与储存区、成品区分开；制定安全生产管理制度，严禁厂区吸烟和使用明火。电线必须穿管敷设，禁止临时随意拉接。禁止无关人员进入车间，车间内严禁堆放杂物。制定和落实消防器材检查、维护保养制度，及时更换、维修消防栓、灭火器、水带等，使其始终处于完好状态。</w:t>
            </w:r>
          </w:p>
          <w:p w14:paraId="1FEB12A6">
            <w:pPr>
              <w:ind w:firstLine="480"/>
              <w:rPr>
                <w:color w:val="000000"/>
                <w:highlight w:val="none"/>
              </w:rPr>
            </w:pPr>
            <w:r>
              <w:rPr>
                <w:rFonts w:hint="eastAsia"/>
                <w:color w:val="000000"/>
                <w:highlight w:val="none"/>
              </w:rPr>
              <w:t>②定期检修设备，改进密封结构和加强泄漏检验以消除管道的跑冒滴漏，尽可能采用机械化自动化先进技术，以隔绝毒物与操作人员的接触。</w:t>
            </w:r>
          </w:p>
          <w:p w14:paraId="18373AB5">
            <w:pPr>
              <w:ind w:firstLine="480"/>
              <w:rPr>
                <w:color w:val="000000"/>
                <w:highlight w:val="none"/>
              </w:rPr>
            </w:pPr>
            <w:r>
              <w:rPr>
                <w:rFonts w:hint="eastAsia"/>
                <w:color w:val="000000"/>
                <w:highlight w:val="none"/>
              </w:rPr>
              <w:t>③对于新建的储存或输送易燃性物料的设备、管道及与其接触的仪表等，根据介质的特殊性采取防泄漏措施；对泄漏严重部位的设备及管线，选用密封性高的材料。建议所有易发生</w:t>
            </w:r>
            <w:r>
              <w:rPr>
                <w:rFonts w:hint="eastAsia"/>
                <w:color w:val="000000"/>
                <w:highlight w:val="none"/>
                <w:lang w:eastAsia="zh-CN"/>
              </w:rPr>
              <w:t>泄漏的</w:t>
            </w:r>
            <w:r>
              <w:rPr>
                <w:rFonts w:hint="eastAsia"/>
                <w:color w:val="000000"/>
                <w:highlight w:val="none"/>
              </w:rPr>
              <w:t>场所，应设置应急气源和相应的气防检测仪器。</w:t>
            </w:r>
          </w:p>
          <w:p w14:paraId="19D3E169">
            <w:pPr>
              <w:ind w:firstLine="480"/>
              <w:rPr>
                <w:color w:val="000000"/>
                <w:highlight w:val="none"/>
              </w:rPr>
            </w:pPr>
            <w:r>
              <w:rPr>
                <w:rFonts w:hint="eastAsia"/>
                <w:color w:val="000000"/>
                <w:highlight w:val="none"/>
              </w:rPr>
              <w:t>④设备结构设计、强度计算、制造、检验，严格遵循国家及行业标准规范。</w:t>
            </w:r>
          </w:p>
          <w:p w14:paraId="707B40B3">
            <w:pPr>
              <w:ind w:firstLine="480"/>
              <w:rPr>
                <w:color w:val="000000"/>
                <w:highlight w:val="none"/>
              </w:rPr>
            </w:pPr>
            <w:r>
              <w:rPr>
                <w:rFonts w:hint="eastAsia"/>
                <w:color w:val="000000"/>
                <w:highlight w:val="none"/>
              </w:rPr>
              <w:t>（4）危险废物风险管理</w:t>
            </w:r>
          </w:p>
          <w:p w14:paraId="436DFEC6">
            <w:pPr>
              <w:ind w:firstLine="480"/>
              <w:rPr>
                <w:color w:val="000000"/>
                <w:highlight w:val="none"/>
              </w:rPr>
            </w:pPr>
            <w:r>
              <w:rPr>
                <w:rFonts w:hint="eastAsia"/>
                <w:color w:val="000000"/>
                <w:highlight w:val="none"/>
              </w:rPr>
              <w:t>①危险废物监控</w:t>
            </w:r>
          </w:p>
          <w:p w14:paraId="6DD3D38F">
            <w:pPr>
              <w:ind w:firstLine="480"/>
              <w:rPr>
                <w:color w:val="000000"/>
                <w:highlight w:val="none"/>
              </w:rPr>
            </w:pPr>
            <w:r>
              <w:rPr>
                <w:rFonts w:hint="eastAsia"/>
                <w:color w:val="000000"/>
                <w:highlight w:val="none"/>
              </w:rPr>
              <w:t>公司危险废物监测监控主要为危废</w:t>
            </w:r>
            <w:r>
              <w:rPr>
                <w:rFonts w:hint="eastAsia"/>
                <w:highlight w:val="none"/>
                <w:lang w:val="en-US" w:eastAsia="zh-CN"/>
              </w:rPr>
              <w:t>贮存库</w:t>
            </w:r>
            <w:r>
              <w:rPr>
                <w:rFonts w:hint="eastAsia"/>
                <w:color w:val="000000"/>
                <w:highlight w:val="none"/>
              </w:rPr>
              <w:t>，要求所属辖区内危险目标单位加强日常巡回检查并配备24小时监控，工作人员每小时巡回检查校查的严密方式，确保危险废物暂存区始终处于良好的可控状态。</w:t>
            </w:r>
          </w:p>
          <w:p w14:paraId="726808C9">
            <w:pPr>
              <w:ind w:firstLine="480"/>
              <w:rPr>
                <w:color w:val="000000"/>
                <w:highlight w:val="none"/>
              </w:rPr>
            </w:pPr>
            <w:r>
              <w:rPr>
                <w:rFonts w:hint="eastAsia"/>
                <w:color w:val="000000"/>
                <w:highlight w:val="none"/>
              </w:rPr>
              <w:t>②预防措施</w:t>
            </w:r>
          </w:p>
          <w:p w14:paraId="1C260055">
            <w:pPr>
              <w:ind w:firstLine="480"/>
              <w:rPr>
                <w:color w:val="000000"/>
                <w:highlight w:val="none"/>
              </w:rPr>
            </w:pPr>
            <w:r>
              <w:rPr>
                <w:rFonts w:hint="eastAsia"/>
                <w:color w:val="000000"/>
                <w:highlight w:val="none"/>
              </w:rPr>
              <w:t>a.危险废物暂存区应阴凉通风，远离火种、热源。库温不超过32℃，相对湿度不超过80%，切忌与其他易燃物混储。采用防爆型照明、通风设施。</w:t>
            </w:r>
          </w:p>
          <w:p w14:paraId="78E77359">
            <w:pPr>
              <w:ind w:firstLine="480"/>
              <w:rPr>
                <w:color w:val="000000"/>
                <w:highlight w:val="none"/>
              </w:rPr>
            </w:pPr>
            <w:r>
              <w:rPr>
                <w:rFonts w:hint="eastAsia"/>
                <w:color w:val="000000"/>
                <w:highlight w:val="none"/>
              </w:rPr>
              <w:t>b.配备相应品种和数量的消防器材及泄漏应急处理设备，保证泄漏预防设施和检测设备的投入。</w:t>
            </w:r>
          </w:p>
          <w:p w14:paraId="62411F8E">
            <w:pPr>
              <w:ind w:firstLine="480"/>
              <w:rPr>
                <w:color w:val="000000"/>
                <w:highlight w:val="none"/>
              </w:rPr>
            </w:pPr>
            <w:r>
              <w:rPr>
                <w:rFonts w:hint="eastAsia"/>
                <w:color w:val="000000"/>
                <w:highlight w:val="none"/>
              </w:rPr>
              <w:t>c.运输时运输车辆应配备相应品种和数量的消防器材及泄漏应急处理设备。搬运时要轻装轻卸，防止容器损坏。夏季最好早晚运输。中途停留时应远离火种、热源、高温区。装运该物品的车辆排气管必须配备阻火装置，禁止使用易产生火花的机械设备和工具装卸。公路运输时要按规定路线行驶，勿在居民区和人口稠密区停留。</w:t>
            </w:r>
          </w:p>
          <w:p w14:paraId="77647F19">
            <w:pPr>
              <w:ind w:firstLine="480"/>
              <w:rPr>
                <w:highlight w:val="none"/>
              </w:rPr>
            </w:pPr>
            <w:r>
              <w:rPr>
                <w:rFonts w:hint="eastAsia"/>
                <w:color w:val="000000"/>
                <w:highlight w:val="none"/>
              </w:rPr>
              <w:t>危险废物在运输时要严格按照《危险货物运输规则》中的危险货物配装表进行配装，起运时包装要完整</w:t>
            </w:r>
            <w:r>
              <w:rPr>
                <w:rFonts w:hint="eastAsia"/>
                <w:highlight w:val="none"/>
              </w:rPr>
              <w:t>，装载应稳妥。严禁与易燃物或可燃物、食用化学品等混装运输。运输途中应防暴晒、雨淋，防高温。</w:t>
            </w:r>
          </w:p>
          <w:p w14:paraId="656CCD3A">
            <w:pPr>
              <w:ind w:firstLine="480"/>
              <w:rPr>
                <w:highlight w:val="none"/>
              </w:rPr>
            </w:pPr>
            <w:r>
              <w:rPr>
                <w:rFonts w:hint="eastAsia"/>
                <w:highlight w:val="none"/>
              </w:rPr>
              <w:t>落实以上各项风险防范措施，并加强安全管理，保持各项安全设施有效地运行，在以此为前提的情况下，可将事故风险概率和影响程度降至可接受水平。</w:t>
            </w:r>
          </w:p>
          <w:p w14:paraId="3D50D2AE">
            <w:pPr>
              <w:ind w:firstLine="480"/>
              <w:rPr>
                <w:highlight w:val="none"/>
              </w:rPr>
            </w:pPr>
            <w:r>
              <w:rPr>
                <w:rFonts w:hint="eastAsia"/>
                <w:highlight w:val="none"/>
              </w:rPr>
              <w:t>（</w:t>
            </w:r>
            <w:r>
              <w:rPr>
                <w:rFonts w:hint="eastAsia"/>
                <w:highlight w:val="none"/>
                <w:lang w:val="en-US" w:eastAsia="zh-CN"/>
              </w:rPr>
              <w:t>5</w:t>
            </w:r>
            <w:r>
              <w:rPr>
                <w:rFonts w:hint="eastAsia"/>
                <w:highlight w:val="none"/>
              </w:rPr>
              <w:t>）建设项目环境风险简单分析内容表</w:t>
            </w:r>
          </w:p>
          <w:p w14:paraId="60AF2BF5">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highlight w:val="none"/>
              </w:rPr>
            </w:pPr>
            <w:r>
              <w:rPr>
                <w:rFonts w:hint="default" w:ascii="Times New Roman" w:hAnsi="Times New Roman" w:cs="Times New Roman"/>
                <w:sz w:val="21"/>
                <w:szCs w:val="21"/>
                <w:highlight w:val="none"/>
              </w:rPr>
              <w:t>表4-</w:t>
            </w:r>
            <w:r>
              <w:rPr>
                <w:rFonts w:hint="default"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lang w:val="en-US" w:eastAsia="zh-CN"/>
              </w:rPr>
              <w:t>5</w:t>
            </w:r>
            <w:r>
              <w:rPr>
                <w:rFonts w:hint="default" w:ascii="Times New Roman" w:hAnsi="Times New Roman" w:cs="Times New Roman"/>
                <w:sz w:val="21"/>
                <w:szCs w:val="21"/>
                <w:highlight w:val="none"/>
              </w:rPr>
              <w:t xml:space="preserve">   建设项目环境风险简单分析内容表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6227"/>
            </w:tblGrid>
            <w:tr w14:paraId="3034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3B365289">
                  <w:pPr>
                    <w:pStyle w:val="55"/>
                    <w:rPr>
                      <w:highlight w:val="none"/>
                    </w:rPr>
                  </w:pPr>
                  <w:r>
                    <w:rPr>
                      <w:rFonts w:hint="eastAsia"/>
                      <w:highlight w:val="none"/>
                    </w:rPr>
                    <w:t>建设项目名称</w:t>
                  </w:r>
                </w:p>
              </w:tc>
              <w:tc>
                <w:tcPr>
                  <w:tcW w:w="6548" w:type="dxa"/>
                  <w:tcBorders>
                    <w:top w:val="single" w:color="auto" w:sz="4" w:space="0"/>
                    <w:left w:val="single" w:color="auto" w:sz="4" w:space="0"/>
                    <w:bottom w:val="single" w:color="auto" w:sz="4" w:space="0"/>
                    <w:right w:val="single" w:color="auto" w:sz="4" w:space="0"/>
                  </w:tcBorders>
                  <w:vAlign w:val="center"/>
                </w:tcPr>
                <w:p w14:paraId="2E092744">
                  <w:pPr>
                    <w:pStyle w:val="55"/>
                    <w:rPr>
                      <w:highlight w:val="none"/>
                    </w:rPr>
                  </w:pPr>
                  <w:r>
                    <w:rPr>
                      <w:rFonts w:hint="eastAsia"/>
                      <w:highlight w:val="none"/>
                    </w:rPr>
                    <w:t>新疆科瑞新材料有限公司一般工业固体废弃物综合利用项目</w:t>
                  </w:r>
                </w:p>
              </w:tc>
            </w:tr>
            <w:tr w14:paraId="476B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59A9F8B3">
                  <w:pPr>
                    <w:pStyle w:val="55"/>
                    <w:rPr>
                      <w:highlight w:val="none"/>
                    </w:rPr>
                  </w:pPr>
                  <w:r>
                    <w:rPr>
                      <w:rFonts w:hint="eastAsia"/>
                      <w:highlight w:val="none"/>
                    </w:rPr>
                    <w:t>建设地点</w:t>
                  </w:r>
                </w:p>
              </w:tc>
              <w:tc>
                <w:tcPr>
                  <w:tcW w:w="6548" w:type="dxa"/>
                  <w:tcBorders>
                    <w:top w:val="single" w:color="auto" w:sz="4" w:space="0"/>
                    <w:left w:val="single" w:color="auto" w:sz="4" w:space="0"/>
                    <w:bottom w:val="single" w:color="auto" w:sz="4" w:space="0"/>
                    <w:right w:val="single" w:color="auto" w:sz="4" w:space="0"/>
                  </w:tcBorders>
                  <w:vAlign w:val="center"/>
                </w:tcPr>
                <w:p w14:paraId="68B6C9E2">
                  <w:pPr>
                    <w:pStyle w:val="55"/>
                    <w:rPr>
                      <w:highlight w:val="none"/>
                    </w:rPr>
                  </w:pPr>
                  <w:r>
                    <w:rPr>
                      <w:highlight w:val="none"/>
                    </w:rPr>
                    <w:t>新疆巴州</w:t>
                  </w:r>
                  <w:r>
                    <w:rPr>
                      <w:rFonts w:hint="eastAsia"/>
                      <w:highlight w:val="none"/>
                      <w:lang w:val="en-US" w:eastAsia="zh-CN"/>
                    </w:rPr>
                    <w:t>若羌</w:t>
                  </w:r>
                  <w:r>
                    <w:rPr>
                      <w:highlight w:val="none"/>
                    </w:rPr>
                    <w:t>工业园区</w:t>
                  </w:r>
                </w:p>
              </w:tc>
            </w:tr>
            <w:tr w14:paraId="3D98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10BCBBDB">
                  <w:pPr>
                    <w:pStyle w:val="55"/>
                    <w:rPr>
                      <w:highlight w:val="none"/>
                    </w:rPr>
                  </w:pPr>
                  <w:r>
                    <w:rPr>
                      <w:rFonts w:hint="eastAsia"/>
                      <w:highlight w:val="none"/>
                    </w:rPr>
                    <w:t>地理坐标</w:t>
                  </w:r>
                </w:p>
              </w:tc>
              <w:tc>
                <w:tcPr>
                  <w:tcW w:w="6548" w:type="dxa"/>
                  <w:tcBorders>
                    <w:top w:val="single" w:color="auto" w:sz="4" w:space="0"/>
                    <w:left w:val="single" w:color="auto" w:sz="4" w:space="0"/>
                    <w:bottom w:val="single" w:color="auto" w:sz="4" w:space="0"/>
                    <w:right w:val="single" w:color="auto" w:sz="4" w:space="0"/>
                  </w:tcBorders>
                  <w:vAlign w:val="center"/>
                </w:tcPr>
                <w:p w14:paraId="337F8186">
                  <w:pPr>
                    <w:pStyle w:val="55"/>
                    <w:rPr>
                      <w:highlight w:val="none"/>
                    </w:rPr>
                  </w:pPr>
                  <w:r>
                    <w:rPr>
                      <w:rFonts w:hint="eastAsia"/>
                      <w:highlight w:val="none"/>
                    </w:rPr>
                    <w:t>东经88°15'37.115"，北纬38°49'53.186"</w:t>
                  </w:r>
                </w:p>
              </w:tc>
            </w:tr>
            <w:tr w14:paraId="79C9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26CAC143">
                  <w:pPr>
                    <w:pStyle w:val="55"/>
                    <w:rPr>
                      <w:highlight w:val="none"/>
                    </w:rPr>
                  </w:pPr>
                  <w:r>
                    <w:rPr>
                      <w:rFonts w:hint="eastAsia"/>
                      <w:highlight w:val="none"/>
                    </w:rPr>
                    <w:t>主要危险物质及分布</w:t>
                  </w:r>
                </w:p>
              </w:tc>
              <w:tc>
                <w:tcPr>
                  <w:tcW w:w="6548" w:type="dxa"/>
                  <w:tcBorders>
                    <w:top w:val="single" w:color="auto" w:sz="4" w:space="0"/>
                    <w:left w:val="single" w:color="auto" w:sz="4" w:space="0"/>
                    <w:bottom w:val="single" w:color="auto" w:sz="4" w:space="0"/>
                    <w:right w:val="single" w:color="auto" w:sz="4" w:space="0"/>
                  </w:tcBorders>
                  <w:vAlign w:val="center"/>
                </w:tcPr>
                <w:p w14:paraId="4B64EC46">
                  <w:pPr>
                    <w:pStyle w:val="55"/>
                    <w:rPr>
                      <w:rFonts w:hint="eastAsia" w:eastAsia="宋体"/>
                      <w:highlight w:val="none"/>
                      <w:lang w:eastAsia="zh-CN"/>
                    </w:rPr>
                  </w:pPr>
                  <w:r>
                    <w:rPr>
                      <w:rFonts w:hint="eastAsia"/>
                      <w:highlight w:val="none"/>
                    </w:rPr>
                    <w:t>危险废物</w:t>
                  </w:r>
                  <w:r>
                    <w:rPr>
                      <w:rFonts w:hint="eastAsia"/>
                      <w:highlight w:val="none"/>
                      <w:lang w:val="en-US" w:eastAsia="zh-CN"/>
                    </w:rPr>
                    <w:t>贮存库</w:t>
                  </w:r>
                  <w:r>
                    <w:rPr>
                      <w:rFonts w:hint="eastAsia"/>
                      <w:highlight w:val="none"/>
                      <w:lang w:eastAsia="zh-CN"/>
                    </w:rPr>
                    <w:t>废润滑油、</w:t>
                  </w:r>
                  <w:r>
                    <w:rPr>
                      <w:rFonts w:hint="eastAsia"/>
                      <w:highlight w:val="none"/>
                      <w:lang w:val="en-US" w:eastAsia="zh-CN"/>
                    </w:rPr>
                    <w:t>废油桶</w:t>
                  </w:r>
                </w:p>
              </w:tc>
            </w:tr>
            <w:tr w14:paraId="24BE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3296087F">
                  <w:pPr>
                    <w:pStyle w:val="55"/>
                    <w:rPr>
                      <w:highlight w:val="none"/>
                    </w:rPr>
                  </w:pPr>
                  <w:r>
                    <w:rPr>
                      <w:rFonts w:hint="eastAsia"/>
                      <w:highlight w:val="none"/>
                    </w:rPr>
                    <w:t>环境影响途径及危害后果（大气、地表水、地下水等）</w:t>
                  </w:r>
                </w:p>
              </w:tc>
              <w:tc>
                <w:tcPr>
                  <w:tcW w:w="6548" w:type="dxa"/>
                  <w:tcBorders>
                    <w:top w:val="single" w:color="auto" w:sz="4" w:space="0"/>
                    <w:left w:val="single" w:color="auto" w:sz="4" w:space="0"/>
                    <w:bottom w:val="single" w:color="auto" w:sz="4" w:space="0"/>
                    <w:right w:val="single" w:color="auto" w:sz="4" w:space="0"/>
                  </w:tcBorders>
                  <w:vAlign w:val="center"/>
                </w:tcPr>
                <w:p w14:paraId="40D0C914">
                  <w:pPr>
                    <w:pStyle w:val="55"/>
                    <w:rPr>
                      <w:highlight w:val="none"/>
                    </w:rPr>
                  </w:pPr>
                  <w:r>
                    <w:rPr>
                      <w:rFonts w:hint="eastAsia"/>
                      <w:highlight w:val="none"/>
                    </w:rPr>
                    <w:t>火灾事故发生后，燃烧产生有毒有害气体对附近人员健康产生影响；发生火灾时需消防水灭火，产生的消防废水可能会进入外界地表水环境，对地表水造成污染，亦或是下渗进入土壤和地下水中，造成土壤和地下水的污染。</w:t>
                  </w:r>
                </w:p>
              </w:tc>
            </w:tr>
            <w:tr w14:paraId="68C2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4719BD7A">
                  <w:pPr>
                    <w:pStyle w:val="55"/>
                    <w:rPr>
                      <w:highlight w:val="none"/>
                    </w:rPr>
                  </w:pPr>
                  <w:r>
                    <w:rPr>
                      <w:rFonts w:hint="eastAsia"/>
                      <w:highlight w:val="none"/>
                    </w:rPr>
                    <w:t>风险防范措施要求</w:t>
                  </w:r>
                </w:p>
              </w:tc>
              <w:tc>
                <w:tcPr>
                  <w:tcW w:w="6548" w:type="dxa"/>
                  <w:tcBorders>
                    <w:top w:val="single" w:color="auto" w:sz="4" w:space="0"/>
                    <w:left w:val="single" w:color="auto" w:sz="4" w:space="0"/>
                    <w:bottom w:val="single" w:color="auto" w:sz="4" w:space="0"/>
                    <w:right w:val="single" w:color="auto" w:sz="4" w:space="0"/>
                  </w:tcBorders>
                  <w:vAlign w:val="center"/>
                </w:tcPr>
                <w:p w14:paraId="4186BB0D">
                  <w:pPr>
                    <w:pStyle w:val="55"/>
                    <w:rPr>
                      <w:highlight w:val="none"/>
                    </w:rPr>
                  </w:pPr>
                  <w:r>
                    <w:rPr>
                      <w:highlight w:val="none"/>
                    </w:rPr>
                    <w:t>救援物资：厂区应配备相应的应急救援器材、消防器材置于明显、取用方便又安全的地方，定专人维护管理，定期检修</w:t>
                  </w:r>
                </w:p>
              </w:tc>
            </w:tr>
            <w:tr w14:paraId="1BA8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0" w:type="dxa"/>
                  <w:tcBorders>
                    <w:top w:val="single" w:color="auto" w:sz="4" w:space="0"/>
                    <w:left w:val="single" w:color="auto" w:sz="4" w:space="0"/>
                    <w:bottom w:val="single" w:color="auto" w:sz="4" w:space="0"/>
                    <w:right w:val="single" w:color="auto" w:sz="4" w:space="0"/>
                  </w:tcBorders>
                  <w:vAlign w:val="center"/>
                </w:tcPr>
                <w:p w14:paraId="101B6693">
                  <w:pPr>
                    <w:pStyle w:val="55"/>
                    <w:rPr>
                      <w:highlight w:val="none"/>
                    </w:rPr>
                  </w:pPr>
                  <w:r>
                    <w:rPr>
                      <w:rFonts w:hint="eastAsia"/>
                      <w:highlight w:val="none"/>
                    </w:rPr>
                    <w:t>填表说明</w:t>
                  </w:r>
                </w:p>
              </w:tc>
              <w:tc>
                <w:tcPr>
                  <w:tcW w:w="6548" w:type="dxa"/>
                  <w:tcBorders>
                    <w:top w:val="single" w:color="auto" w:sz="4" w:space="0"/>
                    <w:left w:val="single" w:color="auto" w:sz="4" w:space="0"/>
                    <w:bottom w:val="single" w:color="auto" w:sz="4" w:space="0"/>
                    <w:right w:val="single" w:color="auto" w:sz="4" w:space="0"/>
                  </w:tcBorders>
                  <w:vAlign w:val="center"/>
                </w:tcPr>
                <w:p w14:paraId="063ADFCF">
                  <w:pPr>
                    <w:pStyle w:val="55"/>
                    <w:rPr>
                      <w:highlight w:val="none"/>
                    </w:rPr>
                  </w:pPr>
                  <w:r>
                    <w:rPr>
                      <w:rFonts w:hint="eastAsia"/>
                      <w:highlight w:val="none"/>
                    </w:rPr>
                    <w:t>/</w:t>
                  </w:r>
                </w:p>
              </w:tc>
            </w:tr>
          </w:tbl>
          <w:p w14:paraId="3553F514">
            <w:pPr>
              <w:ind w:firstLine="480"/>
              <w:rPr>
                <w:highlight w:val="none"/>
              </w:rPr>
            </w:pPr>
            <w:r>
              <w:rPr>
                <w:rFonts w:hint="eastAsia"/>
                <w:highlight w:val="none"/>
              </w:rPr>
              <w:t>（</w:t>
            </w:r>
            <w:r>
              <w:rPr>
                <w:rFonts w:hint="eastAsia"/>
                <w:highlight w:val="none"/>
                <w:lang w:val="en-US" w:eastAsia="zh-CN"/>
              </w:rPr>
              <w:t>6</w:t>
            </w:r>
            <w:r>
              <w:rPr>
                <w:rFonts w:hint="eastAsia"/>
                <w:highlight w:val="none"/>
              </w:rPr>
              <w:t>）环境风险</w:t>
            </w:r>
            <w:r>
              <w:rPr>
                <w:highlight w:val="none"/>
              </w:rPr>
              <w:t>结论</w:t>
            </w:r>
          </w:p>
          <w:p w14:paraId="70EDCE0A">
            <w:pPr>
              <w:widowControl/>
              <w:ind w:firstLine="480"/>
              <w:jc w:val="left"/>
              <w:rPr>
                <w:highlight w:val="none"/>
              </w:rPr>
            </w:pPr>
            <w:r>
              <w:rPr>
                <w:rFonts w:ascii="䅂䍄䕅⯋컌" w:hAnsi="䅂䍄䕅⯋컌" w:eastAsia="䅂䍄䕅⯋컌" w:cs="䅂䍄䕅⯋컌"/>
                <w:color w:val="000000"/>
                <w:kern w:val="0"/>
                <w:highlight w:val="none"/>
                <w:lang w:bidi="ar"/>
              </w:rPr>
              <w:t>本项目不存在重大危险源，项目发生环境风险的类型和几率都很小，通过加强管理、采取有效措施，加强对运管员工防范事故风险能力的培训，</w:t>
            </w:r>
            <w:r>
              <w:rPr>
                <w:rFonts w:hint="eastAsia" w:ascii="䅂䍄䕅⯋컌" w:hAnsi="䅂䍄䕅⯋컌" w:eastAsia="䅂䍄䕅⯋컌" w:cs="䅂䍄䕅⯋컌"/>
                <w:color w:val="000000"/>
                <w:kern w:val="0"/>
                <w:highlight w:val="none"/>
                <w:lang w:bidi="ar"/>
              </w:rPr>
              <w:t>编制环境风险</w:t>
            </w:r>
            <w:r>
              <w:rPr>
                <w:rFonts w:ascii="䅂䍄䕅⯋컌" w:hAnsi="䅂䍄䕅⯋컌" w:eastAsia="䅂䍄䕅⯋컌" w:cs="䅂䍄䕅⯋컌"/>
                <w:color w:val="000000"/>
                <w:kern w:val="0"/>
                <w:highlight w:val="none"/>
                <w:lang w:bidi="ar"/>
              </w:rPr>
              <w:t>应急预案等，可进一步降低环境风险发生的</w:t>
            </w:r>
            <w:r>
              <w:rPr>
                <w:rFonts w:hint="eastAsia" w:ascii="䅂䍄䕅⯋컌" w:hAnsi="䅂䍄䕅⯋컌" w:eastAsia="宋体" w:cs="䅂䍄䕅⯋컌"/>
                <w:color w:val="000000"/>
                <w:kern w:val="0"/>
                <w:highlight w:val="none"/>
                <w:lang w:eastAsia="zh-CN" w:bidi="ar"/>
              </w:rPr>
              <w:t>概率</w:t>
            </w:r>
            <w:r>
              <w:rPr>
                <w:rFonts w:ascii="䅂䍄䕅⯋컌" w:hAnsi="䅂䍄䕅⯋컌" w:eastAsia="䅂䍄䕅⯋컌" w:cs="䅂䍄䕅⯋컌"/>
                <w:color w:val="000000"/>
                <w:kern w:val="0"/>
                <w:highlight w:val="none"/>
                <w:lang w:bidi="ar"/>
              </w:rPr>
              <w:t>和造成的影响。</w:t>
            </w:r>
          </w:p>
          <w:p w14:paraId="6E06444D">
            <w:pPr>
              <w:widowControl/>
              <w:ind w:firstLine="480"/>
              <w:jc w:val="left"/>
              <w:rPr>
                <w:highlight w:val="none"/>
              </w:rPr>
            </w:pPr>
            <w:r>
              <w:rPr>
                <w:rFonts w:ascii="䅂䍄䕅⯋컌" w:hAnsi="䅂䍄䕅⯋컌" w:eastAsia="䅂䍄䕅⯋컌" w:cs="䅂䍄䕅⯋컌"/>
                <w:color w:val="000000"/>
                <w:kern w:val="0"/>
                <w:highlight w:val="none"/>
                <w:lang w:bidi="ar"/>
              </w:rPr>
              <w:t>综上所述，经采取本评价提出风险防范措施后，评价认为从环境保护角度而言，本项目的</w:t>
            </w:r>
            <w:r>
              <w:rPr>
                <w:rFonts w:hint="eastAsia" w:ascii="䅂䍄䕅⯋컌" w:hAnsi="䅂䍄䕅⯋컌" w:eastAsia="宋体" w:cs="䅂䍄䕅⯋컌"/>
                <w:color w:val="000000"/>
                <w:kern w:val="0"/>
                <w:highlight w:val="none"/>
                <w:lang w:eastAsia="zh-CN" w:bidi="ar"/>
              </w:rPr>
              <w:t>环境</w:t>
            </w:r>
            <w:r>
              <w:rPr>
                <w:rFonts w:ascii="䅂䍄䕅⯋컌" w:hAnsi="䅂䍄䕅⯋컌" w:eastAsia="䅂䍄䕅⯋컌" w:cs="䅂䍄䕅⯋컌"/>
                <w:color w:val="000000"/>
                <w:kern w:val="0"/>
                <w:highlight w:val="none"/>
                <w:lang w:bidi="ar"/>
              </w:rPr>
              <w:t>风险可防控</w:t>
            </w:r>
            <w:r>
              <w:rPr>
                <w:rFonts w:hint="eastAsia" w:ascii="䅂䍄䕅⯋컌" w:hAnsi="䅂䍄䕅⯋컌" w:eastAsia="䅂䍄䕅⯋컌" w:cs="䅂䍄䕅⯋컌"/>
                <w:color w:val="000000"/>
                <w:kern w:val="0"/>
                <w:highlight w:val="none"/>
                <w:lang w:bidi="ar"/>
              </w:rPr>
              <w:t>。</w:t>
            </w:r>
          </w:p>
          <w:p w14:paraId="017722C1">
            <w:pPr>
              <w:pStyle w:val="3"/>
              <w:rPr>
                <w:highlight w:val="none"/>
              </w:rPr>
            </w:pPr>
            <w:r>
              <w:rPr>
                <w:rFonts w:hint="eastAsia" w:ascii="Times New Roman" w:hAnsi="Times New Roman" w:cs="Times New Roman"/>
                <w:highlight w:val="none"/>
              </w:rPr>
              <w:t>7</w:t>
            </w:r>
            <w:r>
              <w:rPr>
                <w:highlight w:val="none"/>
              </w:rPr>
              <w:t>工程环保投资概算</w:t>
            </w:r>
          </w:p>
          <w:p w14:paraId="527D056D">
            <w:pPr>
              <w:ind w:firstLine="480"/>
              <w:rPr>
                <w:highlight w:val="none"/>
              </w:rPr>
            </w:pPr>
            <w:r>
              <w:rPr>
                <w:highlight w:val="none"/>
              </w:rPr>
              <w:t>项目总投</w:t>
            </w:r>
            <w:r>
              <w:rPr>
                <w:rFonts w:hint="eastAsia"/>
                <w:highlight w:val="none"/>
              </w:rPr>
              <w:t>资1</w:t>
            </w:r>
            <w:r>
              <w:rPr>
                <w:rFonts w:hint="eastAsia"/>
                <w:highlight w:val="none"/>
                <w:lang w:val="en-US" w:eastAsia="zh-CN"/>
              </w:rPr>
              <w:t>500</w:t>
            </w:r>
            <w:r>
              <w:rPr>
                <w:highlight w:val="none"/>
              </w:rPr>
              <w:t>万元，其中环保投资</w:t>
            </w:r>
            <w:r>
              <w:rPr>
                <w:rFonts w:hint="eastAsia"/>
                <w:highlight w:val="none"/>
                <w:lang w:val="en-US" w:eastAsia="zh-CN"/>
              </w:rPr>
              <w:t>150</w:t>
            </w:r>
            <w:r>
              <w:rPr>
                <w:highlight w:val="none"/>
              </w:rPr>
              <w:t>万元，占投资的</w:t>
            </w:r>
            <w:r>
              <w:rPr>
                <w:rFonts w:hint="eastAsia"/>
                <w:highlight w:val="none"/>
                <w:lang w:val="en-US" w:eastAsia="zh-CN"/>
              </w:rPr>
              <w:t>10</w:t>
            </w:r>
            <w:r>
              <w:rPr>
                <w:highlight w:val="none"/>
              </w:rPr>
              <w:t>%。</w:t>
            </w:r>
          </w:p>
          <w:p w14:paraId="21461319">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表4-1</w:t>
            </w:r>
            <w:r>
              <w:rPr>
                <w:rFonts w:hint="eastAsia" w:ascii="Times New Roman" w:hAnsi="Times New Roman" w:eastAsia="宋体" w:cs="Times New Roman"/>
                <w:sz w:val="21"/>
                <w:szCs w:val="21"/>
                <w:highlight w:val="none"/>
                <w:lang w:val="en-US" w:eastAsia="zh-CN"/>
              </w:rPr>
              <w:t>6</w:t>
            </w:r>
            <w:r>
              <w:rPr>
                <w:rFonts w:hint="default" w:ascii="Times New Roman" w:hAnsi="Times New Roman" w:cs="Times New Roman"/>
                <w:sz w:val="21"/>
                <w:szCs w:val="21"/>
                <w:highlight w:val="none"/>
              </w:rPr>
              <w:t xml:space="preserve">        环保投资概算一览表</w:t>
            </w:r>
          </w:p>
          <w:tbl>
            <w:tblPr>
              <w:tblStyle w:val="30"/>
              <w:tblW w:w="7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650"/>
              <w:gridCol w:w="1933"/>
              <w:gridCol w:w="3517"/>
              <w:gridCol w:w="1275"/>
            </w:tblGrid>
            <w:tr w14:paraId="313A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dxa"/>
                  <w:gridSpan w:val="2"/>
                  <w:vAlign w:val="center"/>
                </w:tcPr>
                <w:p w14:paraId="185765A0">
                  <w:pPr>
                    <w:pStyle w:val="55"/>
                    <w:rPr>
                      <w:highlight w:val="none"/>
                    </w:rPr>
                  </w:pPr>
                  <w:r>
                    <w:rPr>
                      <w:rFonts w:hint="eastAsia"/>
                      <w:highlight w:val="none"/>
                    </w:rPr>
                    <w:t>类别</w:t>
                  </w:r>
                </w:p>
              </w:tc>
              <w:tc>
                <w:tcPr>
                  <w:tcW w:w="1933" w:type="dxa"/>
                  <w:vAlign w:val="center"/>
                </w:tcPr>
                <w:p w14:paraId="6BE25FCC">
                  <w:pPr>
                    <w:pStyle w:val="55"/>
                    <w:rPr>
                      <w:highlight w:val="none"/>
                    </w:rPr>
                  </w:pPr>
                  <w:r>
                    <w:rPr>
                      <w:rFonts w:hint="eastAsia"/>
                      <w:highlight w:val="none"/>
                    </w:rPr>
                    <w:t>污染源</w:t>
                  </w:r>
                </w:p>
              </w:tc>
              <w:tc>
                <w:tcPr>
                  <w:tcW w:w="3517" w:type="dxa"/>
                  <w:vAlign w:val="center"/>
                </w:tcPr>
                <w:p w14:paraId="6682098C">
                  <w:pPr>
                    <w:pStyle w:val="55"/>
                    <w:rPr>
                      <w:color w:val="auto"/>
                      <w:highlight w:val="none"/>
                    </w:rPr>
                  </w:pPr>
                  <w:r>
                    <w:rPr>
                      <w:color w:val="auto"/>
                      <w:highlight w:val="none"/>
                    </w:rPr>
                    <w:t>环保措施</w:t>
                  </w:r>
                </w:p>
              </w:tc>
              <w:tc>
                <w:tcPr>
                  <w:tcW w:w="1275" w:type="dxa"/>
                  <w:vAlign w:val="center"/>
                </w:tcPr>
                <w:p w14:paraId="25B52431">
                  <w:pPr>
                    <w:pStyle w:val="55"/>
                    <w:rPr>
                      <w:color w:val="auto"/>
                      <w:highlight w:val="none"/>
                    </w:rPr>
                  </w:pPr>
                  <w:r>
                    <w:rPr>
                      <w:color w:val="auto"/>
                      <w:highlight w:val="none"/>
                    </w:rPr>
                    <w:t>投资（万元）</w:t>
                  </w:r>
                </w:p>
              </w:tc>
            </w:tr>
            <w:tr w14:paraId="4DCB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restart"/>
                  <w:vAlign w:val="center"/>
                </w:tcPr>
                <w:p w14:paraId="08CBB682">
                  <w:pPr>
                    <w:pStyle w:val="55"/>
                    <w:rPr>
                      <w:rFonts w:hint="default" w:eastAsia="宋体"/>
                      <w:highlight w:val="none"/>
                      <w:lang w:val="en-US" w:eastAsia="zh-CN"/>
                    </w:rPr>
                  </w:pPr>
                  <w:r>
                    <w:rPr>
                      <w:rFonts w:hint="eastAsia"/>
                      <w:highlight w:val="none"/>
                      <w:lang w:val="en-US" w:eastAsia="zh-CN"/>
                    </w:rPr>
                    <w:t>施工期</w:t>
                  </w:r>
                </w:p>
              </w:tc>
              <w:tc>
                <w:tcPr>
                  <w:tcW w:w="650" w:type="dxa"/>
                  <w:vAlign w:val="center"/>
                </w:tcPr>
                <w:p w14:paraId="59F57E24">
                  <w:pPr>
                    <w:pStyle w:val="55"/>
                    <w:ind w:firstLine="0" w:firstLineChars="0"/>
                    <w:rPr>
                      <w:rFonts w:hint="eastAsia"/>
                      <w:highlight w:val="none"/>
                    </w:rPr>
                  </w:pPr>
                  <w:r>
                    <w:rPr>
                      <w:highlight w:val="none"/>
                    </w:rPr>
                    <w:t>废气</w:t>
                  </w:r>
                </w:p>
              </w:tc>
              <w:tc>
                <w:tcPr>
                  <w:tcW w:w="1933" w:type="dxa"/>
                  <w:vAlign w:val="center"/>
                </w:tcPr>
                <w:p w14:paraId="65F32672">
                  <w:pPr>
                    <w:pStyle w:val="55"/>
                    <w:rPr>
                      <w:rFonts w:hint="eastAsia" w:eastAsia="宋体"/>
                      <w:highlight w:val="none"/>
                      <w:lang w:val="en-US" w:eastAsia="zh-CN"/>
                    </w:rPr>
                  </w:pPr>
                  <w:r>
                    <w:rPr>
                      <w:rFonts w:hint="eastAsia"/>
                      <w:highlight w:val="none"/>
                      <w:lang w:val="en-US" w:eastAsia="zh-CN"/>
                    </w:rPr>
                    <w:t>施工扬尘</w:t>
                  </w:r>
                </w:p>
              </w:tc>
              <w:tc>
                <w:tcPr>
                  <w:tcW w:w="3517" w:type="dxa"/>
                  <w:vAlign w:val="center"/>
                </w:tcPr>
                <w:p w14:paraId="43F10898">
                  <w:pPr>
                    <w:pStyle w:val="55"/>
                    <w:rPr>
                      <w:rFonts w:hint="eastAsia"/>
                      <w:highlight w:val="none"/>
                      <w:lang w:eastAsia="zh-CN"/>
                    </w:rPr>
                  </w:pPr>
                  <w:r>
                    <w:rPr>
                      <w:highlight w:val="none"/>
                    </w:rPr>
                    <w:t>工场地设置围挡</w:t>
                  </w:r>
                  <w:r>
                    <w:rPr>
                      <w:rFonts w:hint="eastAsia"/>
                      <w:highlight w:val="none"/>
                      <w:lang w:eastAsia="zh-CN"/>
                    </w:rPr>
                    <w:t>、</w:t>
                  </w:r>
                  <w:r>
                    <w:rPr>
                      <w:highlight w:val="none"/>
                    </w:rPr>
                    <w:t>定期对路面和施工场区洒水</w:t>
                  </w:r>
                  <w:r>
                    <w:rPr>
                      <w:rFonts w:hint="eastAsia"/>
                      <w:highlight w:val="none"/>
                      <w:lang w:eastAsia="zh-CN"/>
                    </w:rPr>
                    <w:t>、</w:t>
                  </w:r>
                  <w:r>
                    <w:rPr>
                      <w:highlight w:val="none"/>
                    </w:rPr>
                    <w:t>易扬尘物料加盖苫布</w:t>
                  </w:r>
                </w:p>
              </w:tc>
              <w:tc>
                <w:tcPr>
                  <w:tcW w:w="1275" w:type="dxa"/>
                  <w:vAlign w:val="center"/>
                </w:tcPr>
                <w:p w14:paraId="23018BB4">
                  <w:pPr>
                    <w:pStyle w:val="55"/>
                    <w:rPr>
                      <w:rFonts w:hint="default" w:eastAsia="宋体"/>
                      <w:color w:val="auto"/>
                      <w:highlight w:val="none"/>
                      <w:lang w:val="en-US" w:eastAsia="zh-CN"/>
                    </w:rPr>
                  </w:pPr>
                  <w:r>
                    <w:rPr>
                      <w:rFonts w:hint="eastAsia"/>
                      <w:color w:val="auto"/>
                      <w:highlight w:val="none"/>
                      <w:lang w:val="en-US" w:eastAsia="zh-CN"/>
                    </w:rPr>
                    <w:t>10</w:t>
                  </w:r>
                </w:p>
              </w:tc>
            </w:tr>
            <w:tr w14:paraId="5BC1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continue"/>
                  <w:vAlign w:val="center"/>
                </w:tcPr>
                <w:p w14:paraId="2ED8B4DD">
                  <w:pPr>
                    <w:pStyle w:val="55"/>
                    <w:rPr>
                      <w:rFonts w:hint="eastAsia"/>
                      <w:highlight w:val="none"/>
                      <w:lang w:val="en-US" w:eastAsia="zh-CN"/>
                    </w:rPr>
                  </w:pPr>
                </w:p>
              </w:tc>
              <w:tc>
                <w:tcPr>
                  <w:tcW w:w="650" w:type="dxa"/>
                  <w:vMerge w:val="restart"/>
                  <w:vAlign w:val="center"/>
                </w:tcPr>
                <w:p w14:paraId="206F11FF">
                  <w:pPr>
                    <w:pStyle w:val="55"/>
                    <w:ind w:firstLine="0" w:firstLineChars="0"/>
                    <w:rPr>
                      <w:rFonts w:hint="eastAsia"/>
                      <w:highlight w:val="none"/>
                    </w:rPr>
                  </w:pPr>
                  <w:r>
                    <w:rPr>
                      <w:highlight w:val="none"/>
                    </w:rPr>
                    <w:t>废水</w:t>
                  </w:r>
                </w:p>
              </w:tc>
              <w:tc>
                <w:tcPr>
                  <w:tcW w:w="1933" w:type="dxa"/>
                  <w:vAlign w:val="center"/>
                </w:tcPr>
                <w:p w14:paraId="32293C04">
                  <w:pPr>
                    <w:pStyle w:val="55"/>
                    <w:rPr>
                      <w:rFonts w:hint="default" w:eastAsia="宋体"/>
                      <w:highlight w:val="none"/>
                      <w:lang w:val="en-US" w:eastAsia="zh-CN"/>
                    </w:rPr>
                  </w:pPr>
                  <w:r>
                    <w:rPr>
                      <w:rFonts w:hint="eastAsia"/>
                      <w:highlight w:val="none"/>
                      <w:lang w:val="en-US" w:eastAsia="zh-CN"/>
                    </w:rPr>
                    <w:t>施工废水</w:t>
                  </w:r>
                </w:p>
              </w:tc>
              <w:tc>
                <w:tcPr>
                  <w:tcW w:w="3517" w:type="dxa"/>
                  <w:vAlign w:val="center"/>
                </w:tcPr>
                <w:p w14:paraId="4F946137">
                  <w:pPr>
                    <w:pStyle w:val="55"/>
                    <w:jc w:val="both"/>
                    <w:rPr>
                      <w:rFonts w:hint="eastAsia" w:eastAsia="宋体"/>
                      <w:highlight w:val="none"/>
                      <w:lang w:eastAsia="zh-CN"/>
                    </w:rPr>
                  </w:pPr>
                  <w:r>
                    <w:rPr>
                      <w:rFonts w:hint="eastAsia"/>
                      <w:highlight w:val="none"/>
                      <w:lang w:val="en-US" w:eastAsia="zh-CN"/>
                    </w:rPr>
                    <w:t>进入临时</w:t>
                  </w:r>
                  <w:r>
                    <w:rPr>
                      <w:highlight w:val="none"/>
                    </w:rPr>
                    <w:t>沉淀池沉淀后，</w:t>
                  </w:r>
                  <w:r>
                    <w:rPr>
                      <w:rFonts w:hint="eastAsia"/>
                      <w:highlight w:val="none"/>
                      <w:lang w:val="en-US" w:eastAsia="zh-CN"/>
                    </w:rPr>
                    <w:t>回用</w:t>
                  </w:r>
                </w:p>
              </w:tc>
              <w:tc>
                <w:tcPr>
                  <w:tcW w:w="1275" w:type="dxa"/>
                  <w:vAlign w:val="center"/>
                </w:tcPr>
                <w:p w14:paraId="1D064FF2">
                  <w:pPr>
                    <w:pStyle w:val="55"/>
                    <w:rPr>
                      <w:rFonts w:hint="default" w:eastAsia="宋体"/>
                      <w:color w:val="auto"/>
                      <w:highlight w:val="none"/>
                      <w:lang w:val="en-US" w:eastAsia="zh-CN"/>
                    </w:rPr>
                  </w:pPr>
                  <w:r>
                    <w:rPr>
                      <w:rFonts w:hint="eastAsia"/>
                      <w:color w:val="auto"/>
                      <w:highlight w:val="none"/>
                      <w:lang w:val="en-US" w:eastAsia="zh-CN"/>
                    </w:rPr>
                    <w:t>10</w:t>
                  </w:r>
                </w:p>
              </w:tc>
            </w:tr>
            <w:tr w14:paraId="4C9C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continue"/>
                  <w:vAlign w:val="center"/>
                </w:tcPr>
                <w:p w14:paraId="23BB06A4">
                  <w:pPr>
                    <w:pStyle w:val="55"/>
                    <w:rPr>
                      <w:rFonts w:hint="eastAsia"/>
                      <w:highlight w:val="none"/>
                      <w:lang w:val="en-US" w:eastAsia="zh-CN"/>
                    </w:rPr>
                  </w:pPr>
                </w:p>
              </w:tc>
              <w:tc>
                <w:tcPr>
                  <w:tcW w:w="650" w:type="dxa"/>
                  <w:vMerge w:val="continue"/>
                  <w:vAlign w:val="center"/>
                </w:tcPr>
                <w:p w14:paraId="376406DD">
                  <w:pPr>
                    <w:pStyle w:val="55"/>
                    <w:ind w:firstLine="0" w:firstLineChars="0"/>
                    <w:rPr>
                      <w:highlight w:val="none"/>
                    </w:rPr>
                  </w:pPr>
                </w:p>
              </w:tc>
              <w:tc>
                <w:tcPr>
                  <w:tcW w:w="1933" w:type="dxa"/>
                  <w:vAlign w:val="center"/>
                </w:tcPr>
                <w:p w14:paraId="4D5E9A6D">
                  <w:pPr>
                    <w:pStyle w:val="55"/>
                    <w:rPr>
                      <w:rFonts w:hint="default"/>
                      <w:highlight w:val="none"/>
                      <w:lang w:val="en-US" w:eastAsia="zh-CN"/>
                    </w:rPr>
                  </w:pPr>
                  <w:r>
                    <w:rPr>
                      <w:rFonts w:hint="eastAsia"/>
                      <w:highlight w:val="none"/>
                      <w:lang w:val="en-US" w:eastAsia="zh-CN"/>
                    </w:rPr>
                    <w:t>施工人员生活污水</w:t>
                  </w:r>
                </w:p>
              </w:tc>
              <w:tc>
                <w:tcPr>
                  <w:tcW w:w="3517" w:type="dxa"/>
                  <w:vAlign w:val="center"/>
                </w:tcPr>
                <w:p w14:paraId="06991971">
                  <w:pPr>
                    <w:pStyle w:val="55"/>
                    <w:rPr>
                      <w:highlight w:val="none"/>
                    </w:rPr>
                  </w:pPr>
                  <w:r>
                    <w:rPr>
                      <w:rFonts w:hint="eastAsia"/>
                      <w:highlight w:val="none"/>
                    </w:rPr>
                    <w:t>排入</w:t>
                  </w:r>
                  <w:r>
                    <w:rPr>
                      <w:rFonts w:hint="eastAsia"/>
                      <w:highlight w:val="none"/>
                      <w:lang w:val="en-US" w:eastAsia="zh-CN"/>
                    </w:rPr>
                    <w:t>临时</w:t>
                  </w:r>
                  <w:r>
                    <w:rPr>
                      <w:rFonts w:hint="eastAsia"/>
                      <w:highlight w:val="none"/>
                    </w:rPr>
                    <w:t>化粪池</w:t>
                  </w:r>
                  <w:r>
                    <w:rPr>
                      <w:rFonts w:hint="eastAsia"/>
                      <w:highlight w:val="none"/>
                      <w:lang w:eastAsia="zh-CN"/>
                    </w:rPr>
                    <w:t>预处理后</w:t>
                  </w:r>
                  <w:r>
                    <w:rPr>
                      <w:rFonts w:hint="eastAsia"/>
                      <w:highlight w:val="none"/>
                      <w:lang w:val="en-US" w:eastAsia="zh-CN"/>
                    </w:rPr>
                    <w:t>拉运至若羌</w:t>
                  </w:r>
                  <w:r>
                    <w:rPr>
                      <w:rFonts w:hint="eastAsia"/>
                      <w:highlight w:val="none"/>
                      <w:lang w:eastAsia="zh-CN"/>
                    </w:rPr>
                    <w:t>县污水处理厂处置</w:t>
                  </w:r>
                </w:p>
              </w:tc>
              <w:tc>
                <w:tcPr>
                  <w:tcW w:w="1275" w:type="dxa"/>
                  <w:vAlign w:val="center"/>
                </w:tcPr>
                <w:p w14:paraId="2FD0324F">
                  <w:pPr>
                    <w:pStyle w:val="55"/>
                    <w:rPr>
                      <w:rFonts w:hint="default" w:eastAsia="宋体"/>
                      <w:color w:val="auto"/>
                      <w:highlight w:val="none"/>
                      <w:lang w:val="en-US" w:eastAsia="zh-CN"/>
                    </w:rPr>
                  </w:pPr>
                  <w:r>
                    <w:rPr>
                      <w:rFonts w:hint="eastAsia"/>
                      <w:color w:val="auto"/>
                      <w:highlight w:val="none"/>
                      <w:lang w:val="en-US" w:eastAsia="zh-CN"/>
                    </w:rPr>
                    <w:t>10</w:t>
                  </w:r>
                </w:p>
              </w:tc>
            </w:tr>
            <w:tr w14:paraId="17A5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26" w:type="dxa"/>
                  <w:vMerge w:val="continue"/>
                  <w:vAlign w:val="center"/>
                </w:tcPr>
                <w:p w14:paraId="4942B8C1">
                  <w:pPr>
                    <w:pStyle w:val="55"/>
                    <w:rPr>
                      <w:rFonts w:hint="eastAsia"/>
                      <w:highlight w:val="none"/>
                      <w:lang w:val="en-US" w:eastAsia="zh-CN"/>
                    </w:rPr>
                  </w:pPr>
                </w:p>
              </w:tc>
              <w:tc>
                <w:tcPr>
                  <w:tcW w:w="650" w:type="dxa"/>
                  <w:vAlign w:val="center"/>
                </w:tcPr>
                <w:p w14:paraId="13A6EBA7">
                  <w:pPr>
                    <w:pStyle w:val="55"/>
                    <w:ind w:firstLine="0" w:firstLineChars="0"/>
                    <w:rPr>
                      <w:rFonts w:hint="eastAsia"/>
                      <w:highlight w:val="none"/>
                    </w:rPr>
                  </w:pPr>
                  <w:r>
                    <w:rPr>
                      <w:highlight w:val="none"/>
                    </w:rPr>
                    <w:t>噪声</w:t>
                  </w:r>
                </w:p>
              </w:tc>
              <w:tc>
                <w:tcPr>
                  <w:tcW w:w="1933" w:type="dxa"/>
                  <w:vAlign w:val="center"/>
                </w:tcPr>
                <w:p w14:paraId="648B950E">
                  <w:pPr>
                    <w:pStyle w:val="55"/>
                    <w:rPr>
                      <w:rFonts w:hint="eastAsia" w:eastAsia="宋体"/>
                      <w:highlight w:val="none"/>
                      <w:lang w:val="en-US" w:eastAsia="zh-CN"/>
                    </w:rPr>
                  </w:pPr>
                  <w:r>
                    <w:rPr>
                      <w:rFonts w:hint="eastAsia"/>
                      <w:highlight w:val="none"/>
                      <w:lang w:val="en-US" w:eastAsia="zh-CN"/>
                    </w:rPr>
                    <w:t>施工噪声</w:t>
                  </w:r>
                </w:p>
              </w:tc>
              <w:tc>
                <w:tcPr>
                  <w:tcW w:w="3517" w:type="dxa"/>
                  <w:vAlign w:val="center"/>
                </w:tcPr>
                <w:p w14:paraId="5829812C">
                  <w:pPr>
                    <w:pStyle w:val="55"/>
                    <w:rPr>
                      <w:highlight w:val="none"/>
                    </w:rPr>
                  </w:pPr>
                  <w:r>
                    <w:rPr>
                      <w:snapToGrid w:val="0"/>
                      <w:kern w:val="0"/>
                      <w:highlight w:val="none"/>
                    </w:rPr>
                    <w:t>使用低噪声设备，同时合理安排施工时间</w:t>
                  </w:r>
                </w:p>
              </w:tc>
              <w:tc>
                <w:tcPr>
                  <w:tcW w:w="1275" w:type="dxa"/>
                  <w:vAlign w:val="center"/>
                </w:tcPr>
                <w:p w14:paraId="7BF485CB">
                  <w:pPr>
                    <w:pStyle w:val="55"/>
                    <w:rPr>
                      <w:rFonts w:hint="default" w:eastAsia="宋体"/>
                      <w:color w:val="auto"/>
                      <w:highlight w:val="none"/>
                      <w:lang w:val="en-US" w:eastAsia="zh-CN"/>
                    </w:rPr>
                  </w:pPr>
                  <w:r>
                    <w:rPr>
                      <w:rFonts w:hint="eastAsia"/>
                      <w:color w:val="auto"/>
                      <w:highlight w:val="none"/>
                      <w:lang w:val="en-US" w:eastAsia="zh-CN"/>
                    </w:rPr>
                    <w:t>10</w:t>
                  </w:r>
                </w:p>
              </w:tc>
            </w:tr>
            <w:tr w14:paraId="371B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dxa"/>
                  <w:vMerge w:val="continue"/>
                  <w:vAlign w:val="center"/>
                </w:tcPr>
                <w:p w14:paraId="54300140">
                  <w:pPr>
                    <w:pStyle w:val="55"/>
                    <w:rPr>
                      <w:rFonts w:hint="eastAsia"/>
                      <w:highlight w:val="none"/>
                      <w:lang w:val="en-US" w:eastAsia="zh-CN"/>
                    </w:rPr>
                  </w:pPr>
                </w:p>
              </w:tc>
              <w:tc>
                <w:tcPr>
                  <w:tcW w:w="650" w:type="dxa"/>
                  <w:vMerge w:val="restart"/>
                  <w:vAlign w:val="center"/>
                </w:tcPr>
                <w:p w14:paraId="3F054D37">
                  <w:pPr>
                    <w:pStyle w:val="55"/>
                    <w:ind w:firstLine="0" w:firstLineChars="0"/>
                    <w:rPr>
                      <w:rFonts w:hint="eastAsia" w:eastAsia="宋体"/>
                      <w:highlight w:val="none"/>
                      <w:lang w:val="en-US" w:eastAsia="zh-CN"/>
                    </w:rPr>
                  </w:pPr>
                  <w:r>
                    <w:rPr>
                      <w:rFonts w:hint="eastAsia"/>
                      <w:highlight w:val="none"/>
                      <w:lang w:val="en-US" w:eastAsia="zh-CN"/>
                    </w:rPr>
                    <w:t>固废</w:t>
                  </w:r>
                </w:p>
              </w:tc>
              <w:tc>
                <w:tcPr>
                  <w:tcW w:w="1933" w:type="dxa"/>
                  <w:vAlign w:val="center"/>
                </w:tcPr>
                <w:p w14:paraId="32FE4B08">
                  <w:pPr>
                    <w:pStyle w:val="55"/>
                    <w:rPr>
                      <w:rFonts w:hint="default"/>
                      <w:highlight w:val="none"/>
                      <w:lang w:val="en-US"/>
                    </w:rPr>
                  </w:pPr>
                  <w:r>
                    <w:rPr>
                      <w:rFonts w:hint="eastAsia"/>
                      <w:highlight w:val="none"/>
                      <w:lang w:val="en-US" w:eastAsia="zh-CN"/>
                    </w:rPr>
                    <w:t>施工人员生活垃圾</w:t>
                  </w:r>
                </w:p>
              </w:tc>
              <w:tc>
                <w:tcPr>
                  <w:tcW w:w="3517" w:type="dxa"/>
                  <w:vAlign w:val="center"/>
                </w:tcPr>
                <w:p w14:paraId="083F3448">
                  <w:pPr>
                    <w:pStyle w:val="55"/>
                    <w:rPr>
                      <w:highlight w:val="none"/>
                    </w:rPr>
                  </w:pPr>
                  <w:r>
                    <w:rPr>
                      <w:snapToGrid w:val="0"/>
                      <w:kern w:val="0"/>
                      <w:highlight w:val="none"/>
                    </w:rPr>
                    <w:t>集中收集，</w:t>
                  </w:r>
                  <w:r>
                    <w:rPr>
                      <w:rFonts w:hint="eastAsia"/>
                      <w:snapToGrid w:val="0"/>
                      <w:kern w:val="0"/>
                      <w:highlight w:val="none"/>
                    </w:rPr>
                    <w:t>清运到</w:t>
                  </w:r>
                  <w:r>
                    <w:rPr>
                      <w:rFonts w:hint="eastAsia"/>
                      <w:snapToGrid w:val="0"/>
                      <w:kern w:val="0"/>
                      <w:highlight w:val="none"/>
                      <w:lang w:val="en-US" w:eastAsia="zh-CN"/>
                    </w:rPr>
                    <w:t>若羌</w:t>
                  </w:r>
                  <w:r>
                    <w:rPr>
                      <w:rFonts w:hint="eastAsia"/>
                      <w:snapToGrid w:val="0"/>
                      <w:kern w:val="0"/>
                      <w:highlight w:val="none"/>
                    </w:rPr>
                    <w:t>县生活垃圾填埋场填埋处理</w:t>
                  </w:r>
                </w:p>
              </w:tc>
              <w:tc>
                <w:tcPr>
                  <w:tcW w:w="1275" w:type="dxa"/>
                  <w:vMerge w:val="restart"/>
                  <w:vAlign w:val="center"/>
                </w:tcPr>
                <w:p w14:paraId="2FF1CD06">
                  <w:pPr>
                    <w:pStyle w:val="55"/>
                    <w:rPr>
                      <w:rFonts w:hint="default" w:eastAsia="宋体"/>
                      <w:color w:val="auto"/>
                      <w:highlight w:val="none"/>
                      <w:lang w:val="en-US" w:eastAsia="zh-CN"/>
                    </w:rPr>
                  </w:pPr>
                  <w:r>
                    <w:rPr>
                      <w:rFonts w:hint="eastAsia"/>
                      <w:color w:val="auto"/>
                      <w:highlight w:val="none"/>
                      <w:lang w:val="en-US" w:eastAsia="zh-CN"/>
                    </w:rPr>
                    <w:t>15</w:t>
                  </w:r>
                </w:p>
              </w:tc>
            </w:tr>
            <w:tr w14:paraId="2347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 w:hRule="atLeast"/>
                <w:jc w:val="center"/>
              </w:trPr>
              <w:tc>
                <w:tcPr>
                  <w:tcW w:w="526" w:type="dxa"/>
                  <w:vMerge w:val="continue"/>
                  <w:vAlign w:val="center"/>
                </w:tcPr>
                <w:p w14:paraId="4452A01B">
                  <w:pPr>
                    <w:pStyle w:val="55"/>
                    <w:rPr>
                      <w:rFonts w:hint="eastAsia"/>
                      <w:highlight w:val="none"/>
                      <w:lang w:val="en-US" w:eastAsia="zh-CN"/>
                    </w:rPr>
                  </w:pPr>
                </w:p>
              </w:tc>
              <w:tc>
                <w:tcPr>
                  <w:tcW w:w="650" w:type="dxa"/>
                  <w:vMerge w:val="continue"/>
                  <w:vAlign w:val="center"/>
                </w:tcPr>
                <w:p w14:paraId="1C602931">
                  <w:pPr>
                    <w:pStyle w:val="55"/>
                    <w:ind w:firstLine="0" w:firstLineChars="0"/>
                    <w:rPr>
                      <w:rFonts w:hint="eastAsia"/>
                      <w:highlight w:val="none"/>
                      <w:lang w:val="en-US" w:eastAsia="zh-CN"/>
                    </w:rPr>
                  </w:pPr>
                </w:p>
              </w:tc>
              <w:tc>
                <w:tcPr>
                  <w:tcW w:w="1933" w:type="dxa"/>
                  <w:vAlign w:val="center"/>
                </w:tcPr>
                <w:p w14:paraId="3586841D">
                  <w:pPr>
                    <w:pStyle w:val="55"/>
                    <w:rPr>
                      <w:rFonts w:hint="default" w:eastAsia="宋体"/>
                      <w:highlight w:val="none"/>
                      <w:lang w:val="en-US" w:eastAsia="zh-CN"/>
                    </w:rPr>
                  </w:pPr>
                  <w:r>
                    <w:rPr>
                      <w:rFonts w:hint="eastAsia"/>
                      <w:highlight w:val="none"/>
                      <w:lang w:val="en-US" w:eastAsia="zh-CN"/>
                    </w:rPr>
                    <w:t>施工垃圾</w:t>
                  </w:r>
                </w:p>
              </w:tc>
              <w:tc>
                <w:tcPr>
                  <w:tcW w:w="3517" w:type="dxa"/>
                  <w:vAlign w:val="center"/>
                </w:tcPr>
                <w:p w14:paraId="34EB4D4B">
                  <w:pPr>
                    <w:pStyle w:val="55"/>
                    <w:rPr>
                      <w:highlight w:val="none"/>
                    </w:rPr>
                  </w:pPr>
                  <w:r>
                    <w:rPr>
                      <w:rFonts w:hint="eastAsia" w:ascii="宋体" w:hAnsi="宋体" w:cs="宋体"/>
                      <w:snapToGrid w:val="0"/>
                      <w:color w:val="000000"/>
                      <w:kern w:val="0"/>
                      <w:highlight w:val="none"/>
                      <w:lang w:bidi="ar"/>
                    </w:rPr>
                    <w:t>将可回收利用部分进行回收利用或外售，不能回收利用部分，拉运</w:t>
                  </w:r>
                  <w:r>
                    <w:rPr>
                      <w:highlight w:val="none"/>
                    </w:rPr>
                    <w:t>当地环卫部门指定的建筑垃圾堆放场</w:t>
                  </w:r>
                </w:p>
              </w:tc>
              <w:tc>
                <w:tcPr>
                  <w:tcW w:w="1275" w:type="dxa"/>
                  <w:vMerge w:val="continue"/>
                  <w:vAlign w:val="center"/>
                </w:tcPr>
                <w:p w14:paraId="08E865FA">
                  <w:pPr>
                    <w:pStyle w:val="55"/>
                    <w:rPr>
                      <w:color w:val="auto"/>
                      <w:highlight w:val="none"/>
                    </w:rPr>
                  </w:pPr>
                </w:p>
              </w:tc>
            </w:tr>
            <w:tr w14:paraId="4CBE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26" w:type="dxa"/>
                  <w:vMerge w:val="restart"/>
                  <w:vAlign w:val="center"/>
                </w:tcPr>
                <w:p w14:paraId="1F0DCA1D">
                  <w:pPr>
                    <w:pStyle w:val="55"/>
                    <w:rPr>
                      <w:rFonts w:hint="eastAsia" w:eastAsia="宋体"/>
                      <w:highlight w:val="none"/>
                      <w:lang w:val="en-US" w:eastAsia="zh-CN"/>
                    </w:rPr>
                  </w:pPr>
                  <w:r>
                    <w:rPr>
                      <w:rFonts w:hint="eastAsia"/>
                      <w:highlight w:val="none"/>
                      <w:lang w:val="en-US" w:eastAsia="zh-CN"/>
                    </w:rPr>
                    <w:t>运营期</w:t>
                  </w:r>
                </w:p>
              </w:tc>
              <w:tc>
                <w:tcPr>
                  <w:tcW w:w="650" w:type="dxa"/>
                  <w:vMerge w:val="restart"/>
                  <w:vAlign w:val="center"/>
                </w:tcPr>
                <w:p w14:paraId="41BD31D9">
                  <w:pPr>
                    <w:pStyle w:val="55"/>
                    <w:rPr>
                      <w:highlight w:val="none"/>
                    </w:rPr>
                  </w:pPr>
                  <w:r>
                    <w:rPr>
                      <w:highlight w:val="none"/>
                    </w:rPr>
                    <w:t>废气</w:t>
                  </w:r>
                </w:p>
              </w:tc>
              <w:tc>
                <w:tcPr>
                  <w:tcW w:w="1933" w:type="dxa"/>
                  <w:vAlign w:val="center"/>
                </w:tcPr>
                <w:p w14:paraId="6F0F707B">
                  <w:pPr>
                    <w:pStyle w:val="55"/>
                    <w:rPr>
                      <w:highlight w:val="none"/>
                    </w:rPr>
                  </w:pPr>
                  <w:r>
                    <w:rPr>
                      <w:rFonts w:hint="eastAsia"/>
                      <w:highlight w:val="none"/>
                      <w:lang w:val="en-US" w:eastAsia="zh-CN"/>
                    </w:rPr>
                    <w:t>粉煤灰</w:t>
                  </w:r>
                  <w:r>
                    <w:rPr>
                      <w:rFonts w:hint="eastAsia"/>
                      <w:highlight w:val="none"/>
                    </w:rPr>
                    <w:t>生产线</w:t>
                  </w:r>
                </w:p>
              </w:tc>
              <w:tc>
                <w:tcPr>
                  <w:tcW w:w="3517" w:type="dxa"/>
                  <w:vAlign w:val="center"/>
                </w:tcPr>
                <w:p w14:paraId="3E5B167F">
                  <w:pPr>
                    <w:pStyle w:val="55"/>
                    <w:rPr>
                      <w:highlight w:val="none"/>
                    </w:rPr>
                  </w:pPr>
                  <w:r>
                    <w:rPr>
                      <w:rFonts w:hint="eastAsia"/>
                      <w:highlight w:val="none"/>
                      <w:lang w:val="en-US" w:eastAsia="zh-CN"/>
                    </w:rPr>
                    <w:t>1</w:t>
                  </w:r>
                  <w:r>
                    <w:rPr>
                      <w:rFonts w:hint="eastAsia"/>
                      <w:highlight w:val="none"/>
                    </w:rPr>
                    <w:t>台布袋除尘器+1根</w:t>
                  </w:r>
                  <w:r>
                    <w:rPr>
                      <w:rFonts w:hint="eastAsia"/>
                      <w:highlight w:val="none"/>
                      <w:lang w:eastAsia="zh-CN"/>
                    </w:rPr>
                    <w:t>22m</w:t>
                  </w:r>
                  <w:r>
                    <w:rPr>
                      <w:rFonts w:hint="eastAsia"/>
                      <w:highlight w:val="none"/>
                    </w:rPr>
                    <w:t>高排气筒</w:t>
                  </w:r>
                </w:p>
              </w:tc>
              <w:tc>
                <w:tcPr>
                  <w:tcW w:w="1275" w:type="dxa"/>
                  <w:vAlign w:val="center"/>
                </w:tcPr>
                <w:p w14:paraId="477ACAB2">
                  <w:pPr>
                    <w:pStyle w:val="55"/>
                    <w:rPr>
                      <w:color w:val="auto"/>
                      <w:highlight w:val="none"/>
                    </w:rPr>
                  </w:pPr>
                  <w:r>
                    <w:rPr>
                      <w:rFonts w:hint="eastAsia"/>
                      <w:color w:val="auto"/>
                      <w:highlight w:val="none"/>
                    </w:rPr>
                    <w:t>10</w:t>
                  </w:r>
                </w:p>
              </w:tc>
            </w:tr>
            <w:tr w14:paraId="27B0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63C49C7E">
                  <w:pPr>
                    <w:pStyle w:val="55"/>
                    <w:rPr>
                      <w:highlight w:val="none"/>
                    </w:rPr>
                  </w:pPr>
                </w:p>
              </w:tc>
              <w:tc>
                <w:tcPr>
                  <w:tcW w:w="650" w:type="dxa"/>
                  <w:vMerge w:val="continue"/>
                  <w:vAlign w:val="center"/>
                </w:tcPr>
                <w:p w14:paraId="5474ABAC">
                  <w:pPr>
                    <w:pStyle w:val="55"/>
                    <w:rPr>
                      <w:highlight w:val="none"/>
                    </w:rPr>
                  </w:pPr>
                </w:p>
              </w:tc>
              <w:tc>
                <w:tcPr>
                  <w:tcW w:w="1933" w:type="dxa"/>
                  <w:vAlign w:val="center"/>
                </w:tcPr>
                <w:p w14:paraId="08B475DA">
                  <w:pPr>
                    <w:pStyle w:val="55"/>
                    <w:rPr>
                      <w:highlight w:val="none"/>
                    </w:rPr>
                  </w:pPr>
                  <w:r>
                    <w:rPr>
                      <w:rFonts w:hint="eastAsia"/>
                      <w:highlight w:val="none"/>
                    </w:rPr>
                    <w:t>粉状物料存储</w:t>
                  </w:r>
                </w:p>
              </w:tc>
              <w:tc>
                <w:tcPr>
                  <w:tcW w:w="3517" w:type="dxa"/>
                  <w:vAlign w:val="center"/>
                </w:tcPr>
                <w:p w14:paraId="0E19EB23">
                  <w:pPr>
                    <w:pStyle w:val="55"/>
                    <w:rPr>
                      <w:rFonts w:hint="default" w:eastAsia="宋体"/>
                      <w:highlight w:val="none"/>
                      <w:lang w:val="en-US" w:eastAsia="zh-CN"/>
                    </w:rPr>
                  </w:pPr>
                  <w:r>
                    <w:rPr>
                      <w:rFonts w:hint="default" w:eastAsia="宋体"/>
                      <w:highlight w:val="none"/>
                      <w:lang w:val="en-US" w:eastAsia="zh-CN"/>
                    </w:rPr>
                    <w:t>成品库定期洒水降尘、清扫，规划粉煤灰环保库呼吸通过仓顶除尘器</w:t>
                  </w:r>
                </w:p>
              </w:tc>
              <w:tc>
                <w:tcPr>
                  <w:tcW w:w="1275" w:type="dxa"/>
                  <w:vAlign w:val="center"/>
                </w:tcPr>
                <w:p w14:paraId="135E675F">
                  <w:pPr>
                    <w:pStyle w:val="55"/>
                    <w:rPr>
                      <w:color w:val="auto"/>
                      <w:highlight w:val="none"/>
                    </w:rPr>
                  </w:pPr>
                  <w:r>
                    <w:rPr>
                      <w:rFonts w:hint="eastAsia"/>
                      <w:color w:val="auto"/>
                      <w:highlight w:val="none"/>
                    </w:rPr>
                    <w:t>10</w:t>
                  </w:r>
                </w:p>
              </w:tc>
            </w:tr>
            <w:tr w14:paraId="3C76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36CCE8FC">
                  <w:pPr>
                    <w:pStyle w:val="55"/>
                    <w:rPr>
                      <w:highlight w:val="none"/>
                    </w:rPr>
                  </w:pPr>
                </w:p>
              </w:tc>
              <w:tc>
                <w:tcPr>
                  <w:tcW w:w="650" w:type="dxa"/>
                  <w:vMerge w:val="continue"/>
                  <w:vAlign w:val="center"/>
                </w:tcPr>
                <w:p w14:paraId="0250BBA6">
                  <w:pPr>
                    <w:pStyle w:val="55"/>
                    <w:rPr>
                      <w:highlight w:val="none"/>
                    </w:rPr>
                  </w:pPr>
                </w:p>
              </w:tc>
              <w:tc>
                <w:tcPr>
                  <w:tcW w:w="1933" w:type="dxa"/>
                  <w:vAlign w:val="center"/>
                </w:tcPr>
                <w:p w14:paraId="6E12D593">
                  <w:pPr>
                    <w:pStyle w:val="55"/>
                    <w:rPr>
                      <w:highlight w:val="none"/>
                    </w:rPr>
                  </w:pPr>
                  <w:r>
                    <w:rPr>
                      <w:rFonts w:hint="eastAsia"/>
                      <w:highlight w:val="none"/>
                    </w:rPr>
                    <w:t>食堂油烟</w:t>
                  </w:r>
                </w:p>
              </w:tc>
              <w:tc>
                <w:tcPr>
                  <w:tcW w:w="3517" w:type="dxa"/>
                  <w:vAlign w:val="center"/>
                </w:tcPr>
                <w:p w14:paraId="639853EC">
                  <w:pPr>
                    <w:pStyle w:val="55"/>
                    <w:rPr>
                      <w:highlight w:val="none"/>
                    </w:rPr>
                  </w:pPr>
                  <w:r>
                    <w:rPr>
                      <w:rFonts w:hint="eastAsia"/>
                      <w:highlight w:val="none"/>
                    </w:rPr>
                    <w:t>油烟</w:t>
                  </w:r>
                  <w:r>
                    <w:rPr>
                      <w:highlight w:val="none"/>
                    </w:rPr>
                    <w:t>净化装置</w:t>
                  </w:r>
                </w:p>
              </w:tc>
              <w:tc>
                <w:tcPr>
                  <w:tcW w:w="1275" w:type="dxa"/>
                  <w:vAlign w:val="center"/>
                </w:tcPr>
                <w:p w14:paraId="65D877BF">
                  <w:pPr>
                    <w:pStyle w:val="55"/>
                    <w:rPr>
                      <w:rFonts w:hint="default" w:eastAsia="宋体"/>
                      <w:color w:val="auto"/>
                      <w:highlight w:val="none"/>
                      <w:lang w:val="en-US" w:eastAsia="zh-CN"/>
                    </w:rPr>
                  </w:pPr>
                  <w:r>
                    <w:rPr>
                      <w:rFonts w:hint="eastAsia"/>
                      <w:color w:val="auto"/>
                      <w:highlight w:val="none"/>
                      <w:lang w:val="en-US" w:eastAsia="zh-CN"/>
                    </w:rPr>
                    <w:t>5</w:t>
                  </w:r>
                </w:p>
              </w:tc>
            </w:tr>
            <w:tr w14:paraId="3C66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35A1508E">
                  <w:pPr>
                    <w:pStyle w:val="55"/>
                    <w:rPr>
                      <w:highlight w:val="none"/>
                    </w:rPr>
                  </w:pPr>
                </w:p>
              </w:tc>
              <w:tc>
                <w:tcPr>
                  <w:tcW w:w="650" w:type="dxa"/>
                  <w:vMerge w:val="restart"/>
                  <w:vAlign w:val="center"/>
                </w:tcPr>
                <w:p w14:paraId="7779E0DE">
                  <w:pPr>
                    <w:pStyle w:val="55"/>
                    <w:rPr>
                      <w:highlight w:val="none"/>
                    </w:rPr>
                  </w:pPr>
                  <w:r>
                    <w:rPr>
                      <w:highlight w:val="none"/>
                    </w:rPr>
                    <w:t>废水</w:t>
                  </w:r>
                </w:p>
              </w:tc>
              <w:tc>
                <w:tcPr>
                  <w:tcW w:w="1933" w:type="dxa"/>
                  <w:vAlign w:val="center"/>
                </w:tcPr>
                <w:p w14:paraId="089C309B">
                  <w:pPr>
                    <w:pStyle w:val="55"/>
                    <w:rPr>
                      <w:rFonts w:hint="eastAsia" w:eastAsia="宋体"/>
                      <w:highlight w:val="none"/>
                      <w:lang w:eastAsia="zh-CN"/>
                    </w:rPr>
                  </w:pPr>
                  <w:r>
                    <w:rPr>
                      <w:rFonts w:hint="eastAsia"/>
                      <w:highlight w:val="none"/>
                      <w:lang w:val="en-US" w:eastAsia="zh-CN"/>
                    </w:rPr>
                    <w:t>生产废水</w:t>
                  </w:r>
                </w:p>
              </w:tc>
              <w:tc>
                <w:tcPr>
                  <w:tcW w:w="3517" w:type="dxa"/>
                  <w:vAlign w:val="center"/>
                </w:tcPr>
                <w:p w14:paraId="6B0155B1">
                  <w:pPr>
                    <w:pStyle w:val="55"/>
                    <w:rPr>
                      <w:color w:val="auto"/>
                      <w:highlight w:val="none"/>
                    </w:rPr>
                  </w:pPr>
                  <w:r>
                    <w:rPr>
                      <w:rFonts w:hint="eastAsia"/>
                      <w:color w:val="auto"/>
                      <w:highlight w:val="none"/>
                    </w:rPr>
                    <w:t>循环水池</w:t>
                  </w:r>
                </w:p>
              </w:tc>
              <w:tc>
                <w:tcPr>
                  <w:tcW w:w="1275" w:type="dxa"/>
                  <w:vAlign w:val="center"/>
                </w:tcPr>
                <w:p w14:paraId="2D4147A9">
                  <w:pPr>
                    <w:pStyle w:val="55"/>
                    <w:rPr>
                      <w:color w:val="auto"/>
                      <w:highlight w:val="none"/>
                    </w:rPr>
                  </w:pPr>
                  <w:r>
                    <w:rPr>
                      <w:rFonts w:hint="eastAsia"/>
                      <w:color w:val="auto"/>
                      <w:highlight w:val="none"/>
                    </w:rPr>
                    <w:t>10</w:t>
                  </w:r>
                </w:p>
              </w:tc>
            </w:tr>
            <w:tr w14:paraId="08AD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52F8025E">
                  <w:pPr>
                    <w:pStyle w:val="55"/>
                    <w:rPr>
                      <w:highlight w:val="none"/>
                    </w:rPr>
                  </w:pPr>
                </w:p>
              </w:tc>
              <w:tc>
                <w:tcPr>
                  <w:tcW w:w="650" w:type="dxa"/>
                  <w:vMerge w:val="continue"/>
                  <w:vAlign w:val="center"/>
                </w:tcPr>
                <w:p w14:paraId="479F3B97">
                  <w:pPr>
                    <w:pStyle w:val="55"/>
                    <w:rPr>
                      <w:highlight w:val="none"/>
                    </w:rPr>
                  </w:pPr>
                </w:p>
              </w:tc>
              <w:tc>
                <w:tcPr>
                  <w:tcW w:w="1933" w:type="dxa"/>
                  <w:vAlign w:val="center"/>
                </w:tcPr>
                <w:p w14:paraId="0F7FB6BB">
                  <w:pPr>
                    <w:pStyle w:val="55"/>
                    <w:rPr>
                      <w:highlight w:val="none"/>
                    </w:rPr>
                  </w:pPr>
                  <w:r>
                    <w:rPr>
                      <w:rFonts w:hint="eastAsia"/>
                      <w:highlight w:val="none"/>
                    </w:rPr>
                    <w:t>生活污水</w:t>
                  </w:r>
                </w:p>
              </w:tc>
              <w:tc>
                <w:tcPr>
                  <w:tcW w:w="3517" w:type="dxa"/>
                  <w:vAlign w:val="center"/>
                </w:tcPr>
                <w:p w14:paraId="3191CA99">
                  <w:pPr>
                    <w:pStyle w:val="55"/>
                    <w:rPr>
                      <w:color w:val="auto"/>
                      <w:highlight w:val="none"/>
                    </w:rPr>
                  </w:pPr>
                  <w:r>
                    <w:rPr>
                      <w:rFonts w:hint="eastAsia"/>
                      <w:color w:val="auto"/>
                      <w:highlight w:val="none"/>
                    </w:rPr>
                    <w:t>化粪池</w:t>
                  </w:r>
                </w:p>
              </w:tc>
              <w:tc>
                <w:tcPr>
                  <w:tcW w:w="1275" w:type="dxa"/>
                  <w:vAlign w:val="center"/>
                </w:tcPr>
                <w:p w14:paraId="41161EEE">
                  <w:pPr>
                    <w:pStyle w:val="55"/>
                    <w:rPr>
                      <w:rFonts w:hint="default" w:eastAsia="宋体"/>
                      <w:color w:val="auto"/>
                      <w:highlight w:val="none"/>
                      <w:lang w:val="en-US" w:eastAsia="zh-CN"/>
                    </w:rPr>
                  </w:pPr>
                  <w:r>
                    <w:rPr>
                      <w:rFonts w:hint="eastAsia"/>
                      <w:color w:val="auto"/>
                      <w:highlight w:val="none"/>
                      <w:lang w:val="en-US" w:eastAsia="zh-CN"/>
                    </w:rPr>
                    <w:t>10</w:t>
                  </w:r>
                </w:p>
              </w:tc>
            </w:tr>
            <w:tr w14:paraId="51D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01E1E5FB">
                  <w:pPr>
                    <w:pStyle w:val="55"/>
                    <w:rPr>
                      <w:highlight w:val="none"/>
                    </w:rPr>
                  </w:pPr>
                </w:p>
              </w:tc>
              <w:tc>
                <w:tcPr>
                  <w:tcW w:w="650" w:type="dxa"/>
                  <w:vAlign w:val="center"/>
                </w:tcPr>
                <w:p w14:paraId="6EBD5C82">
                  <w:pPr>
                    <w:pStyle w:val="55"/>
                    <w:rPr>
                      <w:highlight w:val="none"/>
                    </w:rPr>
                  </w:pPr>
                  <w:r>
                    <w:rPr>
                      <w:highlight w:val="none"/>
                    </w:rPr>
                    <w:t>噪声</w:t>
                  </w:r>
                </w:p>
              </w:tc>
              <w:tc>
                <w:tcPr>
                  <w:tcW w:w="1933" w:type="dxa"/>
                  <w:vAlign w:val="center"/>
                </w:tcPr>
                <w:p w14:paraId="52408E52">
                  <w:pPr>
                    <w:pStyle w:val="55"/>
                    <w:rPr>
                      <w:highlight w:val="none"/>
                    </w:rPr>
                  </w:pPr>
                  <w:r>
                    <w:rPr>
                      <w:rFonts w:hint="eastAsia"/>
                      <w:highlight w:val="none"/>
                    </w:rPr>
                    <w:t>设备噪声</w:t>
                  </w:r>
                </w:p>
              </w:tc>
              <w:tc>
                <w:tcPr>
                  <w:tcW w:w="3517" w:type="dxa"/>
                  <w:vAlign w:val="center"/>
                </w:tcPr>
                <w:p w14:paraId="11A0CC37">
                  <w:pPr>
                    <w:pStyle w:val="55"/>
                    <w:rPr>
                      <w:color w:val="auto"/>
                      <w:highlight w:val="none"/>
                    </w:rPr>
                  </w:pPr>
                  <w:r>
                    <w:rPr>
                      <w:rFonts w:hint="eastAsia"/>
                      <w:color w:val="auto"/>
                      <w:highlight w:val="none"/>
                    </w:rPr>
                    <w:t>基础减震、厂房隔声</w:t>
                  </w:r>
                </w:p>
              </w:tc>
              <w:tc>
                <w:tcPr>
                  <w:tcW w:w="1275" w:type="dxa"/>
                  <w:vAlign w:val="center"/>
                </w:tcPr>
                <w:p w14:paraId="60C71E17">
                  <w:pPr>
                    <w:pStyle w:val="55"/>
                    <w:rPr>
                      <w:rFonts w:hint="default" w:eastAsia="宋体"/>
                      <w:color w:val="auto"/>
                      <w:highlight w:val="none"/>
                      <w:lang w:val="en-US" w:eastAsia="zh-CN"/>
                    </w:rPr>
                  </w:pPr>
                  <w:r>
                    <w:rPr>
                      <w:rFonts w:hint="eastAsia"/>
                      <w:color w:val="auto"/>
                      <w:highlight w:val="none"/>
                      <w:lang w:val="en-US" w:eastAsia="zh-CN"/>
                    </w:rPr>
                    <w:t>10</w:t>
                  </w:r>
                </w:p>
              </w:tc>
            </w:tr>
            <w:tr w14:paraId="4FFA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26" w:type="dxa"/>
                  <w:vMerge w:val="continue"/>
                  <w:vAlign w:val="center"/>
                </w:tcPr>
                <w:p w14:paraId="3B685277">
                  <w:pPr>
                    <w:pStyle w:val="55"/>
                    <w:rPr>
                      <w:highlight w:val="none"/>
                    </w:rPr>
                  </w:pPr>
                </w:p>
              </w:tc>
              <w:tc>
                <w:tcPr>
                  <w:tcW w:w="650" w:type="dxa"/>
                  <w:vAlign w:val="center"/>
                </w:tcPr>
                <w:p w14:paraId="178F50FC">
                  <w:pPr>
                    <w:pStyle w:val="55"/>
                    <w:rPr>
                      <w:rFonts w:hint="eastAsia"/>
                      <w:highlight w:val="none"/>
                    </w:rPr>
                  </w:pPr>
                  <w:r>
                    <w:rPr>
                      <w:rFonts w:hint="eastAsia"/>
                      <w:highlight w:val="none"/>
                    </w:rPr>
                    <w:t>固废</w:t>
                  </w:r>
                </w:p>
              </w:tc>
              <w:tc>
                <w:tcPr>
                  <w:tcW w:w="1933" w:type="dxa"/>
                  <w:vAlign w:val="center"/>
                </w:tcPr>
                <w:p w14:paraId="2C3073E7">
                  <w:pPr>
                    <w:pStyle w:val="55"/>
                    <w:rPr>
                      <w:highlight w:val="none"/>
                    </w:rPr>
                  </w:pPr>
                  <w:r>
                    <w:rPr>
                      <w:rFonts w:hint="eastAsia"/>
                      <w:highlight w:val="none"/>
                    </w:rPr>
                    <w:t>危险废物</w:t>
                  </w:r>
                </w:p>
              </w:tc>
              <w:tc>
                <w:tcPr>
                  <w:tcW w:w="3517" w:type="dxa"/>
                  <w:vAlign w:val="center"/>
                </w:tcPr>
                <w:p w14:paraId="59DB2222">
                  <w:pPr>
                    <w:pStyle w:val="55"/>
                    <w:rPr>
                      <w:color w:val="auto"/>
                      <w:highlight w:val="none"/>
                    </w:rPr>
                  </w:pPr>
                  <w:r>
                    <w:rPr>
                      <w:rFonts w:hint="eastAsia"/>
                      <w:color w:val="auto"/>
                      <w:highlight w:val="none"/>
                    </w:rPr>
                    <w:t>危险废物</w:t>
                  </w:r>
                  <w:r>
                    <w:rPr>
                      <w:rFonts w:hint="eastAsia"/>
                      <w:highlight w:val="none"/>
                      <w:lang w:val="en-US" w:eastAsia="zh-CN"/>
                    </w:rPr>
                    <w:t>贮存库</w:t>
                  </w:r>
                  <w:r>
                    <w:rPr>
                      <w:rFonts w:hint="eastAsia"/>
                      <w:color w:val="auto"/>
                      <w:highlight w:val="none"/>
                    </w:rPr>
                    <w:t>、危险废物委托处置</w:t>
                  </w:r>
                </w:p>
              </w:tc>
              <w:tc>
                <w:tcPr>
                  <w:tcW w:w="1275" w:type="dxa"/>
                  <w:vAlign w:val="center"/>
                </w:tcPr>
                <w:p w14:paraId="46B95B8D">
                  <w:pPr>
                    <w:pStyle w:val="55"/>
                    <w:rPr>
                      <w:rFonts w:hint="default" w:eastAsia="宋体"/>
                      <w:color w:val="auto"/>
                      <w:highlight w:val="none"/>
                      <w:lang w:val="en-US" w:eastAsia="zh-CN"/>
                    </w:rPr>
                  </w:pPr>
                  <w:r>
                    <w:rPr>
                      <w:rFonts w:hint="eastAsia"/>
                      <w:color w:val="auto"/>
                      <w:highlight w:val="none"/>
                      <w:lang w:val="en-US" w:eastAsia="zh-CN"/>
                    </w:rPr>
                    <w:t>15</w:t>
                  </w:r>
                </w:p>
              </w:tc>
            </w:tr>
            <w:tr w14:paraId="70AF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26" w:type="dxa"/>
                  <w:gridSpan w:val="4"/>
                  <w:vAlign w:val="center"/>
                </w:tcPr>
                <w:p w14:paraId="468357EF">
                  <w:pPr>
                    <w:pStyle w:val="55"/>
                    <w:rPr>
                      <w:color w:val="auto"/>
                      <w:highlight w:val="none"/>
                    </w:rPr>
                  </w:pPr>
                  <w:r>
                    <w:rPr>
                      <w:rFonts w:hint="eastAsia"/>
                      <w:color w:val="auto"/>
                      <w:highlight w:val="none"/>
                    </w:rPr>
                    <w:t>环保设施运行维护，环保验收、监测</w:t>
                  </w:r>
                </w:p>
              </w:tc>
              <w:tc>
                <w:tcPr>
                  <w:tcW w:w="1275" w:type="dxa"/>
                  <w:vAlign w:val="center"/>
                </w:tcPr>
                <w:p w14:paraId="37D13A20">
                  <w:pPr>
                    <w:pStyle w:val="55"/>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5</w:t>
                  </w:r>
                </w:p>
              </w:tc>
            </w:tr>
            <w:tr w14:paraId="1ACD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26" w:type="dxa"/>
                  <w:gridSpan w:val="4"/>
                  <w:vAlign w:val="center"/>
                </w:tcPr>
                <w:p w14:paraId="7F19A956">
                  <w:pPr>
                    <w:pStyle w:val="55"/>
                    <w:rPr>
                      <w:rFonts w:hint="default" w:eastAsia="宋体"/>
                      <w:color w:val="auto"/>
                      <w:highlight w:val="none"/>
                      <w:lang w:val="en-US" w:eastAsia="zh-CN"/>
                    </w:rPr>
                  </w:pPr>
                  <w:r>
                    <w:rPr>
                      <w:rFonts w:hint="eastAsia"/>
                      <w:color w:val="auto"/>
                      <w:highlight w:val="none"/>
                      <w:lang w:val="en-US" w:eastAsia="zh-CN"/>
                    </w:rPr>
                    <w:t>环境风险防范工程（</w:t>
                  </w:r>
                  <w:r>
                    <w:rPr>
                      <w:color w:val="auto"/>
                      <w:highlight w:val="none"/>
                    </w:rPr>
                    <w:t>报警装置、紧急切断系统</w:t>
                  </w:r>
                  <w:r>
                    <w:rPr>
                      <w:rFonts w:hint="eastAsia"/>
                      <w:color w:val="auto"/>
                      <w:highlight w:val="none"/>
                      <w:lang w:eastAsia="zh-CN"/>
                    </w:rPr>
                    <w:t>、</w:t>
                  </w:r>
                  <w:r>
                    <w:rPr>
                      <w:color w:val="auto"/>
                      <w:highlight w:val="none"/>
                    </w:rPr>
                    <w:t>灭火器</w:t>
                  </w:r>
                  <w:r>
                    <w:rPr>
                      <w:rFonts w:hint="eastAsia"/>
                      <w:color w:val="auto"/>
                      <w:highlight w:val="none"/>
                    </w:rPr>
                    <w:t>等</w:t>
                  </w:r>
                  <w:r>
                    <w:rPr>
                      <w:rFonts w:hint="eastAsia"/>
                      <w:color w:val="auto"/>
                      <w:highlight w:val="none"/>
                      <w:lang w:val="en-US" w:eastAsia="zh-CN"/>
                    </w:rPr>
                    <w:t>）</w:t>
                  </w:r>
                </w:p>
              </w:tc>
              <w:tc>
                <w:tcPr>
                  <w:tcW w:w="1275" w:type="dxa"/>
                  <w:vAlign w:val="center"/>
                </w:tcPr>
                <w:p w14:paraId="2AFE5CE8">
                  <w:pPr>
                    <w:pStyle w:val="55"/>
                    <w:rPr>
                      <w:rFonts w:hint="default" w:eastAsia="宋体"/>
                      <w:color w:val="auto"/>
                      <w:highlight w:val="none"/>
                      <w:lang w:val="en-US" w:eastAsia="zh-CN"/>
                    </w:rPr>
                  </w:pPr>
                  <w:r>
                    <w:rPr>
                      <w:rFonts w:hint="eastAsia"/>
                      <w:color w:val="auto"/>
                      <w:highlight w:val="none"/>
                      <w:lang w:val="en-US" w:eastAsia="zh-CN"/>
                    </w:rPr>
                    <w:t>10</w:t>
                  </w:r>
                </w:p>
              </w:tc>
            </w:tr>
            <w:tr w14:paraId="62B6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26" w:type="dxa"/>
                  <w:gridSpan w:val="4"/>
                  <w:vAlign w:val="center"/>
                </w:tcPr>
                <w:p w14:paraId="1F0D0E31">
                  <w:pPr>
                    <w:pStyle w:val="55"/>
                    <w:rPr>
                      <w:color w:val="auto"/>
                      <w:highlight w:val="none"/>
                    </w:rPr>
                  </w:pPr>
                  <w:r>
                    <w:rPr>
                      <w:color w:val="auto"/>
                      <w:highlight w:val="none"/>
                    </w:rPr>
                    <w:t>合计</w:t>
                  </w:r>
                </w:p>
              </w:tc>
              <w:tc>
                <w:tcPr>
                  <w:tcW w:w="1275" w:type="dxa"/>
                  <w:vAlign w:val="center"/>
                </w:tcPr>
                <w:p w14:paraId="52E628C5">
                  <w:pPr>
                    <w:pStyle w:val="55"/>
                    <w:rPr>
                      <w:rFonts w:hint="default" w:eastAsia="宋体"/>
                      <w:color w:val="auto"/>
                      <w:highlight w:val="none"/>
                      <w:lang w:val="en-US" w:eastAsia="zh-CN"/>
                    </w:rPr>
                  </w:pPr>
                  <w:r>
                    <w:rPr>
                      <w:rFonts w:hint="eastAsia"/>
                      <w:color w:val="auto"/>
                      <w:highlight w:val="none"/>
                      <w:lang w:val="en-US" w:eastAsia="zh-CN"/>
                    </w:rPr>
                    <w:t>150</w:t>
                  </w:r>
                </w:p>
              </w:tc>
            </w:tr>
          </w:tbl>
          <w:p w14:paraId="1D9075B0">
            <w:pPr>
              <w:pStyle w:val="3"/>
              <w:rPr>
                <w:highlight w:val="none"/>
              </w:rPr>
            </w:pPr>
            <w:r>
              <w:rPr>
                <w:rFonts w:hint="eastAsia" w:ascii="Times New Roman" w:hAnsi="Times New Roman" w:cs="Times New Roman"/>
                <w:highlight w:val="none"/>
              </w:rPr>
              <w:t xml:space="preserve">8 </w:t>
            </w:r>
            <w:r>
              <w:rPr>
                <w:highlight w:val="none"/>
              </w:rPr>
              <w:t>环境</w:t>
            </w:r>
            <w:r>
              <w:rPr>
                <w:rFonts w:hint="eastAsia"/>
                <w:highlight w:val="none"/>
              </w:rPr>
              <w:t>监测保护计划</w:t>
            </w:r>
          </w:p>
          <w:p w14:paraId="49FFAE43">
            <w:pPr>
              <w:ind w:firstLine="480"/>
              <w:rPr>
                <w:highlight w:val="none"/>
              </w:rPr>
            </w:pPr>
            <w:r>
              <w:rPr>
                <w:rFonts w:hint="eastAsia"/>
                <w:highlight w:val="none"/>
              </w:rPr>
              <w:t>根据《排污单位自行监测技术指南</w:t>
            </w:r>
            <w:r>
              <w:rPr>
                <w:highlight w:val="none"/>
              </w:rPr>
              <w:t xml:space="preserve"> </w:t>
            </w:r>
            <w:r>
              <w:rPr>
                <w:rFonts w:hint="eastAsia"/>
                <w:highlight w:val="none"/>
              </w:rPr>
              <w:t>总则》（</w:t>
            </w:r>
            <w:r>
              <w:rPr>
                <w:highlight w:val="none"/>
              </w:rPr>
              <w:t>HJ819-2017</w:t>
            </w:r>
            <w:r>
              <w:rPr>
                <w:rFonts w:hint="eastAsia"/>
                <w:highlight w:val="none"/>
              </w:rPr>
              <w:t>）、</w:t>
            </w:r>
            <w:r>
              <w:rPr>
                <w:rFonts w:hint="eastAsia"/>
                <w:color w:val="000000"/>
                <w:highlight w:val="none"/>
              </w:rPr>
              <w:t>《</w:t>
            </w:r>
            <w:r>
              <w:rPr>
                <w:color w:val="000000"/>
                <w:highlight w:val="none"/>
              </w:rPr>
              <w:t>排污许可证申请与核发技术规范</w:t>
            </w:r>
            <w:r>
              <w:rPr>
                <w:rFonts w:hint="eastAsia"/>
                <w:color w:val="000000"/>
                <w:highlight w:val="none"/>
              </w:rPr>
              <w:t xml:space="preserve"> 工业噪声》</w:t>
            </w:r>
            <w:r>
              <w:rPr>
                <w:rFonts w:hint="eastAsia"/>
                <w:color w:val="000000"/>
                <w:highlight w:val="none"/>
                <w:lang w:eastAsia="zh-CN"/>
              </w:rPr>
              <w:t>（</w:t>
            </w:r>
            <w:r>
              <w:rPr>
                <w:rFonts w:hint="eastAsia"/>
                <w:color w:val="000000"/>
                <w:highlight w:val="none"/>
                <w:lang w:val="en-US" w:eastAsia="zh-CN"/>
              </w:rPr>
              <w:t>HJ1301-2023</w:t>
            </w:r>
            <w:r>
              <w:rPr>
                <w:rFonts w:hint="eastAsia"/>
                <w:color w:val="000000"/>
                <w:highlight w:val="none"/>
                <w:lang w:eastAsia="zh-CN"/>
              </w:rPr>
              <w:t>）《</w:t>
            </w:r>
            <w:r>
              <w:rPr>
                <w:color w:val="000000"/>
                <w:highlight w:val="none"/>
              </w:rPr>
              <w:t>排污许可证申请与核发技术规范</w:t>
            </w:r>
            <w:r>
              <w:rPr>
                <w:rFonts w:hint="eastAsia"/>
                <w:color w:val="000000"/>
                <w:highlight w:val="none"/>
              </w:rPr>
              <w:t xml:space="preserve"> </w:t>
            </w:r>
            <w:r>
              <w:rPr>
                <w:rFonts w:hint="eastAsia"/>
                <w:color w:val="000000"/>
                <w:highlight w:val="none"/>
                <w:lang w:val="en-US" w:eastAsia="zh-CN"/>
              </w:rPr>
              <w:t>废弃资源加工工业</w:t>
            </w:r>
            <w:r>
              <w:rPr>
                <w:rFonts w:hint="eastAsia"/>
                <w:color w:val="000000"/>
                <w:highlight w:val="none"/>
                <w:lang w:eastAsia="zh-CN"/>
              </w:rPr>
              <w:t>》（</w:t>
            </w:r>
            <w:r>
              <w:rPr>
                <w:rFonts w:hint="eastAsia"/>
                <w:color w:val="000000"/>
                <w:highlight w:val="none"/>
                <w:lang w:val="en-US" w:eastAsia="zh-CN"/>
              </w:rPr>
              <w:t>HJ1034-2019</w:t>
            </w:r>
            <w:r>
              <w:rPr>
                <w:rFonts w:hint="eastAsia"/>
                <w:color w:val="000000"/>
                <w:highlight w:val="none"/>
                <w:lang w:eastAsia="zh-CN"/>
              </w:rPr>
              <w:t>）</w:t>
            </w:r>
            <w:r>
              <w:rPr>
                <w:highlight w:val="none"/>
              </w:rPr>
              <w:t>等文件要求</w:t>
            </w:r>
            <w:r>
              <w:rPr>
                <w:rFonts w:hint="eastAsia"/>
                <w:highlight w:val="none"/>
              </w:rPr>
              <w:t>制定监测计划，具体环境监测计划见</w:t>
            </w:r>
            <w:r>
              <w:rPr>
                <w:highlight w:val="none"/>
              </w:rPr>
              <w:t>表</w:t>
            </w:r>
            <w:r>
              <w:rPr>
                <w:rFonts w:hint="eastAsia"/>
                <w:highlight w:val="none"/>
              </w:rPr>
              <w:t>4-1</w:t>
            </w:r>
            <w:r>
              <w:rPr>
                <w:rFonts w:hint="eastAsia"/>
                <w:highlight w:val="none"/>
                <w:lang w:val="en-US" w:eastAsia="zh-CN"/>
              </w:rPr>
              <w:t>7</w:t>
            </w:r>
            <w:r>
              <w:rPr>
                <w:rFonts w:hint="eastAsia"/>
                <w:highlight w:val="none"/>
              </w:rPr>
              <w:t>。</w:t>
            </w:r>
          </w:p>
          <w:p w14:paraId="70CD2B8F">
            <w:pPr>
              <w:pStyle w:val="54"/>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表</w:t>
            </w:r>
            <w:r>
              <w:rPr>
                <w:rFonts w:hint="eastAsia" w:ascii="Times New Roman" w:hAnsi="Times New Roman" w:eastAsia="Times New Roman" w:cs="Times New Roman"/>
                <w:sz w:val="21"/>
                <w:szCs w:val="21"/>
                <w:highlight w:val="none"/>
              </w:rPr>
              <w:t>4-</w:t>
            </w:r>
            <w:r>
              <w:rPr>
                <w:rFonts w:hint="eastAsia" w:ascii="Times New Roman" w:hAnsi="Times New Roman" w:eastAsia="宋体" w:cs="Times New Roman"/>
                <w:sz w:val="21"/>
                <w:szCs w:val="21"/>
                <w:highlight w:val="none"/>
                <w:lang w:val="en-US" w:eastAsia="zh-CN"/>
              </w:rPr>
              <w:t>17</w:t>
            </w:r>
            <w:r>
              <w:rPr>
                <w:rFonts w:hint="default" w:ascii="Times New Roman" w:hAnsi="Times New Roman" w:eastAsia="Times New Roman" w:cs="Times New Roman"/>
                <w:sz w:val="21"/>
                <w:szCs w:val="21"/>
                <w:highlight w:val="none"/>
              </w:rPr>
              <w:t xml:space="preserve">  环境</w:t>
            </w:r>
            <w:r>
              <w:rPr>
                <w:rFonts w:hint="eastAsia" w:ascii="Times New Roman" w:hAnsi="Times New Roman" w:eastAsia="Times New Roman" w:cs="Times New Roman"/>
                <w:sz w:val="21"/>
                <w:szCs w:val="21"/>
                <w:highlight w:val="none"/>
              </w:rPr>
              <w:t>监测</w:t>
            </w:r>
            <w:r>
              <w:rPr>
                <w:rFonts w:hint="default" w:ascii="Times New Roman" w:hAnsi="Times New Roman" w:eastAsia="Times New Roman" w:cs="Times New Roman"/>
                <w:sz w:val="21"/>
                <w:szCs w:val="21"/>
                <w:highlight w:val="none"/>
              </w:rPr>
              <w:t>计划</w:t>
            </w:r>
          </w:p>
          <w:tbl>
            <w:tblPr>
              <w:tblStyle w:val="30"/>
              <w:tblW w:w="7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60"/>
              <w:gridCol w:w="1266"/>
              <w:gridCol w:w="1100"/>
              <w:gridCol w:w="3400"/>
            </w:tblGrid>
            <w:tr w14:paraId="2F18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4" w:type="dxa"/>
                  <w:tcBorders>
                    <w:tl2br w:val="nil"/>
                    <w:tr2bl w:val="nil"/>
                  </w:tcBorders>
                  <w:vAlign w:val="center"/>
                </w:tcPr>
                <w:p w14:paraId="0A0D0A62">
                  <w:pPr>
                    <w:pStyle w:val="55"/>
                    <w:rPr>
                      <w:highlight w:val="none"/>
                    </w:rPr>
                  </w:pPr>
                  <w:r>
                    <w:rPr>
                      <w:highlight w:val="none"/>
                    </w:rPr>
                    <w:t>环境因素</w:t>
                  </w:r>
                </w:p>
              </w:tc>
              <w:tc>
                <w:tcPr>
                  <w:tcW w:w="1460" w:type="dxa"/>
                  <w:tcBorders>
                    <w:tl2br w:val="nil"/>
                    <w:tr2bl w:val="nil"/>
                  </w:tcBorders>
                  <w:vAlign w:val="center"/>
                </w:tcPr>
                <w:p w14:paraId="315407C7">
                  <w:pPr>
                    <w:pStyle w:val="55"/>
                    <w:rPr>
                      <w:highlight w:val="none"/>
                    </w:rPr>
                  </w:pPr>
                  <w:r>
                    <w:rPr>
                      <w:highlight w:val="none"/>
                    </w:rPr>
                    <w:t>监测</w:t>
                  </w:r>
                  <w:r>
                    <w:rPr>
                      <w:rFonts w:hint="eastAsia"/>
                      <w:highlight w:val="none"/>
                    </w:rPr>
                    <w:t>项目</w:t>
                  </w:r>
                </w:p>
              </w:tc>
              <w:tc>
                <w:tcPr>
                  <w:tcW w:w="1266" w:type="dxa"/>
                  <w:tcBorders>
                    <w:tl2br w:val="nil"/>
                    <w:tr2bl w:val="nil"/>
                  </w:tcBorders>
                  <w:vAlign w:val="center"/>
                </w:tcPr>
                <w:p w14:paraId="7FBB1D47">
                  <w:pPr>
                    <w:pStyle w:val="55"/>
                    <w:rPr>
                      <w:highlight w:val="none"/>
                    </w:rPr>
                  </w:pPr>
                  <w:r>
                    <w:rPr>
                      <w:highlight w:val="none"/>
                    </w:rPr>
                    <w:t>监测</w:t>
                  </w:r>
                  <w:r>
                    <w:rPr>
                      <w:rFonts w:hint="eastAsia"/>
                      <w:highlight w:val="none"/>
                    </w:rPr>
                    <w:t>点位</w:t>
                  </w:r>
                </w:p>
              </w:tc>
              <w:tc>
                <w:tcPr>
                  <w:tcW w:w="1100" w:type="dxa"/>
                  <w:tcBorders>
                    <w:tl2br w:val="nil"/>
                    <w:tr2bl w:val="nil"/>
                  </w:tcBorders>
                  <w:vAlign w:val="center"/>
                </w:tcPr>
                <w:p w14:paraId="485F31A4">
                  <w:pPr>
                    <w:pStyle w:val="55"/>
                    <w:rPr>
                      <w:highlight w:val="none"/>
                    </w:rPr>
                  </w:pPr>
                  <w:r>
                    <w:rPr>
                      <w:highlight w:val="none"/>
                    </w:rPr>
                    <w:t>监测频率</w:t>
                  </w:r>
                </w:p>
              </w:tc>
              <w:tc>
                <w:tcPr>
                  <w:tcW w:w="3400" w:type="dxa"/>
                  <w:tcBorders>
                    <w:tl2br w:val="nil"/>
                    <w:tr2bl w:val="nil"/>
                  </w:tcBorders>
                  <w:vAlign w:val="center"/>
                </w:tcPr>
                <w:p w14:paraId="07003C5E">
                  <w:pPr>
                    <w:pStyle w:val="55"/>
                    <w:rPr>
                      <w:highlight w:val="none"/>
                    </w:rPr>
                  </w:pPr>
                  <w:r>
                    <w:rPr>
                      <w:highlight w:val="none"/>
                    </w:rPr>
                    <w:t>排放标准</w:t>
                  </w:r>
                </w:p>
              </w:tc>
            </w:tr>
            <w:tr w14:paraId="7713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04" w:type="dxa"/>
                  <w:vMerge w:val="restart"/>
                  <w:tcBorders>
                    <w:tl2br w:val="nil"/>
                    <w:tr2bl w:val="nil"/>
                  </w:tcBorders>
                  <w:vAlign w:val="center"/>
                </w:tcPr>
                <w:p w14:paraId="601F2B0B">
                  <w:pPr>
                    <w:pStyle w:val="55"/>
                    <w:rPr>
                      <w:highlight w:val="none"/>
                    </w:rPr>
                  </w:pPr>
                  <w:r>
                    <w:rPr>
                      <w:rFonts w:hint="eastAsia"/>
                      <w:highlight w:val="none"/>
                    </w:rPr>
                    <w:t>大气环境</w:t>
                  </w:r>
                </w:p>
              </w:tc>
              <w:tc>
                <w:tcPr>
                  <w:tcW w:w="1460" w:type="dxa"/>
                  <w:vMerge w:val="restart"/>
                  <w:tcBorders>
                    <w:tl2br w:val="nil"/>
                    <w:tr2bl w:val="nil"/>
                  </w:tcBorders>
                  <w:vAlign w:val="center"/>
                </w:tcPr>
                <w:p w14:paraId="26C31CF7">
                  <w:pPr>
                    <w:pStyle w:val="55"/>
                    <w:rPr>
                      <w:highlight w:val="none"/>
                    </w:rPr>
                  </w:pPr>
                  <w:r>
                    <w:rPr>
                      <w:rFonts w:hint="eastAsia"/>
                      <w:highlight w:val="none"/>
                    </w:rPr>
                    <w:t>颗粒物</w:t>
                  </w:r>
                </w:p>
              </w:tc>
              <w:tc>
                <w:tcPr>
                  <w:tcW w:w="1266" w:type="dxa"/>
                  <w:tcBorders>
                    <w:tl2br w:val="nil"/>
                    <w:tr2bl w:val="nil"/>
                  </w:tcBorders>
                  <w:vAlign w:val="center"/>
                </w:tcPr>
                <w:p w14:paraId="263AECA6">
                  <w:pPr>
                    <w:pStyle w:val="55"/>
                    <w:rPr>
                      <w:highlight w:val="none"/>
                    </w:rPr>
                  </w:pPr>
                  <w:r>
                    <w:rPr>
                      <w:rFonts w:hint="eastAsia"/>
                      <w:highlight w:val="none"/>
                    </w:rPr>
                    <w:t>排气筒（DA001）</w:t>
                  </w:r>
                </w:p>
              </w:tc>
              <w:tc>
                <w:tcPr>
                  <w:tcW w:w="1100" w:type="dxa"/>
                  <w:tcBorders>
                    <w:tl2br w:val="nil"/>
                    <w:tr2bl w:val="nil"/>
                  </w:tcBorders>
                  <w:vAlign w:val="center"/>
                </w:tcPr>
                <w:p w14:paraId="3D9569A2">
                  <w:pPr>
                    <w:pStyle w:val="55"/>
                    <w:rPr>
                      <w:highlight w:val="none"/>
                    </w:rPr>
                  </w:pPr>
                  <w:r>
                    <w:rPr>
                      <w:rFonts w:hint="eastAsia"/>
                      <w:highlight w:val="none"/>
                    </w:rPr>
                    <w:t>1次/年</w:t>
                  </w:r>
                </w:p>
              </w:tc>
              <w:tc>
                <w:tcPr>
                  <w:tcW w:w="3400" w:type="dxa"/>
                  <w:tcBorders>
                    <w:tl2br w:val="nil"/>
                    <w:tr2bl w:val="nil"/>
                  </w:tcBorders>
                  <w:vAlign w:val="center"/>
                </w:tcPr>
                <w:p w14:paraId="280230B6">
                  <w:pPr>
                    <w:pStyle w:val="55"/>
                    <w:rPr>
                      <w:highlight w:val="none"/>
                    </w:rPr>
                  </w:pPr>
                  <w:r>
                    <w:rPr>
                      <w:rFonts w:hint="eastAsia"/>
                      <w:highlight w:val="none"/>
                    </w:rPr>
                    <w:t>《大气污染物综合排放标准》</w:t>
                  </w:r>
                  <w:r>
                    <w:rPr>
                      <w:rFonts w:hint="eastAsia"/>
                      <w:highlight w:val="none"/>
                      <w:lang w:eastAsia="zh-CN"/>
                    </w:rPr>
                    <w:t>（</w:t>
                  </w:r>
                  <w:r>
                    <w:rPr>
                      <w:rFonts w:hint="eastAsia"/>
                      <w:highlight w:val="none"/>
                    </w:rPr>
                    <w:t>GB16297-1996</w:t>
                  </w:r>
                  <w:r>
                    <w:rPr>
                      <w:rFonts w:hint="eastAsia"/>
                      <w:highlight w:val="none"/>
                      <w:lang w:eastAsia="zh-CN"/>
                    </w:rPr>
                    <w:t>）</w:t>
                  </w:r>
                  <w:r>
                    <w:rPr>
                      <w:rFonts w:hint="eastAsia"/>
                      <w:highlight w:val="none"/>
                    </w:rPr>
                    <w:t>表2新污染源大气污染物排放限值</w:t>
                  </w:r>
                </w:p>
              </w:tc>
            </w:tr>
            <w:tr w14:paraId="749D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vMerge w:val="continue"/>
                  <w:tcBorders>
                    <w:tl2br w:val="nil"/>
                    <w:tr2bl w:val="nil"/>
                  </w:tcBorders>
                  <w:vAlign w:val="center"/>
                </w:tcPr>
                <w:p w14:paraId="441C2076">
                  <w:pPr>
                    <w:pStyle w:val="55"/>
                    <w:rPr>
                      <w:highlight w:val="none"/>
                    </w:rPr>
                  </w:pPr>
                </w:p>
              </w:tc>
              <w:tc>
                <w:tcPr>
                  <w:tcW w:w="1460" w:type="dxa"/>
                  <w:vMerge w:val="continue"/>
                  <w:tcBorders>
                    <w:tl2br w:val="nil"/>
                    <w:tr2bl w:val="nil"/>
                  </w:tcBorders>
                  <w:vAlign w:val="center"/>
                </w:tcPr>
                <w:p w14:paraId="0616275D">
                  <w:pPr>
                    <w:pStyle w:val="55"/>
                    <w:rPr>
                      <w:highlight w:val="none"/>
                    </w:rPr>
                  </w:pPr>
                </w:p>
              </w:tc>
              <w:tc>
                <w:tcPr>
                  <w:tcW w:w="1266" w:type="dxa"/>
                  <w:tcBorders>
                    <w:tl2br w:val="nil"/>
                    <w:tr2bl w:val="nil"/>
                  </w:tcBorders>
                  <w:vAlign w:val="center"/>
                </w:tcPr>
                <w:p w14:paraId="1AF0BBC2">
                  <w:pPr>
                    <w:pStyle w:val="55"/>
                    <w:rPr>
                      <w:highlight w:val="none"/>
                    </w:rPr>
                  </w:pPr>
                  <w:r>
                    <w:rPr>
                      <w:highlight w:val="none"/>
                    </w:rPr>
                    <w:t>厂界</w:t>
                  </w:r>
                </w:p>
              </w:tc>
              <w:tc>
                <w:tcPr>
                  <w:tcW w:w="1100" w:type="dxa"/>
                  <w:tcBorders>
                    <w:tl2br w:val="nil"/>
                    <w:tr2bl w:val="nil"/>
                  </w:tcBorders>
                  <w:vAlign w:val="center"/>
                </w:tcPr>
                <w:p w14:paraId="205FB1F5">
                  <w:pPr>
                    <w:pStyle w:val="55"/>
                    <w:rPr>
                      <w:highlight w:val="none"/>
                    </w:rPr>
                  </w:pPr>
                  <w:r>
                    <w:rPr>
                      <w:rFonts w:hint="eastAsia"/>
                      <w:highlight w:val="none"/>
                    </w:rPr>
                    <w:t>1次/年</w:t>
                  </w:r>
                </w:p>
              </w:tc>
              <w:tc>
                <w:tcPr>
                  <w:tcW w:w="3400" w:type="dxa"/>
                  <w:tcBorders>
                    <w:tl2br w:val="nil"/>
                    <w:tr2bl w:val="nil"/>
                  </w:tcBorders>
                  <w:vAlign w:val="center"/>
                </w:tcPr>
                <w:p w14:paraId="123ACB7D">
                  <w:pPr>
                    <w:pStyle w:val="55"/>
                    <w:rPr>
                      <w:highlight w:val="none"/>
                    </w:rPr>
                  </w:pPr>
                  <w:r>
                    <w:rPr>
                      <w:rFonts w:hint="eastAsia"/>
                      <w:highlight w:val="none"/>
                    </w:rPr>
                    <w:t>《大气污染物综合排放标准》</w:t>
                  </w:r>
                  <w:r>
                    <w:rPr>
                      <w:rFonts w:hint="eastAsia"/>
                      <w:highlight w:val="none"/>
                      <w:lang w:eastAsia="zh-CN"/>
                    </w:rPr>
                    <w:t>（</w:t>
                  </w:r>
                  <w:r>
                    <w:rPr>
                      <w:rFonts w:hint="eastAsia"/>
                      <w:highlight w:val="none"/>
                    </w:rPr>
                    <w:t>GB16297-1996</w:t>
                  </w:r>
                  <w:r>
                    <w:rPr>
                      <w:rFonts w:hint="eastAsia"/>
                      <w:highlight w:val="none"/>
                      <w:lang w:eastAsia="zh-CN"/>
                    </w:rPr>
                    <w:t>）</w:t>
                  </w:r>
                  <w:r>
                    <w:rPr>
                      <w:rFonts w:hint="eastAsia"/>
                      <w:highlight w:val="none"/>
                    </w:rPr>
                    <w:t>表2新污染源大气污染物排放限值</w:t>
                  </w:r>
                </w:p>
              </w:tc>
            </w:tr>
            <w:tr w14:paraId="0E07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04" w:type="dxa"/>
                  <w:tcBorders>
                    <w:tl2br w:val="nil"/>
                    <w:tr2bl w:val="nil"/>
                  </w:tcBorders>
                  <w:vAlign w:val="center"/>
                </w:tcPr>
                <w:p w14:paraId="4E99DC41">
                  <w:pPr>
                    <w:pStyle w:val="55"/>
                    <w:rPr>
                      <w:highlight w:val="none"/>
                    </w:rPr>
                  </w:pPr>
                  <w:r>
                    <w:rPr>
                      <w:rFonts w:hint="eastAsia"/>
                      <w:highlight w:val="none"/>
                    </w:rPr>
                    <w:t>声环境</w:t>
                  </w:r>
                </w:p>
              </w:tc>
              <w:tc>
                <w:tcPr>
                  <w:tcW w:w="1460" w:type="dxa"/>
                  <w:tcBorders>
                    <w:tl2br w:val="nil"/>
                    <w:tr2bl w:val="nil"/>
                  </w:tcBorders>
                  <w:vAlign w:val="center"/>
                </w:tcPr>
                <w:p w14:paraId="7FA38F23">
                  <w:pPr>
                    <w:pStyle w:val="55"/>
                    <w:rPr>
                      <w:highlight w:val="none"/>
                    </w:rPr>
                  </w:pPr>
                  <w:r>
                    <w:rPr>
                      <w:highlight w:val="none"/>
                    </w:rPr>
                    <w:t>等效连续A声级Leq（A）</w:t>
                  </w:r>
                </w:p>
              </w:tc>
              <w:tc>
                <w:tcPr>
                  <w:tcW w:w="1266" w:type="dxa"/>
                  <w:tcBorders>
                    <w:tl2br w:val="nil"/>
                    <w:tr2bl w:val="nil"/>
                  </w:tcBorders>
                  <w:vAlign w:val="center"/>
                </w:tcPr>
                <w:p w14:paraId="40B736A3">
                  <w:pPr>
                    <w:pStyle w:val="55"/>
                    <w:rPr>
                      <w:highlight w:val="none"/>
                    </w:rPr>
                  </w:pPr>
                  <w:r>
                    <w:rPr>
                      <w:highlight w:val="none"/>
                    </w:rPr>
                    <w:t>厂界四周</w:t>
                  </w:r>
                </w:p>
              </w:tc>
              <w:tc>
                <w:tcPr>
                  <w:tcW w:w="1100" w:type="dxa"/>
                  <w:tcBorders>
                    <w:tl2br w:val="nil"/>
                    <w:tr2bl w:val="nil"/>
                  </w:tcBorders>
                  <w:vAlign w:val="center"/>
                </w:tcPr>
                <w:p w14:paraId="5E340C3D">
                  <w:pPr>
                    <w:pStyle w:val="55"/>
                    <w:rPr>
                      <w:highlight w:val="none"/>
                    </w:rPr>
                  </w:pPr>
                  <w:r>
                    <w:rPr>
                      <w:highlight w:val="none"/>
                    </w:rPr>
                    <w:t>1次/季</w:t>
                  </w:r>
                </w:p>
              </w:tc>
              <w:tc>
                <w:tcPr>
                  <w:tcW w:w="3400" w:type="dxa"/>
                  <w:tcBorders>
                    <w:tl2br w:val="nil"/>
                    <w:tr2bl w:val="nil"/>
                  </w:tcBorders>
                  <w:vAlign w:val="center"/>
                </w:tcPr>
                <w:p w14:paraId="0DC65DC0">
                  <w:pPr>
                    <w:pStyle w:val="55"/>
                    <w:rPr>
                      <w:highlight w:val="none"/>
                    </w:rPr>
                  </w:pPr>
                  <w:r>
                    <w:rPr>
                      <w:highlight w:val="none"/>
                    </w:rPr>
                    <w:t>《工业企业厂界环境噪声排放标准》（GB</w:t>
                  </w:r>
                  <w:r>
                    <w:rPr>
                      <w:rFonts w:hint="eastAsia"/>
                      <w:highlight w:val="none"/>
                    </w:rPr>
                    <w:t xml:space="preserve"> </w:t>
                  </w:r>
                  <w:r>
                    <w:rPr>
                      <w:highlight w:val="none"/>
                    </w:rPr>
                    <w:t>12348</w:t>
                  </w:r>
                  <w:r>
                    <w:rPr>
                      <w:rFonts w:hint="eastAsia"/>
                      <w:highlight w:val="none"/>
                    </w:rPr>
                    <w:t>—</w:t>
                  </w:r>
                  <w:r>
                    <w:rPr>
                      <w:highlight w:val="none"/>
                    </w:rPr>
                    <w:t>2008）中的</w:t>
                  </w:r>
                  <w:r>
                    <w:rPr>
                      <w:rFonts w:hint="eastAsia"/>
                      <w:highlight w:val="none"/>
                    </w:rPr>
                    <w:t>3</w:t>
                  </w:r>
                  <w:r>
                    <w:rPr>
                      <w:highlight w:val="none"/>
                    </w:rPr>
                    <w:t>类标准</w:t>
                  </w:r>
                </w:p>
              </w:tc>
            </w:tr>
            <w:tr w14:paraId="1A14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04" w:type="dxa"/>
                  <w:tcBorders>
                    <w:tl2br w:val="nil"/>
                    <w:tr2bl w:val="nil"/>
                  </w:tcBorders>
                  <w:vAlign w:val="center"/>
                </w:tcPr>
                <w:p w14:paraId="5368B379">
                  <w:pPr>
                    <w:pStyle w:val="55"/>
                    <w:rPr>
                      <w:rFonts w:hint="eastAsia" w:eastAsia="宋体"/>
                      <w:highlight w:val="none"/>
                      <w:lang w:val="en-US" w:eastAsia="zh-CN"/>
                    </w:rPr>
                  </w:pPr>
                  <w:r>
                    <w:rPr>
                      <w:rFonts w:hint="eastAsia"/>
                      <w:highlight w:val="none"/>
                      <w:lang w:val="en-US" w:eastAsia="zh-CN"/>
                    </w:rPr>
                    <w:t>生活污水</w:t>
                  </w:r>
                </w:p>
              </w:tc>
              <w:tc>
                <w:tcPr>
                  <w:tcW w:w="1460" w:type="dxa"/>
                  <w:tcBorders>
                    <w:tl2br w:val="nil"/>
                    <w:tr2bl w:val="nil"/>
                  </w:tcBorders>
                  <w:vAlign w:val="center"/>
                </w:tcPr>
                <w:p w14:paraId="37C08BCB">
                  <w:pPr>
                    <w:pStyle w:val="55"/>
                    <w:rPr>
                      <w:highlight w:val="none"/>
                    </w:rPr>
                  </w:pPr>
                  <w:r>
                    <w:rPr>
                      <w:rFonts w:hint="eastAsia" w:ascii="Times New Roman" w:hAnsi="Times New Roman"/>
                      <w:sz w:val="21"/>
                      <w:szCs w:val="21"/>
                      <w:highlight w:val="none"/>
                    </w:rPr>
                    <w:t>COD、</w:t>
                  </w:r>
                  <w:r>
                    <w:rPr>
                      <w:rFonts w:hint="eastAsia" w:ascii="Times New Roman" w:hAnsi="Times New Roman"/>
                      <w:sz w:val="21"/>
                      <w:szCs w:val="21"/>
                      <w:highlight w:val="none"/>
                      <w:lang w:val="en-US" w:eastAsia="zh-CN"/>
                    </w:rPr>
                    <w:t>BOD</w:t>
                  </w:r>
                  <w:r>
                    <w:rPr>
                      <w:rFonts w:hint="eastAsia" w:ascii="Times New Roman" w:hAnsi="Times New Roman"/>
                      <w:sz w:val="21"/>
                      <w:szCs w:val="21"/>
                      <w:highlight w:val="none"/>
                      <w:vertAlign w:val="subscript"/>
                      <w:lang w:val="en-US" w:eastAsia="zh-CN"/>
                    </w:rPr>
                    <w:t>5</w:t>
                  </w:r>
                  <w:r>
                    <w:rPr>
                      <w:rFonts w:hint="eastAsia" w:ascii="Times New Roman" w:hAnsi="Times New Roman"/>
                      <w:sz w:val="21"/>
                      <w:szCs w:val="21"/>
                      <w:highlight w:val="none"/>
                      <w:lang w:val="en-US" w:eastAsia="zh-CN"/>
                    </w:rPr>
                    <w:t>、</w:t>
                  </w:r>
                  <w:r>
                    <w:rPr>
                      <w:rFonts w:hint="eastAsia" w:ascii="Times New Roman" w:hAnsi="Times New Roman"/>
                      <w:sz w:val="21"/>
                      <w:szCs w:val="21"/>
                      <w:highlight w:val="none"/>
                    </w:rPr>
                    <w:t>氨氮、SS</w:t>
                  </w:r>
                </w:p>
              </w:tc>
              <w:tc>
                <w:tcPr>
                  <w:tcW w:w="1266" w:type="dxa"/>
                  <w:tcBorders>
                    <w:tl2br w:val="nil"/>
                    <w:tr2bl w:val="nil"/>
                  </w:tcBorders>
                  <w:vAlign w:val="center"/>
                </w:tcPr>
                <w:p w14:paraId="2094846C">
                  <w:pPr>
                    <w:pStyle w:val="55"/>
                    <w:rPr>
                      <w:rFonts w:hint="eastAsia" w:eastAsia="宋体"/>
                      <w:highlight w:val="none"/>
                      <w:lang w:val="en-US" w:eastAsia="zh-CN"/>
                    </w:rPr>
                  </w:pPr>
                  <w:r>
                    <w:rPr>
                      <w:rFonts w:hint="eastAsia"/>
                      <w:highlight w:val="none"/>
                      <w:lang w:val="en-US" w:eastAsia="zh-CN"/>
                    </w:rPr>
                    <w:t>废水排放口</w:t>
                  </w:r>
                </w:p>
              </w:tc>
              <w:tc>
                <w:tcPr>
                  <w:tcW w:w="1100" w:type="dxa"/>
                  <w:tcBorders>
                    <w:tl2br w:val="nil"/>
                    <w:tr2bl w:val="nil"/>
                  </w:tcBorders>
                  <w:vAlign w:val="center"/>
                </w:tcPr>
                <w:p w14:paraId="36D7030D">
                  <w:pPr>
                    <w:pStyle w:val="55"/>
                    <w:rPr>
                      <w:highlight w:val="none"/>
                    </w:rPr>
                  </w:pPr>
                  <w:r>
                    <w:rPr>
                      <w:rFonts w:hint="eastAsia"/>
                      <w:highlight w:val="none"/>
                    </w:rPr>
                    <w:t>1次/年</w:t>
                  </w:r>
                </w:p>
              </w:tc>
              <w:tc>
                <w:tcPr>
                  <w:tcW w:w="3400" w:type="dxa"/>
                  <w:tcBorders>
                    <w:tl2br w:val="nil"/>
                    <w:tr2bl w:val="nil"/>
                  </w:tcBorders>
                  <w:vAlign w:val="center"/>
                </w:tcPr>
                <w:p w14:paraId="73FDE200">
                  <w:pPr>
                    <w:pStyle w:val="55"/>
                    <w:rPr>
                      <w:highlight w:val="none"/>
                    </w:rPr>
                  </w:pPr>
                  <w:r>
                    <w:rPr>
                      <w:rFonts w:hint="eastAsia"/>
                      <w:highlight w:val="none"/>
                      <w:lang w:val="en-US" w:eastAsia="zh-CN"/>
                    </w:rPr>
                    <w:t>《污水综合排放标准》（GB8979-1996）表2三级排放标准</w:t>
                  </w:r>
                </w:p>
              </w:tc>
            </w:tr>
          </w:tbl>
          <w:p w14:paraId="46C3E568">
            <w:pPr>
              <w:pStyle w:val="3"/>
              <w:rPr>
                <w:rFonts w:hint="eastAsia" w:eastAsia="宋体"/>
                <w:highlight w:val="none"/>
                <w:lang w:eastAsia="zh-CN"/>
              </w:rPr>
            </w:pPr>
            <w:r>
              <w:rPr>
                <w:rFonts w:hint="eastAsia" w:ascii="Times New Roman" w:hAnsi="Times New Roman" w:cs="Times New Roman"/>
                <w:highlight w:val="none"/>
              </w:rPr>
              <w:t xml:space="preserve">9 </w:t>
            </w:r>
            <w:r>
              <w:rPr>
                <w:rFonts w:hint="eastAsia"/>
                <w:highlight w:val="none"/>
                <w:lang w:val="en-US" w:eastAsia="zh-CN"/>
              </w:rPr>
              <w:t>排污许可</w:t>
            </w:r>
          </w:p>
          <w:p w14:paraId="321ED2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Cs/>
                <w:color w:val="auto"/>
                <w:spacing w:val="0"/>
                <w:kern w:val="0"/>
                <w:sz w:val="24"/>
                <w:szCs w:val="24"/>
                <w:highlight w:val="none"/>
                <w:lang w:val="en-US" w:eastAsia="zh-CN"/>
              </w:rPr>
            </w:pPr>
            <w:r>
              <w:rPr>
                <w:rFonts w:hint="eastAsia"/>
                <w:bCs/>
                <w:color w:val="auto"/>
                <w:spacing w:val="0"/>
                <w:kern w:val="0"/>
                <w:sz w:val="24"/>
                <w:szCs w:val="24"/>
                <w:highlight w:val="none"/>
                <w:lang w:val="en-US" w:eastAsia="zh-CN"/>
              </w:rPr>
              <w:t>（1）排污许可证</w:t>
            </w:r>
          </w:p>
          <w:p w14:paraId="03C68D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Cs/>
                <w:color w:val="auto"/>
                <w:spacing w:val="0"/>
                <w:kern w:val="0"/>
                <w:sz w:val="24"/>
                <w:szCs w:val="24"/>
                <w:highlight w:val="none"/>
                <w:lang w:val="en-US" w:eastAsia="zh-CN"/>
              </w:rPr>
            </w:pPr>
            <w:r>
              <w:rPr>
                <w:rFonts w:hint="default"/>
                <w:bCs/>
                <w:color w:val="auto"/>
                <w:spacing w:val="0"/>
                <w:kern w:val="0"/>
                <w:sz w:val="24"/>
                <w:szCs w:val="24"/>
                <w:highlight w:val="none"/>
                <w:lang w:val="en-US" w:eastAsia="zh-CN"/>
              </w:rPr>
              <w:t>《排污许可管理条例》（中华人民共和国第736号）规定依照法律规定实行排污许可管理的企业事业单位和其他生产经营者（以下称排污单位），应当依照本条例规定申请取得排污许可证；未取得排污许可证的，不得排放污染物。根据污染物产生量、排放量、对环境的影响程度等因素，对排污单位实行排污许可分类管理：污染物产生量、排放量或者对环境的影响程度较大的排污单位，实行排污许可重点管理；污染物产生量、排放量和对环境的影响程度都较小的排污单位，实行排污许可简化管理。</w:t>
            </w:r>
          </w:p>
          <w:p w14:paraId="1604B1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Cs/>
                <w:color w:val="auto"/>
                <w:spacing w:val="0"/>
                <w:kern w:val="0"/>
                <w:sz w:val="24"/>
                <w:szCs w:val="24"/>
                <w:highlight w:val="none"/>
                <w:lang w:val="en-US" w:eastAsia="zh-CN"/>
              </w:rPr>
            </w:pPr>
            <w:r>
              <w:rPr>
                <w:rFonts w:hint="default"/>
                <w:bCs/>
                <w:color w:val="auto"/>
                <w:spacing w:val="0"/>
                <w:kern w:val="0"/>
                <w:sz w:val="24"/>
                <w:szCs w:val="24"/>
                <w:highlight w:val="none"/>
                <w:lang w:val="en-US" w:eastAsia="zh-CN"/>
              </w:rPr>
              <w:t>对照《固定污染源排污许可分类管理名录（2019年版）》，本项目属于</w:t>
            </w:r>
            <w:r>
              <w:rPr>
                <w:rFonts w:hint="eastAsia"/>
                <w:bCs/>
                <w:color w:val="auto"/>
                <w:spacing w:val="0"/>
                <w:kern w:val="0"/>
                <w:sz w:val="24"/>
                <w:szCs w:val="24"/>
                <w:highlight w:val="none"/>
                <w:lang w:val="en-US" w:eastAsia="zh-CN"/>
              </w:rPr>
              <w:t>“四十五</w:t>
            </w:r>
            <w:r>
              <w:rPr>
                <w:rFonts w:hint="default"/>
                <w:bCs/>
                <w:color w:val="auto"/>
                <w:spacing w:val="0"/>
                <w:kern w:val="0"/>
                <w:sz w:val="24"/>
                <w:szCs w:val="24"/>
                <w:highlight w:val="none"/>
                <w:lang w:val="en-US" w:eastAsia="zh-CN"/>
              </w:rPr>
              <w:t>、生态保护和环境治理业</w:t>
            </w:r>
            <w:r>
              <w:rPr>
                <w:rFonts w:hint="eastAsia"/>
                <w:bCs/>
                <w:color w:val="auto"/>
                <w:spacing w:val="0"/>
                <w:kern w:val="0"/>
                <w:sz w:val="24"/>
                <w:szCs w:val="24"/>
                <w:highlight w:val="none"/>
                <w:lang w:val="en-US" w:eastAsia="zh-CN"/>
              </w:rPr>
              <w:t>77；103</w:t>
            </w:r>
            <w:r>
              <w:rPr>
                <w:rFonts w:hint="default"/>
                <w:bCs/>
                <w:color w:val="auto"/>
                <w:spacing w:val="0"/>
                <w:kern w:val="0"/>
                <w:sz w:val="24"/>
                <w:szCs w:val="24"/>
                <w:highlight w:val="none"/>
                <w:lang w:val="en-US" w:eastAsia="zh-CN"/>
              </w:rPr>
              <w:t>、环境治理业772</w:t>
            </w:r>
            <w:r>
              <w:rPr>
                <w:rFonts w:hint="eastAsia"/>
                <w:bCs/>
                <w:color w:val="auto"/>
                <w:spacing w:val="0"/>
                <w:kern w:val="0"/>
                <w:sz w:val="24"/>
                <w:szCs w:val="24"/>
                <w:highlight w:val="none"/>
                <w:lang w:val="en-US" w:eastAsia="zh-CN"/>
              </w:rPr>
              <w:t>，专业从事一般工业固体废物贮存、处置（含焚烧发电）的”</w:t>
            </w:r>
            <w:r>
              <w:rPr>
                <w:rFonts w:hint="default"/>
                <w:bCs/>
                <w:color w:val="auto"/>
                <w:spacing w:val="0"/>
                <w:kern w:val="0"/>
                <w:sz w:val="24"/>
                <w:szCs w:val="24"/>
                <w:highlight w:val="none"/>
                <w:lang w:val="en-US" w:eastAsia="zh-CN"/>
              </w:rPr>
              <w:t>，实施</w:t>
            </w:r>
            <w:r>
              <w:rPr>
                <w:rFonts w:hint="eastAsia"/>
                <w:bCs/>
                <w:color w:val="auto"/>
                <w:spacing w:val="0"/>
                <w:kern w:val="0"/>
                <w:sz w:val="24"/>
                <w:szCs w:val="24"/>
                <w:highlight w:val="none"/>
                <w:lang w:val="en-US" w:eastAsia="zh-CN"/>
              </w:rPr>
              <w:t>重点</w:t>
            </w:r>
            <w:r>
              <w:rPr>
                <w:rFonts w:hint="default"/>
                <w:bCs/>
                <w:color w:val="auto"/>
                <w:spacing w:val="0"/>
                <w:kern w:val="0"/>
                <w:sz w:val="24"/>
                <w:szCs w:val="24"/>
                <w:highlight w:val="none"/>
                <w:lang w:val="en-US" w:eastAsia="zh-CN"/>
              </w:rPr>
              <w:t>管理，因此本项目建设单位在产生排污行为之前应当</w:t>
            </w:r>
            <w:r>
              <w:rPr>
                <w:rFonts w:hint="eastAsia"/>
                <w:bCs/>
                <w:color w:val="auto"/>
                <w:spacing w:val="0"/>
                <w:kern w:val="0"/>
                <w:sz w:val="24"/>
                <w:szCs w:val="24"/>
                <w:highlight w:val="none"/>
                <w:lang w:val="en-US" w:eastAsia="zh-CN"/>
              </w:rPr>
              <w:t>进行排污许可申请</w:t>
            </w:r>
            <w:r>
              <w:rPr>
                <w:rFonts w:hint="default"/>
                <w:bCs/>
                <w:color w:val="auto"/>
                <w:spacing w:val="0"/>
                <w:kern w:val="0"/>
                <w:sz w:val="24"/>
                <w:szCs w:val="24"/>
                <w:highlight w:val="none"/>
                <w:lang w:val="en-US" w:eastAsia="zh-CN"/>
              </w:rPr>
              <w:t>。</w:t>
            </w:r>
          </w:p>
          <w:p w14:paraId="77F2FE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Cs/>
                <w:color w:val="auto"/>
                <w:spacing w:val="0"/>
                <w:kern w:val="0"/>
                <w:sz w:val="24"/>
                <w:szCs w:val="24"/>
                <w:highlight w:val="none"/>
                <w:lang w:val="en-US" w:eastAsia="zh-CN"/>
              </w:rPr>
            </w:pPr>
            <w:r>
              <w:rPr>
                <w:rFonts w:hint="default"/>
                <w:bCs/>
                <w:color w:val="auto"/>
                <w:spacing w:val="0"/>
                <w:kern w:val="0"/>
                <w:sz w:val="24"/>
                <w:szCs w:val="24"/>
                <w:highlight w:val="none"/>
                <w:lang w:val="en-US" w:eastAsia="zh-CN"/>
              </w:rPr>
              <w:t>根据《排污许可管理条例》，在排污许可证有效期内，排污单位有下列情形之一的，应当重新申请取得排污许可证：</w:t>
            </w:r>
          </w:p>
          <w:p w14:paraId="11C6CC9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bCs/>
                <w:color w:val="auto"/>
                <w:spacing w:val="0"/>
                <w:kern w:val="0"/>
                <w:sz w:val="24"/>
                <w:szCs w:val="24"/>
                <w:highlight w:val="none"/>
                <w:lang w:val="en-US" w:eastAsia="zh-CN"/>
              </w:rPr>
            </w:pPr>
            <w:r>
              <w:rPr>
                <w:rFonts w:hint="default"/>
                <w:bCs/>
                <w:color w:val="auto"/>
                <w:spacing w:val="0"/>
                <w:kern w:val="0"/>
                <w:sz w:val="24"/>
                <w:szCs w:val="24"/>
                <w:highlight w:val="none"/>
                <w:lang w:val="en-US" w:eastAsia="zh-CN"/>
              </w:rPr>
              <w:t>（一）新建、改建、扩建排放污染物的项目；</w:t>
            </w:r>
          </w:p>
          <w:p w14:paraId="0726EC48">
            <w:pPr>
              <w:pStyle w:val="2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highlight w:val="none"/>
              </w:rPr>
            </w:pPr>
            <w:r>
              <w:rPr>
                <w:rFonts w:hint="default"/>
                <w:bCs/>
                <w:color w:val="auto"/>
                <w:spacing w:val="0"/>
                <w:kern w:val="0"/>
                <w:sz w:val="24"/>
                <w:szCs w:val="24"/>
                <w:highlight w:val="none"/>
                <w:lang w:val="en-US" w:eastAsia="zh-CN"/>
              </w:rPr>
              <w:t>（二）生产经营场所、污染物排放口位置或者污染物排放方式、排放去向发生变化</w:t>
            </w:r>
          </w:p>
        </w:tc>
      </w:tr>
    </w:tbl>
    <w:p w14:paraId="4860AE30">
      <w:pPr>
        <w:ind w:firstLine="562"/>
        <w:rPr>
          <w:rFonts w:ascii="宋体" w:cs="宋体"/>
          <w:b/>
          <w:kern w:val="0"/>
          <w:sz w:val="28"/>
          <w:szCs w:val="28"/>
        </w:rPr>
        <w:sectPr>
          <w:footerReference r:id="rId6" w:type="default"/>
          <w:pgSz w:w="11907" w:h="16840"/>
          <w:pgMar w:top="1701" w:right="1531" w:bottom="2127" w:left="1531" w:header="851" w:footer="851" w:gutter="0"/>
          <w:pgNumType w:start="1"/>
          <w:cols w:space="720" w:num="1"/>
          <w:docGrid w:linePitch="312" w:charSpace="0"/>
        </w:sectPr>
      </w:pPr>
    </w:p>
    <w:p w14:paraId="6390F517">
      <w:pPr>
        <w:pStyle w:val="2"/>
        <w:ind w:firstLine="602"/>
        <w:rPr>
          <w:color w:val="auto"/>
        </w:rPr>
      </w:pPr>
      <w:bookmarkStart w:id="11" w:name="_Toc27551"/>
      <w:r>
        <w:rPr>
          <w:rFonts w:hint="eastAsia"/>
          <w:color w:val="auto"/>
        </w:rPr>
        <w:t>五、</w:t>
      </w:r>
      <w:bookmarkStart w:id="12" w:name="_Hlk54167917"/>
      <w:r>
        <w:rPr>
          <w:rFonts w:hint="eastAsia"/>
          <w:color w:val="auto"/>
        </w:rPr>
        <w:t>环境保护措施监督检查清单</w:t>
      </w:r>
      <w:bookmarkEnd w:id="11"/>
      <w:bookmarkEnd w:id="1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70"/>
        <w:gridCol w:w="1200"/>
        <w:gridCol w:w="885"/>
        <w:gridCol w:w="2475"/>
        <w:gridCol w:w="2150"/>
      </w:tblGrid>
      <w:tr w14:paraId="374D4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dxa"/>
            <w:tcBorders>
              <w:tl2br w:val="single" w:color="auto" w:sz="4" w:space="0"/>
            </w:tcBorders>
          </w:tcPr>
          <w:p w14:paraId="4B175B81">
            <w:pPr>
              <w:pStyle w:val="55"/>
            </w:pPr>
            <w:r>
              <w:rPr>
                <w:rFonts w:hint="eastAsia"/>
              </w:rPr>
              <w:t>内容</w:t>
            </w:r>
          </w:p>
          <w:p w14:paraId="5A1E5022">
            <w:pPr>
              <w:pStyle w:val="55"/>
            </w:pPr>
            <w:r>
              <w:rPr>
                <w:rFonts w:hint="eastAsia"/>
              </w:rPr>
              <w:t>要素</w:t>
            </w:r>
          </w:p>
        </w:tc>
        <w:tc>
          <w:tcPr>
            <w:tcW w:w="1170" w:type="dxa"/>
            <w:vAlign w:val="center"/>
          </w:tcPr>
          <w:p w14:paraId="57F5143F">
            <w:pPr>
              <w:pStyle w:val="55"/>
            </w:pPr>
            <w:r>
              <w:rPr>
                <w:rFonts w:hint="eastAsia"/>
              </w:rPr>
              <w:t>排放口</w:t>
            </w:r>
            <w:r>
              <w:rPr>
                <w:rFonts w:hint="eastAsia"/>
                <w:lang w:eastAsia="zh-CN"/>
              </w:rPr>
              <w:t>（</w:t>
            </w:r>
            <w:r>
              <w:rPr>
                <w:rFonts w:hint="eastAsia"/>
              </w:rPr>
              <w:t>编号、名称</w:t>
            </w:r>
            <w:r>
              <w:rPr>
                <w:rFonts w:hint="eastAsia"/>
                <w:lang w:eastAsia="zh-CN"/>
              </w:rPr>
              <w:t>）</w:t>
            </w:r>
            <w:r>
              <w:rPr>
                <w:rFonts w:hint="eastAsia"/>
              </w:rPr>
              <w:t>/污染源</w:t>
            </w:r>
          </w:p>
        </w:tc>
        <w:tc>
          <w:tcPr>
            <w:tcW w:w="2085" w:type="dxa"/>
            <w:gridSpan w:val="2"/>
            <w:vAlign w:val="center"/>
          </w:tcPr>
          <w:p w14:paraId="7016A44D">
            <w:pPr>
              <w:pStyle w:val="55"/>
            </w:pPr>
            <w:r>
              <w:rPr>
                <w:rFonts w:hint="eastAsia"/>
              </w:rPr>
              <w:t>污染物项目</w:t>
            </w:r>
          </w:p>
        </w:tc>
        <w:tc>
          <w:tcPr>
            <w:tcW w:w="2475" w:type="dxa"/>
            <w:vAlign w:val="center"/>
          </w:tcPr>
          <w:p w14:paraId="2FAA21FF">
            <w:pPr>
              <w:pStyle w:val="55"/>
            </w:pPr>
            <w:r>
              <w:rPr>
                <w:rFonts w:hint="eastAsia"/>
              </w:rPr>
              <w:t>环境保护措施</w:t>
            </w:r>
          </w:p>
        </w:tc>
        <w:tc>
          <w:tcPr>
            <w:tcW w:w="2150" w:type="dxa"/>
            <w:vAlign w:val="center"/>
          </w:tcPr>
          <w:p w14:paraId="2CE70F93">
            <w:pPr>
              <w:pStyle w:val="55"/>
            </w:pPr>
            <w:r>
              <w:rPr>
                <w:rFonts w:hint="eastAsia"/>
              </w:rPr>
              <w:t>执行标准</w:t>
            </w:r>
          </w:p>
        </w:tc>
      </w:tr>
      <w:tr w14:paraId="3E4C5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20" w:type="dxa"/>
            <w:vMerge w:val="restart"/>
            <w:vAlign w:val="center"/>
          </w:tcPr>
          <w:p w14:paraId="2BEAC89A">
            <w:pPr>
              <w:pStyle w:val="55"/>
            </w:pPr>
            <w:r>
              <w:rPr>
                <w:rFonts w:hint="eastAsia"/>
              </w:rPr>
              <w:t>大气环境</w:t>
            </w:r>
          </w:p>
        </w:tc>
        <w:tc>
          <w:tcPr>
            <w:tcW w:w="1170" w:type="dxa"/>
            <w:vMerge w:val="restart"/>
            <w:vAlign w:val="center"/>
          </w:tcPr>
          <w:p w14:paraId="691E94A9">
            <w:pPr>
              <w:pStyle w:val="55"/>
            </w:pPr>
            <w:r>
              <w:rPr>
                <w:rFonts w:hint="eastAsia"/>
                <w:lang w:val="en-US" w:eastAsia="zh-CN"/>
              </w:rPr>
              <w:t>粉煤灰</w:t>
            </w:r>
            <w:r>
              <w:rPr>
                <w:rFonts w:hint="eastAsia"/>
              </w:rPr>
              <w:t>生产线</w:t>
            </w:r>
          </w:p>
        </w:tc>
        <w:tc>
          <w:tcPr>
            <w:tcW w:w="1200" w:type="dxa"/>
            <w:vAlign w:val="center"/>
          </w:tcPr>
          <w:p w14:paraId="5539F3A1">
            <w:pPr>
              <w:pStyle w:val="55"/>
            </w:pPr>
            <w:r>
              <w:rPr>
                <w:rFonts w:hint="eastAsia"/>
              </w:rPr>
              <w:t>有组织（DA001）</w:t>
            </w:r>
          </w:p>
        </w:tc>
        <w:tc>
          <w:tcPr>
            <w:tcW w:w="885" w:type="dxa"/>
            <w:vAlign w:val="center"/>
          </w:tcPr>
          <w:p w14:paraId="2B445855">
            <w:pPr>
              <w:pStyle w:val="55"/>
            </w:pPr>
            <w:r>
              <w:rPr>
                <w:rFonts w:hint="eastAsia"/>
              </w:rPr>
              <w:t>颗粒物</w:t>
            </w:r>
          </w:p>
        </w:tc>
        <w:tc>
          <w:tcPr>
            <w:tcW w:w="2475" w:type="dxa"/>
            <w:vAlign w:val="center"/>
          </w:tcPr>
          <w:p w14:paraId="77FD7D7B">
            <w:pPr>
              <w:pStyle w:val="55"/>
            </w:pPr>
            <w:r>
              <w:rPr>
                <w:rFonts w:hint="eastAsia"/>
              </w:rPr>
              <w:t>经密闭收集后通过</w:t>
            </w:r>
            <w:r>
              <w:rPr>
                <w:rFonts w:hint="eastAsia"/>
                <w:lang w:val="en-US" w:eastAsia="zh-CN"/>
              </w:rPr>
              <w:t>1</w:t>
            </w:r>
            <w:r>
              <w:rPr>
                <w:rFonts w:hint="eastAsia"/>
              </w:rPr>
              <w:t>台布袋除尘器处理后由1根</w:t>
            </w:r>
            <w:r>
              <w:rPr>
                <w:rFonts w:hint="eastAsia"/>
                <w:lang w:eastAsia="zh-CN"/>
              </w:rPr>
              <w:t>22m</w:t>
            </w:r>
            <w:r>
              <w:rPr>
                <w:rFonts w:hint="eastAsia"/>
              </w:rPr>
              <w:t>高排气筒排放</w:t>
            </w:r>
          </w:p>
        </w:tc>
        <w:tc>
          <w:tcPr>
            <w:tcW w:w="2150" w:type="dxa"/>
            <w:vMerge w:val="restart"/>
            <w:vAlign w:val="center"/>
          </w:tcPr>
          <w:p w14:paraId="52C3D842">
            <w:pPr>
              <w:pStyle w:val="55"/>
            </w:pPr>
            <w:r>
              <w:rPr>
                <w:rFonts w:hint="eastAsia"/>
              </w:rPr>
              <w:t>《大气污染物综合排放标准》</w:t>
            </w:r>
            <w:r>
              <w:rPr>
                <w:rFonts w:hint="eastAsia"/>
                <w:lang w:eastAsia="zh-CN"/>
              </w:rPr>
              <w:t>（</w:t>
            </w:r>
            <w:r>
              <w:rPr>
                <w:rFonts w:hint="eastAsia"/>
              </w:rPr>
              <w:t>GB16297-1996</w:t>
            </w:r>
            <w:r>
              <w:rPr>
                <w:rFonts w:hint="eastAsia"/>
                <w:lang w:eastAsia="zh-CN"/>
              </w:rPr>
              <w:t>）</w:t>
            </w:r>
            <w:r>
              <w:rPr>
                <w:rFonts w:hint="eastAsia"/>
              </w:rPr>
              <w:t>表2新污染源大气污染物排放限值</w:t>
            </w:r>
          </w:p>
        </w:tc>
      </w:tr>
      <w:tr w14:paraId="3E188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0" w:type="dxa"/>
            <w:vMerge w:val="continue"/>
            <w:vAlign w:val="center"/>
          </w:tcPr>
          <w:p w14:paraId="10B8B690">
            <w:pPr>
              <w:pStyle w:val="55"/>
            </w:pPr>
          </w:p>
        </w:tc>
        <w:tc>
          <w:tcPr>
            <w:tcW w:w="1170" w:type="dxa"/>
            <w:vMerge w:val="continue"/>
            <w:vAlign w:val="center"/>
          </w:tcPr>
          <w:p w14:paraId="19405C0D">
            <w:pPr>
              <w:pStyle w:val="55"/>
            </w:pPr>
          </w:p>
        </w:tc>
        <w:tc>
          <w:tcPr>
            <w:tcW w:w="1200" w:type="dxa"/>
            <w:vAlign w:val="center"/>
          </w:tcPr>
          <w:p w14:paraId="551818DE">
            <w:pPr>
              <w:pStyle w:val="55"/>
            </w:pPr>
            <w:r>
              <w:rPr>
                <w:rFonts w:hint="eastAsia"/>
              </w:rPr>
              <w:t>无组织</w:t>
            </w:r>
          </w:p>
        </w:tc>
        <w:tc>
          <w:tcPr>
            <w:tcW w:w="885" w:type="dxa"/>
            <w:vAlign w:val="center"/>
          </w:tcPr>
          <w:p w14:paraId="187ED4B1">
            <w:pPr>
              <w:pStyle w:val="55"/>
            </w:pPr>
            <w:r>
              <w:rPr>
                <w:rFonts w:hint="eastAsia"/>
              </w:rPr>
              <w:t>颗粒物</w:t>
            </w:r>
          </w:p>
        </w:tc>
        <w:tc>
          <w:tcPr>
            <w:tcW w:w="2475" w:type="dxa"/>
            <w:vAlign w:val="center"/>
          </w:tcPr>
          <w:p w14:paraId="54B24E2F">
            <w:pPr>
              <w:pStyle w:val="55"/>
            </w:pPr>
            <w:r>
              <w:rPr>
                <w:rFonts w:hint="eastAsia"/>
              </w:rPr>
              <w:t>生产线在密闭厂房内进行</w:t>
            </w:r>
            <w:r>
              <w:t>，</w:t>
            </w:r>
            <w:r>
              <w:rPr>
                <w:rFonts w:hint="eastAsia"/>
              </w:rPr>
              <w:t>厂房内</w:t>
            </w:r>
            <w:r>
              <w:t>定期洒水降尘</w:t>
            </w:r>
            <w:r>
              <w:rPr>
                <w:rFonts w:hint="eastAsia"/>
              </w:rPr>
              <w:t>、清扫</w:t>
            </w:r>
          </w:p>
        </w:tc>
        <w:tc>
          <w:tcPr>
            <w:tcW w:w="2150" w:type="dxa"/>
            <w:vMerge w:val="continue"/>
            <w:vAlign w:val="center"/>
          </w:tcPr>
          <w:p w14:paraId="576E50A4">
            <w:pPr>
              <w:pStyle w:val="55"/>
            </w:pPr>
          </w:p>
        </w:tc>
      </w:tr>
      <w:tr w14:paraId="33A93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0" w:type="dxa"/>
            <w:vMerge w:val="continue"/>
            <w:vAlign w:val="center"/>
          </w:tcPr>
          <w:p w14:paraId="593AC512">
            <w:pPr>
              <w:pStyle w:val="55"/>
            </w:pPr>
          </w:p>
        </w:tc>
        <w:tc>
          <w:tcPr>
            <w:tcW w:w="1170" w:type="dxa"/>
            <w:vAlign w:val="center"/>
          </w:tcPr>
          <w:p w14:paraId="1E62AD15">
            <w:pPr>
              <w:pStyle w:val="55"/>
              <w:rPr>
                <w:rFonts w:hint="eastAsia" w:eastAsia="宋体"/>
                <w:lang w:val="en-US" w:eastAsia="zh-CN"/>
              </w:rPr>
            </w:pPr>
            <w:r>
              <w:rPr>
                <w:rFonts w:hint="eastAsia"/>
                <w:lang w:val="en-US" w:eastAsia="zh-CN"/>
              </w:rPr>
              <w:t>车辆运输过程</w:t>
            </w:r>
          </w:p>
        </w:tc>
        <w:tc>
          <w:tcPr>
            <w:tcW w:w="1200" w:type="dxa"/>
            <w:vAlign w:val="center"/>
          </w:tcPr>
          <w:p w14:paraId="26E71FD8">
            <w:pPr>
              <w:pStyle w:val="55"/>
              <w:rPr>
                <w:rFonts w:hint="eastAsia" w:eastAsia="宋体"/>
                <w:lang w:val="en-US" w:eastAsia="zh-CN"/>
              </w:rPr>
            </w:pPr>
            <w:r>
              <w:rPr>
                <w:rFonts w:hint="eastAsia"/>
                <w:lang w:val="en-US" w:eastAsia="zh-CN"/>
              </w:rPr>
              <w:t>无组织</w:t>
            </w:r>
          </w:p>
        </w:tc>
        <w:tc>
          <w:tcPr>
            <w:tcW w:w="885" w:type="dxa"/>
            <w:vAlign w:val="center"/>
          </w:tcPr>
          <w:p w14:paraId="3B167265">
            <w:pPr>
              <w:pStyle w:val="55"/>
              <w:rPr>
                <w:rFonts w:hint="eastAsia" w:eastAsia="宋体"/>
                <w:lang w:val="en-US" w:eastAsia="zh-CN"/>
              </w:rPr>
            </w:pPr>
            <w:r>
              <w:rPr>
                <w:rFonts w:hint="eastAsia"/>
                <w:lang w:val="en-US" w:eastAsia="zh-CN"/>
              </w:rPr>
              <w:t>颗粒物</w:t>
            </w:r>
          </w:p>
        </w:tc>
        <w:tc>
          <w:tcPr>
            <w:tcW w:w="2475" w:type="dxa"/>
            <w:vAlign w:val="center"/>
          </w:tcPr>
          <w:p w14:paraId="1BCB80FD">
            <w:pPr>
              <w:pStyle w:val="55"/>
              <w:rPr>
                <w:rFonts w:hint="eastAsia"/>
              </w:rPr>
            </w:pPr>
            <w:r>
              <w:rPr>
                <w:rFonts w:hint="default" w:ascii="Times New Roman" w:hAnsi="Times New Roman" w:eastAsia="宋体" w:cs="Times New Roman"/>
                <w:lang w:val="en-US" w:eastAsia="zh-CN"/>
              </w:rPr>
              <w:t>运输</w:t>
            </w:r>
            <w:r>
              <w:rPr>
                <w:rFonts w:hint="eastAsia" w:ascii="Times New Roman" w:hAnsi="Times New Roman" w:eastAsia="宋体" w:cs="Times New Roman"/>
                <w:lang w:val="en-US" w:eastAsia="zh-CN"/>
              </w:rPr>
              <w:t>道路</w:t>
            </w:r>
            <w:r>
              <w:rPr>
                <w:rFonts w:hint="default" w:ascii="Times New Roman" w:hAnsi="Times New Roman" w:eastAsia="宋体" w:cs="Times New Roman"/>
                <w:lang w:val="en-US" w:eastAsia="zh-CN"/>
              </w:rPr>
              <w:t>洒水抑尘、篷布遮盖</w:t>
            </w:r>
            <w:r>
              <w:rPr>
                <w:rFonts w:hint="eastAsia" w:ascii="Times New Roman" w:hAnsi="Times New Roman" w:eastAsia="宋体" w:cs="Times New Roman"/>
                <w:lang w:val="en-US" w:eastAsia="zh-CN"/>
              </w:rPr>
              <w:t>原料运输车辆</w:t>
            </w:r>
            <w:r>
              <w:rPr>
                <w:rFonts w:hint="default" w:ascii="Times New Roman" w:hAnsi="Times New Roman" w:eastAsia="宋体" w:cs="Times New Roman"/>
                <w:lang w:val="en-US" w:eastAsia="zh-CN"/>
              </w:rPr>
              <w:t>、严禁超载、控制车速</w:t>
            </w:r>
          </w:p>
        </w:tc>
        <w:tc>
          <w:tcPr>
            <w:tcW w:w="2150" w:type="dxa"/>
            <w:vMerge w:val="continue"/>
            <w:vAlign w:val="center"/>
          </w:tcPr>
          <w:p w14:paraId="22F81F58">
            <w:pPr>
              <w:pStyle w:val="55"/>
            </w:pPr>
          </w:p>
        </w:tc>
      </w:tr>
      <w:tr w14:paraId="73FB6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0" w:type="dxa"/>
            <w:vMerge w:val="continue"/>
            <w:vAlign w:val="center"/>
          </w:tcPr>
          <w:p w14:paraId="1E109EC5">
            <w:pPr>
              <w:pStyle w:val="55"/>
            </w:pPr>
          </w:p>
        </w:tc>
        <w:tc>
          <w:tcPr>
            <w:tcW w:w="1170" w:type="dxa"/>
            <w:vAlign w:val="center"/>
          </w:tcPr>
          <w:p w14:paraId="71C74C3C">
            <w:pPr>
              <w:pStyle w:val="55"/>
              <w:rPr>
                <w:rFonts w:hint="default"/>
                <w:lang w:val="en-US" w:eastAsia="zh-CN"/>
              </w:rPr>
            </w:pPr>
            <w:r>
              <w:rPr>
                <w:rFonts w:hint="eastAsia"/>
                <w:lang w:val="en-US" w:eastAsia="zh-CN"/>
              </w:rPr>
              <w:t>规划粉煤灰环保库</w:t>
            </w:r>
          </w:p>
        </w:tc>
        <w:tc>
          <w:tcPr>
            <w:tcW w:w="1200" w:type="dxa"/>
            <w:vAlign w:val="center"/>
          </w:tcPr>
          <w:p w14:paraId="431BC10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无组织</w:t>
            </w:r>
          </w:p>
        </w:tc>
        <w:tc>
          <w:tcPr>
            <w:tcW w:w="885" w:type="dxa"/>
            <w:vAlign w:val="center"/>
          </w:tcPr>
          <w:p w14:paraId="2BDD3867">
            <w:pPr>
              <w:pStyle w:val="55"/>
              <w:rPr>
                <w:rFonts w:hint="eastAsia"/>
                <w:lang w:val="en-US" w:eastAsia="zh-CN"/>
              </w:rPr>
            </w:pPr>
            <w:r>
              <w:rPr>
                <w:rFonts w:hint="eastAsia"/>
                <w:lang w:val="en-US" w:eastAsia="zh-CN"/>
              </w:rPr>
              <w:t>颗粒物</w:t>
            </w:r>
          </w:p>
        </w:tc>
        <w:tc>
          <w:tcPr>
            <w:tcW w:w="2475" w:type="dxa"/>
            <w:vAlign w:val="center"/>
          </w:tcPr>
          <w:p w14:paraId="2F03B1C5">
            <w:pPr>
              <w:pStyle w:val="55"/>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规划粉煤灰环保库呼吸通过仓顶除尘器</w:t>
            </w:r>
          </w:p>
        </w:tc>
        <w:tc>
          <w:tcPr>
            <w:tcW w:w="2150" w:type="dxa"/>
            <w:vAlign w:val="center"/>
          </w:tcPr>
          <w:p w14:paraId="2A9C78CB">
            <w:pPr>
              <w:pStyle w:val="55"/>
              <w:rPr>
                <w:rFonts w:hint="eastAsia"/>
                <w:color w:val="auto"/>
              </w:rPr>
            </w:pPr>
            <w:r>
              <w:rPr>
                <w:rFonts w:hint="eastAsia"/>
                <w:color w:val="auto"/>
              </w:rPr>
              <w:t>《大气污染物综合排放标准》</w:t>
            </w:r>
            <w:r>
              <w:rPr>
                <w:rFonts w:hint="eastAsia"/>
                <w:color w:val="auto"/>
                <w:lang w:eastAsia="zh-CN"/>
              </w:rPr>
              <w:t>（</w:t>
            </w:r>
            <w:r>
              <w:rPr>
                <w:rFonts w:hint="eastAsia"/>
                <w:color w:val="auto"/>
              </w:rPr>
              <w:t>GB16297-1996)</w:t>
            </w:r>
          </w:p>
        </w:tc>
      </w:tr>
      <w:tr w14:paraId="14230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20" w:type="dxa"/>
            <w:vMerge w:val="continue"/>
            <w:vAlign w:val="center"/>
          </w:tcPr>
          <w:p w14:paraId="21A3B10E">
            <w:pPr>
              <w:pStyle w:val="55"/>
            </w:pPr>
          </w:p>
        </w:tc>
        <w:tc>
          <w:tcPr>
            <w:tcW w:w="1170" w:type="dxa"/>
            <w:vAlign w:val="center"/>
          </w:tcPr>
          <w:p w14:paraId="4A511EA7">
            <w:pPr>
              <w:pStyle w:val="55"/>
            </w:pPr>
            <w:r>
              <w:rPr>
                <w:rFonts w:hint="eastAsia"/>
              </w:rPr>
              <w:t>食堂</w:t>
            </w:r>
          </w:p>
        </w:tc>
        <w:tc>
          <w:tcPr>
            <w:tcW w:w="2085" w:type="dxa"/>
            <w:gridSpan w:val="2"/>
            <w:vAlign w:val="center"/>
          </w:tcPr>
          <w:p w14:paraId="2511B786">
            <w:pPr>
              <w:pStyle w:val="55"/>
            </w:pPr>
            <w:r>
              <w:rPr>
                <w:rFonts w:hint="eastAsia"/>
              </w:rPr>
              <w:t>油烟</w:t>
            </w:r>
          </w:p>
        </w:tc>
        <w:tc>
          <w:tcPr>
            <w:tcW w:w="2475" w:type="dxa"/>
            <w:vAlign w:val="center"/>
          </w:tcPr>
          <w:p w14:paraId="33BA54C4">
            <w:pPr>
              <w:pStyle w:val="55"/>
            </w:pPr>
            <w:r>
              <w:rPr>
                <w:rFonts w:hint="eastAsia"/>
              </w:rPr>
              <w:t>经油烟净化器处理后通过专用烟道引至屋顶排放</w:t>
            </w:r>
          </w:p>
        </w:tc>
        <w:tc>
          <w:tcPr>
            <w:tcW w:w="2150" w:type="dxa"/>
            <w:vAlign w:val="center"/>
          </w:tcPr>
          <w:p w14:paraId="0E52A8D1">
            <w:pPr>
              <w:pStyle w:val="55"/>
            </w:pPr>
            <w:r>
              <w:t>《饮食业油烟排放标准（试行）》（GB18483-2001）排放浓度标准</w:t>
            </w:r>
          </w:p>
        </w:tc>
      </w:tr>
      <w:tr w14:paraId="2D07B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20" w:type="dxa"/>
            <w:vMerge w:val="restart"/>
            <w:vAlign w:val="center"/>
          </w:tcPr>
          <w:p w14:paraId="1E4D6B09">
            <w:pPr>
              <w:pStyle w:val="55"/>
            </w:pPr>
            <w:r>
              <w:rPr>
                <w:rFonts w:hint="eastAsia"/>
              </w:rPr>
              <w:t>地表水环境</w:t>
            </w:r>
          </w:p>
        </w:tc>
        <w:tc>
          <w:tcPr>
            <w:tcW w:w="1170" w:type="dxa"/>
            <w:vAlign w:val="center"/>
          </w:tcPr>
          <w:p w14:paraId="1B0FEE12">
            <w:pPr>
              <w:pStyle w:val="55"/>
            </w:pPr>
            <w:r>
              <w:rPr>
                <w:rFonts w:hint="eastAsia"/>
              </w:rPr>
              <w:t>生产废水</w:t>
            </w:r>
          </w:p>
        </w:tc>
        <w:tc>
          <w:tcPr>
            <w:tcW w:w="2085" w:type="dxa"/>
            <w:gridSpan w:val="2"/>
            <w:vAlign w:val="center"/>
          </w:tcPr>
          <w:p w14:paraId="4D2CEC0D">
            <w:pPr>
              <w:pStyle w:val="55"/>
            </w:pPr>
            <w:r>
              <w:t>COD</w:t>
            </w:r>
            <w:r>
              <w:rPr>
                <w:vertAlign w:val="subscript"/>
              </w:rPr>
              <w:t>Cr</w:t>
            </w:r>
            <w:r>
              <w:t>、BOD</w:t>
            </w:r>
            <w:r>
              <w:rPr>
                <w:vertAlign w:val="subscript"/>
              </w:rPr>
              <w:t>5</w:t>
            </w:r>
            <w:r>
              <w:t>、SS</w:t>
            </w:r>
          </w:p>
        </w:tc>
        <w:tc>
          <w:tcPr>
            <w:tcW w:w="2475" w:type="dxa"/>
            <w:vAlign w:val="center"/>
          </w:tcPr>
          <w:p w14:paraId="4F687B73">
            <w:pPr>
              <w:pStyle w:val="55"/>
            </w:pPr>
            <w:r>
              <w:rPr>
                <w:rFonts w:hint="eastAsia"/>
                <w:color w:val="auto"/>
              </w:rPr>
              <w:t>经循环水池收集后循环使用，不外排</w:t>
            </w:r>
          </w:p>
        </w:tc>
        <w:tc>
          <w:tcPr>
            <w:tcW w:w="2150" w:type="dxa"/>
            <w:vAlign w:val="center"/>
          </w:tcPr>
          <w:p w14:paraId="7654C49D">
            <w:pPr>
              <w:pStyle w:val="55"/>
            </w:pPr>
            <w:r>
              <w:rPr>
                <w:rFonts w:hint="eastAsia"/>
              </w:rPr>
              <w:t>/</w:t>
            </w:r>
          </w:p>
        </w:tc>
      </w:tr>
      <w:tr w14:paraId="655D9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20" w:type="dxa"/>
            <w:vMerge w:val="continue"/>
            <w:vAlign w:val="center"/>
          </w:tcPr>
          <w:p w14:paraId="1B6D9315">
            <w:pPr>
              <w:pStyle w:val="55"/>
            </w:pPr>
          </w:p>
        </w:tc>
        <w:tc>
          <w:tcPr>
            <w:tcW w:w="1170" w:type="dxa"/>
            <w:vAlign w:val="center"/>
          </w:tcPr>
          <w:p w14:paraId="55B0426D">
            <w:pPr>
              <w:pStyle w:val="55"/>
            </w:pPr>
            <w:r>
              <w:t>生活污水</w:t>
            </w:r>
          </w:p>
        </w:tc>
        <w:tc>
          <w:tcPr>
            <w:tcW w:w="2085" w:type="dxa"/>
            <w:gridSpan w:val="2"/>
            <w:vAlign w:val="center"/>
          </w:tcPr>
          <w:p w14:paraId="65F13978">
            <w:pPr>
              <w:pStyle w:val="55"/>
              <w:rPr>
                <w:rFonts w:hint="default" w:eastAsia="宋体"/>
                <w:lang w:val="en-US" w:eastAsia="zh-CN"/>
              </w:rPr>
            </w:pPr>
            <w:r>
              <w:t>COD</w:t>
            </w:r>
            <w:r>
              <w:rPr>
                <w:vertAlign w:val="subscript"/>
              </w:rPr>
              <w:t>Cr</w:t>
            </w:r>
            <w:r>
              <w:t>、BOD</w:t>
            </w:r>
            <w:r>
              <w:rPr>
                <w:vertAlign w:val="subscript"/>
              </w:rPr>
              <w:t>5</w:t>
            </w:r>
            <w:r>
              <w:t>、SS、氨氮</w:t>
            </w:r>
          </w:p>
        </w:tc>
        <w:tc>
          <w:tcPr>
            <w:tcW w:w="2475" w:type="dxa"/>
            <w:vAlign w:val="center"/>
          </w:tcPr>
          <w:p w14:paraId="7236A3AE">
            <w:pPr>
              <w:pStyle w:val="55"/>
              <w:rPr>
                <w:rFonts w:hint="eastAsia" w:eastAsia="宋体"/>
                <w:lang w:eastAsia="zh-CN"/>
              </w:rPr>
            </w:pPr>
            <w:r>
              <w:rPr>
                <w:rFonts w:hint="eastAsia"/>
              </w:rPr>
              <w:t>排入化粪池</w:t>
            </w:r>
            <w:r>
              <w:rPr>
                <w:rFonts w:hint="eastAsia"/>
                <w:lang w:eastAsia="zh-CN"/>
              </w:rPr>
              <w:t>预处理后排入园区下水管网最终进入</w:t>
            </w:r>
            <w:r>
              <w:rPr>
                <w:rFonts w:hint="eastAsia"/>
                <w:lang w:val="en-US" w:eastAsia="zh-CN"/>
              </w:rPr>
              <w:t>若羌</w:t>
            </w:r>
            <w:r>
              <w:rPr>
                <w:rFonts w:hint="eastAsia"/>
                <w:lang w:eastAsia="zh-CN"/>
              </w:rPr>
              <w:t>县污水处理厂处置，</w:t>
            </w:r>
            <w:r>
              <w:rPr>
                <w:rFonts w:hint="eastAsia"/>
                <w:b w:val="0"/>
                <w:bCs w:val="0"/>
                <w:color w:val="auto"/>
                <w:lang w:val="en-US" w:eastAsia="zh-CN"/>
              </w:rPr>
              <w:t>待园区污水管网接通后排入管网</w:t>
            </w:r>
          </w:p>
        </w:tc>
        <w:tc>
          <w:tcPr>
            <w:tcW w:w="2150" w:type="dxa"/>
            <w:vAlign w:val="center"/>
          </w:tcPr>
          <w:p w14:paraId="35324A6A">
            <w:pPr>
              <w:pStyle w:val="55"/>
            </w:pPr>
            <w:r>
              <w:rPr>
                <w:rFonts w:hint="eastAsia"/>
                <w:lang w:val="en-US" w:eastAsia="zh-CN"/>
              </w:rPr>
              <w:t>《污水综合排放标准》（GB8979-1996）表2三级排放标准</w:t>
            </w:r>
          </w:p>
        </w:tc>
      </w:tr>
      <w:tr w14:paraId="661BB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20" w:type="dxa"/>
            <w:vAlign w:val="center"/>
          </w:tcPr>
          <w:p w14:paraId="525A1BF8">
            <w:pPr>
              <w:pStyle w:val="55"/>
            </w:pPr>
            <w:r>
              <w:rPr>
                <w:rFonts w:hint="eastAsia"/>
              </w:rPr>
              <w:t>声环境</w:t>
            </w:r>
          </w:p>
        </w:tc>
        <w:tc>
          <w:tcPr>
            <w:tcW w:w="1170" w:type="dxa"/>
            <w:vAlign w:val="center"/>
          </w:tcPr>
          <w:p w14:paraId="65EFE98F">
            <w:pPr>
              <w:pStyle w:val="55"/>
            </w:pPr>
            <w:r>
              <w:rPr>
                <w:rFonts w:hint="eastAsia"/>
              </w:rPr>
              <w:t>设备运行</w:t>
            </w:r>
          </w:p>
        </w:tc>
        <w:tc>
          <w:tcPr>
            <w:tcW w:w="2085" w:type="dxa"/>
            <w:gridSpan w:val="2"/>
            <w:vAlign w:val="center"/>
          </w:tcPr>
          <w:p w14:paraId="3FE00571">
            <w:pPr>
              <w:pStyle w:val="55"/>
            </w:pPr>
            <w:r>
              <w:rPr>
                <w:rFonts w:hint="eastAsia"/>
              </w:rPr>
              <w:t>噪声</w:t>
            </w:r>
          </w:p>
        </w:tc>
        <w:tc>
          <w:tcPr>
            <w:tcW w:w="2475" w:type="dxa"/>
            <w:vAlign w:val="center"/>
          </w:tcPr>
          <w:p w14:paraId="103D8882">
            <w:pPr>
              <w:pStyle w:val="55"/>
            </w:pPr>
            <w:r>
              <w:rPr>
                <w:rFonts w:hint="eastAsia"/>
              </w:rPr>
              <w:t>选用低噪声设备</w:t>
            </w:r>
            <w:r>
              <w:t>，</w:t>
            </w:r>
            <w:r>
              <w:rPr>
                <w:rFonts w:hint="eastAsia"/>
              </w:rPr>
              <w:t>基础减震、厂房隔声</w:t>
            </w:r>
            <w:r>
              <w:t>等减震降噪措施</w:t>
            </w:r>
          </w:p>
        </w:tc>
        <w:tc>
          <w:tcPr>
            <w:tcW w:w="2150" w:type="dxa"/>
            <w:vAlign w:val="center"/>
          </w:tcPr>
          <w:p w14:paraId="23AAAF81">
            <w:pPr>
              <w:pStyle w:val="55"/>
            </w:pPr>
            <w:r>
              <w:t>《工业企业厂界环境噪声排放标准》（GB12348-2008）</w:t>
            </w:r>
            <w:r>
              <w:rPr>
                <w:rFonts w:hint="eastAsia"/>
              </w:rPr>
              <w:t>3</w:t>
            </w:r>
            <w:r>
              <w:t>类标准</w:t>
            </w:r>
          </w:p>
        </w:tc>
      </w:tr>
      <w:tr w14:paraId="26B4A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 w:type="dxa"/>
            <w:vAlign w:val="center"/>
          </w:tcPr>
          <w:p w14:paraId="515EAE03">
            <w:pPr>
              <w:pStyle w:val="55"/>
            </w:pPr>
            <w:r>
              <w:rPr>
                <w:rFonts w:hint="eastAsia"/>
              </w:rPr>
              <w:t>电磁辐射</w:t>
            </w:r>
          </w:p>
        </w:tc>
        <w:tc>
          <w:tcPr>
            <w:tcW w:w="1170" w:type="dxa"/>
            <w:vAlign w:val="center"/>
          </w:tcPr>
          <w:p w14:paraId="3846803B">
            <w:pPr>
              <w:pStyle w:val="55"/>
            </w:pPr>
            <w:r>
              <w:rPr>
                <w:rFonts w:hint="eastAsia"/>
              </w:rPr>
              <w:t>/</w:t>
            </w:r>
          </w:p>
        </w:tc>
        <w:tc>
          <w:tcPr>
            <w:tcW w:w="2085" w:type="dxa"/>
            <w:gridSpan w:val="2"/>
            <w:vAlign w:val="center"/>
          </w:tcPr>
          <w:p w14:paraId="03B23ACB">
            <w:pPr>
              <w:pStyle w:val="55"/>
            </w:pPr>
            <w:r>
              <w:rPr>
                <w:rFonts w:hint="eastAsia"/>
              </w:rPr>
              <w:t>/</w:t>
            </w:r>
          </w:p>
        </w:tc>
        <w:tc>
          <w:tcPr>
            <w:tcW w:w="2475" w:type="dxa"/>
            <w:vAlign w:val="center"/>
          </w:tcPr>
          <w:p w14:paraId="67862BAD">
            <w:pPr>
              <w:pStyle w:val="55"/>
            </w:pPr>
            <w:r>
              <w:rPr>
                <w:rFonts w:hint="eastAsia"/>
              </w:rPr>
              <w:t>/</w:t>
            </w:r>
          </w:p>
        </w:tc>
        <w:tc>
          <w:tcPr>
            <w:tcW w:w="2150" w:type="dxa"/>
            <w:vAlign w:val="center"/>
          </w:tcPr>
          <w:p w14:paraId="214672F4">
            <w:pPr>
              <w:pStyle w:val="55"/>
            </w:pPr>
            <w:r>
              <w:rPr>
                <w:rFonts w:hint="eastAsia"/>
              </w:rPr>
              <w:t>/</w:t>
            </w:r>
          </w:p>
        </w:tc>
      </w:tr>
      <w:tr w14:paraId="40EC0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20" w:type="dxa"/>
            <w:vAlign w:val="center"/>
          </w:tcPr>
          <w:p w14:paraId="7C2C8AB5">
            <w:pPr>
              <w:pStyle w:val="55"/>
            </w:pPr>
            <w:r>
              <w:rPr>
                <w:rFonts w:hint="eastAsia"/>
              </w:rPr>
              <w:t>固体废物</w:t>
            </w:r>
          </w:p>
        </w:tc>
        <w:tc>
          <w:tcPr>
            <w:tcW w:w="7880" w:type="dxa"/>
            <w:gridSpan w:val="5"/>
            <w:vAlign w:val="center"/>
          </w:tcPr>
          <w:p w14:paraId="53D22BED">
            <w:pPr>
              <w:pStyle w:val="55"/>
            </w:pPr>
            <w:r>
              <w:rPr>
                <w:rFonts w:hint="eastAsia"/>
              </w:rPr>
              <w:t>生活垃圾</w:t>
            </w:r>
            <w:r>
              <w:rPr>
                <w:rFonts w:hint="eastAsia"/>
                <w:lang w:eastAsia="zh-CN"/>
              </w:rPr>
              <w:t>、</w:t>
            </w:r>
            <w:r>
              <w:rPr>
                <w:rFonts w:hint="eastAsia"/>
                <w:lang w:val="en-US" w:eastAsia="zh-CN"/>
              </w:rPr>
              <w:t>化粪池污泥</w:t>
            </w:r>
            <w:r>
              <w:t>集中收集后交环卫部门</w:t>
            </w:r>
            <w:r>
              <w:rPr>
                <w:rFonts w:hint="eastAsia"/>
              </w:rPr>
              <w:t>统一清运；除尘器收集粉尘</w:t>
            </w:r>
            <w:r>
              <w:rPr>
                <w:rFonts w:hint="eastAsia"/>
                <w:lang w:eastAsia="zh-CN"/>
              </w:rPr>
              <w:t>、</w:t>
            </w:r>
            <w:r>
              <w:rPr>
                <w:rFonts w:hint="eastAsia"/>
                <w:lang w:val="en-US" w:eastAsia="zh-CN"/>
              </w:rPr>
              <w:t>粗渣</w:t>
            </w:r>
            <w:r>
              <w:rPr>
                <w:rFonts w:hint="eastAsia"/>
              </w:rPr>
              <w:t>收集后回用于生产线，进入产品；废旧布袋集中收集后</w:t>
            </w:r>
            <w:r>
              <w:rPr>
                <w:rFonts w:hint="eastAsia"/>
                <w:lang w:val="en-US" w:eastAsia="zh-CN"/>
              </w:rPr>
              <w:t>由生产厂家回收处理</w:t>
            </w:r>
            <w:r>
              <w:rPr>
                <w:rFonts w:hint="eastAsia"/>
              </w:rPr>
              <w:t>；</w:t>
            </w:r>
            <w:r>
              <w:rPr>
                <w:rFonts w:hint="eastAsia"/>
                <w:lang w:eastAsia="zh-CN"/>
              </w:rPr>
              <w:t>废润滑油、</w:t>
            </w:r>
            <w:r>
              <w:rPr>
                <w:rFonts w:hint="eastAsia"/>
                <w:lang w:val="en-US" w:eastAsia="zh-CN"/>
              </w:rPr>
              <w:t>废油桶</w:t>
            </w:r>
            <w:r>
              <w:rPr>
                <w:rFonts w:hint="eastAsia"/>
              </w:rPr>
              <w:t>作为危险废物暂存至危险废物</w:t>
            </w:r>
            <w:r>
              <w:rPr>
                <w:rFonts w:hint="eastAsia"/>
                <w:lang w:val="en-US" w:eastAsia="zh-CN"/>
              </w:rPr>
              <w:t>贮存库</w:t>
            </w:r>
            <w:r>
              <w:rPr>
                <w:rFonts w:hint="eastAsia"/>
              </w:rPr>
              <w:t>，交由有资质的单位定期拉运处置。</w:t>
            </w:r>
          </w:p>
        </w:tc>
      </w:tr>
      <w:tr w14:paraId="3F3AB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920" w:type="dxa"/>
            <w:vAlign w:val="center"/>
          </w:tcPr>
          <w:p w14:paraId="3A8C7B41">
            <w:pPr>
              <w:pStyle w:val="55"/>
            </w:pPr>
            <w:r>
              <w:rPr>
                <w:rFonts w:hint="eastAsia"/>
              </w:rPr>
              <w:t>土壤及地下水污染防治措施</w:t>
            </w:r>
          </w:p>
        </w:tc>
        <w:tc>
          <w:tcPr>
            <w:tcW w:w="7880" w:type="dxa"/>
            <w:gridSpan w:val="5"/>
            <w:vAlign w:val="center"/>
          </w:tcPr>
          <w:p w14:paraId="3A613BAA">
            <w:pPr>
              <w:pStyle w:val="55"/>
            </w:pPr>
            <w:r>
              <w:rPr>
                <w:rFonts w:hint="eastAsia"/>
              </w:rPr>
              <w:t>危废</w:t>
            </w:r>
            <w:r>
              <w:rPr>
                <w:rFonts w:hint="eastAsia"/>
                <w:lang w:val="en-US" w:eastAsia="zh-CN"/>
              </w:rPr>
              <w:t>贮存库</w:t>
            </w:r>
            <w:r>
              <w:rPr>
                <w:rFonts w:hint="eastAsia"/>
              </w:rPr>
              <w:t>应严格按照《危险废物贮存污染控制标准》（GB18597-2023）中要求进行重点防渗；循环水池、化粪池为一般防渗区，</w:t>
            </w:r>
            <w:r>
              <w:t>除重点防渗区及一般防渗区外区域</w:t>
            </w:r>
            <w:r>
              <w:rPr>
                <w:rFonts w:hint="eastAsia"/>
              </w:rPr>
              <w:t>为简单防渗，根据《环境影响评价技术导则 地下水环境》（HJ 610-2016）表7地下水污染防渗分区参照表进行分区防渗</w:t>
            </w:r>
            <w:r>
              <w:t>。</w:t>
            </w:r>
          </w:p>
        </w:tc>
      </w:tr>
      <w:tr w14:paraId="1B1E5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 w:type="dxa"/>
            <w:vAlign w:val="center"/>
          </w:tcPr>
          <w:p w14:paraId="4A28F1B2">
            <w:pPr>
              <w:pStyle w:val="55"/>
            </w:pPr>
            <w:r>
              <w:rPr>
                <w:rFonts w:hint="eastAsia"/>
              </w:rPr>
              <w:t>生态保护措施</w:t>
            </w:r>
          </w:p>
        </w:tc>
        <w:tc>
          <w:tcPr>
            <w:tcW w:w="7880" w:type="dxa"/>
            <w:gridSpan w:val="5"/>
            <w:vAlign w:val="center"/>
          </w:tcPr>
          <w:p w14:paraId="1FCD1EAB">
            <w:pPr>
              <w:pStyle w:val="55"/>
              <w:rPr>
                <w:rFonts w:hint="eastAsia" w:eastAsia="宋体"/>
                <w:lang w:eastAsia="zh-CN"/>
              </w:rPr>
            </w:pPr>
            <w:r>
              <w:rPr>
                <w:rFonts w:hint="eastAsia"/>
                <w:lang w:val="en-US" w:eastAsia="zh-CN"/>
              </w:rPr>
              <w:t>/</w:t>
            </w:r>
          </w:p>
        </w:tc>
      </w:tr>
      <w:tr w14:paraId="5BB38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20" w:type="dxa"/>
            <w:vAlign w:val="center"/>
          </w:tcPr>
          <w:p w14:paraId="7679BBDD">
            <w:pPr>
              <w:pStyle w:val="55"/>
            </w:pPr>
            <w:r>
              <w:rPr>
                <w:rFonts w:hint="eastAsia"/>
              </w:rPr>
              <w:t>环境风险防范措施</w:t>
            </w:r>
          </w:p>
        </w:tc>
        <w:tc>
          <w:tcPr>
            <w:tcW w:w="7880" w:type="dxa"/>
            <w:gridSpan w:val="5"/>
            <w:vAlign w:val="center"/>
          </w:tcPr>
          <w:p w14:paraId="62C10F16">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color w:val="auto"/>
                <w:sz w:val="21"/>
                <w:szCs w:val="21"/>
              </w:rPr>
            </w:pPr>
            <w:r>
              <w:rPr>
                <w:rFonts w:hint="eastAsia" w:ascii="宋体" w:hAnsi="宋体" w:cs="宋体"/>
                <w:color w:val="auto"/>
                <w:kern w:val="0"/>
                <w:sz w:val="21"/>
                <w:szCs w:val="21"/>
                <w:lang w:bidi="ar"/>
              </w:rPr>
              <w:t>①危险废物贮存库做好防渗</w:t>
            </w:r>
            <w:r>
              <w:rPr>
                <w:rFonts w:hint="eastAsia" w:ascii="宋体" w:hAnsi="宋体" w:cs="宋体"/>
                <w:color w:val="auto"/>
                <w:kern w:val="0"/>
                <w:sz w:val="21"/>
                <w:szCs w:val="21"/>
                <w:lang w:val="en-US" w:eastAsia="zh-CN" w:bidi="ar"/>
              </w:rPr>
              <w:t>措施</w:t>
            </w:r>
            <w:r>
              <w:rPr>
                <w:rFonts w:hint="eastAsia" w:ascii="宋体" w:hAnsi="宋体" w:cs="宋体"/>
                <w:color w:val="auto"/>
                <w:kern w:val="0"/>
                <w:sz w:val="21"/>
                <w:szCs w:val="21"/>
                <w:lang w:bidi="ar"/>
              </w:rPr>
              <w:t xml:space="preserve">及围堰工作，张贴危险废物警示牌； </w:t>
            </w:r>
          </w:p>
          <w:p w14:paraId="3EFF425B">
            <w:pPr>
              <w:pStyle w:val="55"/>
              <w:keepNext w:val="0"/>
              <w:keepLines w:val="0"/>
              <w:pageBreakBefore w:val="0"/>
              <w:kinsoku/>
              <w:wordWrap/>
              <w:overflowPunct/>
              <w:topLinePunct w:val="0"/>
              <w:bidi w:val="0"/>
              <w:adjustRightInd w:val="0"/>
              <w:snapToGrid w:val="0"/>
              <w:ind w:firstLine="0" w:firstLineChars="0"/>
              <w:jc w:val="left"/>
            </w:pPr>
            <w:r>
              <w:rPr>
                <w:rFonts w:hint="eastAsia" w:ascii="宋体" w:hAnsi="宋体" w:cs="宋体"/>
                <w:color w:val="auto"/>
                <w:kern w:val="0"/>
                <w:sz w:val="21"/>
                <w:szCs w:val="21"/>
                <w:lang w:bidi="ar"/>
              </w:rPr>
              <w:t>②做好防火、防爆工作，严禁烟火。</w:t>
            </w:r>
          </w:p>
        </w:tc>
      </w:tr>
      <w:tr w14:paraId="184CF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20" w:type="dxa"/>
            <w:vAlign w:val="center"/>
          </w:tcPr>
          <w:p w14:paraId="120477CD">
            <w:pPr>
              <w:pStyle w:val="55"/>
            </w:pPr>
            <w:r>
              <w:rPr>
                <w:rFonts w:hint="eastAsia"/>
              </w:rPr>
              <w:t>其他环境管理要求</w:t>
            </w:r>
          </w:p>
        </w:tc>
        <w:tc>
          <w:tcPr>
            <w:tcW w:w="7880" w:type="dxa"/>
            <w:gridSpan w:val="5"/>
            <w:vAlign w:val="center"/>
          </w:tcPr>
          <w:p w14:paraId="7B44E4BB">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 w:val="21"/>
                <w:szCs w:val="21"/>
              </w:rPr>
            </w:pPr>
            <w:r>
              <w:rPr>
                <w:rFonts w:hint="eastAsia"/>
                <w:color w:val="auto"/>
                <w:sz w:val="21"/>
                <w:szCs w:val="21"/>
                <w:lang w:eastAsia="zh-CN"/>
              </w:rPr>
              <w:t>1.</w:t>
            </w:r>
            <w:r>
              <w:rPr>
                <w:color w:val="auto"/>
                <w:sz w:val="21"/>
                <w:szCs w:val="21"/>
              </w:rPr>
              <w:t>加强环境管理，确保环保设施正常、稳定运行，确保污染物达标排放。</w:t>
            </w:r>
          </w:p>
          <w:p w14:paraId="0DF76519">
            <w:pPr>
              <w:keepNext w:val="0"/>
              <w:keepLines w:val="0"/>
              <w:pageBreakBefore w:val="0"/>
              <w:kinsoku/>
              <w:wordWrap/>
              <w:overflowPunct/>
              <w:topLinePunct w:val="0"/>
              <w:autoSpaceDE/>
              <w:autoSpaceDN/>
              <w:bidi w:val="0"/>
              <w:adjustRightInd w:val="0"/>
              <w:snapToGrid w:val="0"/>
              <w:ind w:firstLine="0" w:firstLineChars="0"/>
              <w:jc w:val="left"/>
              <w:textAlignment w:val="auto"/>
              <w:rPr>
                <w:color w:val="auto"/>
                <w:sz w:val="21"/>
                <w:szCs w:val="21"/>
              </w:rPr>
            </w:pPr>
            <w:r>
              <w:rPr>
                <w:rFonts w:hint="eastAsia"/>
                <w:color w:val="auto"/>
                <w:sz w:val="21"/>
                <w:szCs w:val="21"/>
                <w:lang w:eastAsia="zh-CN"/>
              </w:rPr>
              <w:t>2.</w:t>
            </w:r>
            <w:r>
              <w:rPr>
                <w:rFonts w:hint="eastAsia" w:ascii="宋体" w:hAnsi="宋体" w:cs="宋体"/>
                <w:color w:val="auto"/>
                <w:sz w:val="21"/>
                <w:szCs w:val="21"/>
              </w:rPr>
              <w:t>落实“三同时”制度</w:t>
            </w:r>
            <w:r>
              <w:rPr>
                <w:color w:val="auto"/>
                <w:sz w:val="21"/>
                <w:szCs w:val="21"/>
              </w:rPr>
              <w:t>，按照要求开展竣工环境保护验收。</w:t>
            </w:r>
          </w:p>
          <w:p w14:paraId="45AE8884">
            <w:pPr>
              <w:pStyle w:val="55"/>
              <w:keepNext w:val="0"/>
              <w:keepLines w:val="0"/>
              <w:pageBreakBefore w:val="0"/>
              <w:kinsoku/>
              <w:wordWrap/>
              <w:overflowPunct/>
              <w:topLinePunct w:val="0"/>
              <w:bidi w:val="0"/>
              <w:adjustRightInd w:val="0"/>
              <w:snapToGrid w:val="0"/>
              <w:ind w:firstLine="0" w:firstLineChars="0"/>
              <w:jc w:val="left"/>
            </w:pPr>
            <w:r>
              <w:rPr>
                <w:rFonts w:hint="eastAsia"/>
                <w:color w:val="auto"/>
                <w:sz w:val="21"/>
                <w:szCs w:val="21"/>
                <w:lang w:eastAsia="zh-CN"/>
              </w:rPr>
              <w:t>3.</w:t>
            </w:r>
            <w:r>
              <w:rPr>
                <w:color w:val="auto"/>
                <w:sz w:val="21"/>
                <w:szCs w:val="21"/>
              </w:rPr>
              <w:t>按照要求填写排污许可登记。</w:t>
            </w:r>
          </w:p>
        </w:tc>
      </w:tr>
    </w:tbl>
    <w:p w14:paraId="5AF23C19">
      <w:pPr>
        <w:pStyle w:val="26"/>
        <w:ind w:firstLine="480"/>
        <w:jc w:val="center"/>
        <w:outlineLvl w:val="0"/>
        <w:rPr>
          <w:rFonts w:hint="eastAsia" w:ascii="黑体" w:hAnsi="黑体" w:eastAsia="黑体"/>
          <w:snapToGrid w:val="0"/>
          <w:sz w:val="30"/>
          <w:szCs w:val="30"/>
        </w:rPr>
      </w:pPr>
      <w:r>
        <w:rPr>
          <w:snapToGrid w:val="0"/>
        </w:rPr>
        <w:br w:type="page"/>
      </w:r>
      <w:bookmarkStart w:id="13" w:name="_Toc118"/>
      <w:r>
        <w:rPr>
          <w:rStyle w:val="44"/>
          <w:rFonts w:hint="eastAsia"/>
          <w:color w:val="auto"/>
        </w:rPr>
        <w:t>六、结论</w:t>
      </w:r>
      <w:bookmarkEnd w:id="1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AEB1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79" w:hRule="atLeast"/>
          <w:jc w:val="center"/>
        </w:trPr>
        <w:tc>
          <w:tcPr>
            <w:tcW w:w="8865" w:type="dxa"/>
          </w:tcPr>
          <w:p w14:paraId="19F86FF0">
            <w:pPr>
              <w:ind w:firstLine="480"/>
              <w:rPr>
                <w:rFonts w:ascii="宋体" w:cs="宋体"/>
              </w:rPr>
            </w:pPr>
            <w:r>
              <w:t>本</w:t>
            </w:r>
            <w:r>
              <w:rPr>
                <w:lang w:val="zh-CN"/>
              </w:rPr>
              <w:t>项目</w:t>
            </w:r>
            <w:r>
              <w:t>在</w:t>
            </w:r>
            <w:r>
              <w:rPr>
                <w:lang w:val="zh-CN"/>
              </w:rPr>
              <w:t>切实落实报告表中提出的各项防治措施要求，严格执行各项污染物的排放标准，积极有效地进行治理和防范，并使各项污染物达标排放，从环境保护角度考虑，该项目的建设是可行的。</w:t>
            </w:r>
          </w:p>
        </w:tc>
      </w:tr>
    </w:tbl>
    <w:p w14:paraId="1AA04BBE">
      <w:pPr>
        <w:ind w:firstLine="480"/>
        <w:rPr>
          <w:rFonts w:hint="eastAsia" w:ascii="宋体" w:hAnsi="宋体" w:eastAsia="黑体"/>
        </w:rPr>
        <w:sectPr>
          <w:footerReference r:id="rId7" w:type="default"/>
          <w:pgSz w:w="11906" w:h="16838"/>
          <w:pgMar w:top="1701" w:right="1531" w:bottom="1701" w:left="1531" w:header="851" w:footer="851" w:gutter="0"/>
          <w:cols w:space="720" w:num="1"/>
          <w:docGrid w:linePitch="312" w:charSpace="0"/>
        </w:sectPr>
      </w:pPr>
    </w:p>
    <w:p w14:paraId="0A35A205">
      <w:pPr>
        <w:pStyle w:val="3"/>
        <w:rPr>
          <w:snapToGrid w:val="0"/>
        </w:rPr>
      </w:pPr>
      <w:r>
        <w:rPr>
          <w:rFonts w:hint="eastAsia"/>
          <w:snapToGrid w:val="0"/>
        </w:rPr>
        <w:t>附表</w:t>
      </w:r>
    </w:p>
    <w:p w14:paraId="4695529D">
      <w:pPr>
        <w:ind w:firstLine="723"/>
        <w:jc w:val="center"/>
        <w:rPr>
          <w:b/>
          <w:bCs/>
          <w:snapToGrid w:val="0"/>
          <w:sz w:val="36"/>
        </w:rPr>
      </w:pPr>
      <w:r>
        <w:rPr>
          <w:rFonts w:hint="eastAsia"/>
          <w:b/>
          <w:bCs/>
          <w:snapToGrid w:val="0"/>
          <w:sz w:val="36"/>
        </w:rPr>
        <w:t>建设项目污染物排放量汇总表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698"/>
        <w:gridCol w:w="1614"/>
        <w:gridCol w:w="1196"/>
        <w:gridCol w:w="1614"/>
        <w:gridCol w:w="1476"/>
        <w:gridCol w:w="1673"/>
        <w:gridCol w:w="1868"/>
        <w:gridCol w:w="1212"/>
      </w:tblGrid>
      <w:tr w14:paraId="4498B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421" w:type="pct"/>
            <w:tcBorders>
              <w:tl2br w:val="single" w:color="auto" w:sz="4" w:space="0"/>
            </w:tcBorders>
            <w:tcMar>
              <w:left w:w="28" w:type="dxa"/>
              <w:right w:w="28" w:type="dxa"/>
            </w:tcMar>
            <w:vAlign w:val="center"/>
          </w:tcPr>
          <w:p w14:paraId="698F1EBC">
            <w:pPr>
              <w:pStyle w:val="55"/>
            </w:pPr>
            <w:r>
              <w:rPr>
                <w:rFonts w:hint="eastAsia"/>
              </w:rPr>
              <w:t xml:space="preserve">   </w:t>
            </w:r>
            <w:r>
              <w:t>项目</w:t>
            </w:r>
          </w:p>
          <w:p w14:paraId="329AFA00">
            <w:pPr>
              <w:pStyle w:val="55"/>
            </w:pPr>
            <w:r>
              <w:t>分类</w:t>
            </w:r>
          </w:p>
        </w:tc>
        <w:tc>
          <w:tcPr>
            <w:tcW w:w="629" w:type="pct"/>
            <w:tcMar>
              <w:left w:w="28" w:type="dxa"/>
              <w:right w:w="28" w:type="dxa"/>
            </w:tcMar>
            <w:vAlign w:val="center"/>
          </w:tcPr>
          <w:p w14:paraId="7E759475">
            <w:pPr>
              <w:pStyle w:val="55"/>
            </w:pPr>
            <w:r>
              <w:t>污染物名称</w:t>
            </w:r>
          </w:p>
        </w:tc>
        <w:tc>
          <w:tcPr>
            <w:tcW w:w="598" w:type="pct"/>
            <w:tcMar>
              <w:left w:w="28" w:type="dxa"/>
              <w:right w:w="28" w:type="dxa"/>
            </w:tcMar>
            <w:vAlign w:val="center"/>
          </w:tcPr>
          <w:p w14:paraId="7FCD5120">
            <w:pPr>
              <w:pStyle w:val="55"/>
            </w:pPr>
            <w:r>
              <w:t>现有工程</w:t>
            </w:r>
          </w:p>
          <w:p w14:paraId="02AE25F3">
            <w:pPr>
              <w:pStyle w:val="55"/>
            </w:pPr>
            <w:r>
              <w:t>排放量（固体废物产生量）</w:t>
            </w:r>
            <w:r>
              <w:fldChar w:fldCharType="begin"/>
            </w:r>
            <w:r>
              <w:instrText xml:space="preserve"> = 1 \* GB3 \* MERGEFORMAT </w:instrText>
            </w:r>
            <w:r>
              <w:fldChar w:fldCharType="separate"/>
            </w:r>
            <w:r>
              <w:rPr>
                <w:rFonts w:hint="eastAsia" w:ascii="宋体" w:hAnsi="宋体" w:cs="宋体"/>
              </w:rPr>
              <w:t>①</w:t>
            </w:r>
            <w:r>
              <w:fldChar w:fldCharType="end"/>
            </w:r>
          </w:p>
        </w:tc>
        <w:tc>
          <w:tcPr>
            <w:tcW w:w="443" w:type="pct"/>
            <w:tcMar>
              <w:left w:w="28" w:type="dxa"/>
              <w:right w:w="28" w:type="dxa"/>
            </w:tcMar>
            <w:vAlign w:val="center"/>
          </w:tcPr>
          <w:p w14:paraId="6DF28F5A">
            <w:pPr>
              <w:pStyle w:val="55"/>
            </w:pPr>
            <w:r>
              <w:t>现有工程</w:t>
            </w:r>
          </w:p>
          <w:p w14:paraId="0D7252C2">
            <w:pPr>
              <w:pStyle w:val="55"/>
            </w:pPr>
            <w:r>
              <w:t>许可排放量</w:t>
            </w:r>
          </w:p>
          <w:p w14:paraId="75DD859C">
            <w:pPr>
              <w:pStyle w:val="55"/>
            </w:pPr>
            <w:r>
              <w:fldChar w:fldCharType="begin"/>
            </w:r>
            <w:r>
              <w:instrText xml:space="preserve"> = 2 \* GB3 \* MERGEFORMAT </w:instrText>
            </w:r>
            <w:r>
              <w:fldChar w:fldCharType="separate"/>
            </w:r>
            <w:r>
              <w:rPr>
                <w:rFonts w:hint="eastAsia" w:ascii="宋体" w:hAnsi="宋体" w:cs="宋体"/>
              </w:rPr>
              <w:t>②</w:t>
            </w:r>
            <w:r>
              <w:fldChar w:fldCharType="end"/>
            </w:r>
          </w:p>
        </w:tc>
        <w:tc>
          <w:tcPr>
            <w:tcW w:w="598" w:type="pct"/>
            <w:tcMar>
              <w:left w:w="28" w:type="dxa"/>
              <w:right w:w="28" w:type="dxa"/>
            </w:tcMar>
            <w:vAlign w:val="center"/>
          </w:tcPr>
          <w:p w14:paraId="4E5BA729">
            <w:pPr>
              <w:pStyle w:val="55"/>
            </w:pPr>
            <w:r>
              <w:t>在建工程</w:t>
            </w:r>
          </w:p>
          <w:p w14:paraId="2D28A28B">
            <w:pPr>
              <w:pStyle w:val="55"/>
            </w:pPr>
            <w:r>
              <w:t>排放量（固体废物产生量）</w:t>
            </w:r>
            <w:r>
              <w:fldChar w:fldCharType="begin"/>
            </w:r>
            <w:r>
              <w:instrText xml:space="preserve"> = 3 \* GB3 \* MERGEFORMAT </w:instrText>
            </w:r>
            <w:r>
              <w:fldChar w:fldCharType="separate"/>
            </w:r>
            <w:r>
              <w:rPr>
                <w:rFonts w:hint="eastAsia" w:ascii="宋体" w:hAnsi="宋体" w:cs="宋体"/>
              </w:rPr>
              <w:t>③</w:t>
            </w:r>
            <w:r>
              <w:fldChar w:fldCharType="end"/>
            </w:r>
          </w:p>
        </w:tc>
        <w:tc>
          <w:tcPr>
            <w:tcW w:w="547" w:type="pct"/>
            <w:tcMar>
              <w:left w:w="28" w:type="dxa"/>
              <w:right w:w="28" w:type="dxa"/>
            </w:tcMar>
            <w:vAlign w:val="center"/>
          </w:tcPr>
          <w:p w14:paraId="0AF06F63">
            <w:pPr>
              <w:pStyle w:val="55"/>
            </w:pPr>
            <w:r>
              <w:t>本项目</w:t>
            </w:r>
          </w:p>
          <w:p w14:paraId="44EDE7FB">
            <w:pPr>
              <w:pStyle w:val="55"/>
            </w:pPr>
            <w:r>
              <w:t>排放量（固体废物产生量）</w:t>
            </w:r>
            <w:r>
              <w:fldChar w:fldCharType="begin"/>
            </w:r>
            <w:r>
              <w:instrText xml:space="preserve"> = 4 \* GB3 \* MERGEFORMAT </w:instrText>
            </w:r>
            <w:r>
              <w:fldChar w:fldCharType="separate"/>
            </w:r>
            <w:r>
              <w:rPr>
                <w:rFonts w:hint="eastAsia" w:ascii="宋体" w:hAnsi="宋体" w:cs="宋体"/>
              </w:rPr>
              <w:t>④</w:t>
            </w:r>
            <w:r>
              <w:fldChar w:fldCharType="end"/>
            </w:r>
          </w:p>
        </w:tc>
        <w:tc>
          <w:tcPr>
            <w:tcW w:w="620" w:type="pct"/>
            <w:tcMar>
              <w:left w:w="28" w:type="dxa"/>
              <w:right w:w="28" w:type="dxa"/>
            </w:tcMar>
            <w:vAlign w:val="center"/>
          </w:tcPr>
          <w:p w14:paraId="75E958CE">
            <w:pPr>
              <w:pStyle w:val="55"/>
            </w:pPr>
            <w:r>
              <w:t>以新带老削减量</w:t>
            </w:r>
          </w:p>
          <w:p w14:paraId="1400C1C3">
            <w:pPr>
              <w:pStyle w:val="55"/>
            </w:pPr>
            <w:r>
              <w:t>（新建项目不填）</w:t>
            </w:r>
            <w:r>
              <w:fldChar w:fldCharType="begin"/>
            </w:r>
            <w:r>
              <w:instrText xml:space="preserve"> = 5 \* GB3 \* MERGEFORMAT </w:instrText>
            </w:r>
            <w:r>
              <w:fldChar w:fldCharType="separate"/>
            </w:r>
            <w:r>
              <w:rPr>
                <w:rFonts w:hint="eastAsia" w:ascii="宋体" w:hAnsi="宋体" w:cs="宋体"/>
              </w:rPr>
              <w:t>⑤</w:t>
            </w:r>
            <w:r>
              <w:fldChar w:fldCharType="end"/>
            </w:r>
          </w:p>
        </w:tc>
        <w:tc>
          <w:tcPr>
            <w:tcW w:w="692" w:type="pct"/>
            <w:tcMar>
              <w:left w:w="28" w:type="dxa"/>
              <w:right w:w="28" w:type="dxa"/>
            </w:tcMar>
            <w:vAlign w:val="center"/>
          </w:tcPr>
          <w:p w14:paraId="7C16111B">
            <w:pPr>
              <w:pStyle w:val="55"/>
            </w:pPr>
            <w:r>
              <w:t>本项目建成后</w:t>
            </w:r>
          </w:p>
          <w:p w14:paraId="759B2CA5">
            <w:pPr>
              <w:pStyle w:val="55"/>
            </w:pPr>
            <w:r>
              <w:t>全厂排放量（固体废物产生量）</w:t>
            </w:r>
            <w:r>
              <w:fldChar w:fldCharType="begin"/>
            </w:r>
            <w:r>
              <w:instrText xml:space="preserve"> = 6 \* GB3 \* MERGEFORMAT </w:instrText>
            </w:r>
            <w:r>
              <w:fldChar w:fldCharType="separate"/>
            </w:r>
            <w:r>
              <w:rPr>
                <w:rFonts w:hint="eastAsia" w:ascii="宋体" w:hAnsi="宋体" w:cs="宋体"/>
              </w:rPr>
              <w:t>⑥</w:t>
            </w:r>
            <w:r>
              <w:fldChar w:fldCharType="end"/>
            </w:r>
          </w:p>
        </w:tc>
        <w:tc>
          <w:tcPr>
            <w:tcW w:w="449" w:type="pct"/>
            <w:tcMar>
              <w:left w:w="28" w:type="dxa"/>
              <w:right w:w="28" w:type="dxa"/>
            </w:tcMar>
            <w:vAlign w:val="center"/>
          </w:tcPr>
          <w:p w14:paraId="5D0CAF40">
            <w:pPr>
              <w:pStyle w:val="55"/>
            </w:pPr>
            <w:r>
              <w:t>变化量</w:t>
            </w:r>
          </w:p>
          <w:p w14:paraId="4AAC0716">
            <w:pPr>
              <w:pStyle w:val="55"/>
            </w:pPr>
            <w:r>
              <w:fldChar w:fldCharType="begin"/>
            </w:r>
            <w:r>
              <w:instrText xml:space="preserve"> = 7 \* GB3 \* MERGEFORMAT </w:instrText>
            </w:r>
            <w:r>
              <w:fldChar w:fldCharType="separate"/>
            </w:r>
            <w:r>
              <w:rPr>
                <w:rFonts w:hint="eastAsia" w:ascii="宋体" w:hAnsi="宋体" w:cs="宋体"/>
              </w:rPr>
              <w:t>⑦</w:t>
            </w:r>
            <w:r>
              <w:fldChar w:fldCharType="end"/>
            </w:r>
          </w:p>
        </w:tc>
      </w:tr>
      <w:tr w14:paraId="53006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restart"/>
            <w:vAlign w:val="center"/>
          </w:tcPr>
          <w:p w14:paraId="3112498F">
            <w:pPr>
              <w:pStyle w:val="55"/>
            </w:pPr>
            <w:r>
              <w:rPr>
                <w:rFonts w:hint="eastAsia"/>
              </w:rPr>
              <w:t>废气</w:t>
            </w:r>
          </w:p>
        </w:tc>
        <w:tc>
          <w:tcPr>
            <w:tcW w:w="629" w:type="pct"/>
            <w:vAlign w:val="center"/>
          </w:tcPr>
          <w:p w14:paraId="259CD029">
            <w:pPr>
              <w:pStyle w:val="55"/>
            </w:pPr>
            <w:r>
              <w:rPr>
                <w:rFonts w:hint="eastAsia"/>
                <w:lang w:val="en-US" w:eastAsia="zh-CN"/>
              </w:rPr>
              <w:t>有组织</w:t>
            </w:r>
            <w:r>
              <w:rPr>
                <w:rFonts w:hint="eastAsia"/>
              </w:rPr>
              <w:t>颗粒物</w:t>
            </w:r>
          </w:p>
        </w:tc>
        <w:tc>
          <w:tcPr>
            <w:tcW w:w="598" w:type="pct"/>
            <w:vAlign w:val="center"/>
          </w:tcPr>
          <w:p w14:paraId="0BEA8D3D">
            <w:pPr>
              <w:pStyle w:val="55"/>
            </w:pPr>
            <w:r>
              <w:rPr>
                <w:rFonts w:hint="eastAsia"/>
              </w:rPr>
              <w:t>/</w:t>
            </w:r>
          </w:p>
        </w:tc>
        <w:tc>
          <w:tcPr>
            <w:tcW w:w="443" w:type="pct"/>
            <w:vAlign w:val="center"/>
          </w:tcPr>
          <w:p w14:paraId="4039168E">
            <w:pPr>
              <w:pStyle w:val="55"/>
            </w:pPr>
            <w:r>
              <w:rPr>
                <w:rFonts w:hint="eastAsia"/>
              </w:rPr>
              <w:t>/</w:t>
            </w:r>
          </w:p>
        </w:tc>
        <w:tc>
          <w:tcPr>
            <w:tcW w:w="598" w:type="pct"/>
            <w:vAlign w:val="center"/>
          </w:tcPr>
          <w:p w14:paraId="692324AB">
            <w:pPr>
              <w:pStyle w:val="55"/>
              <w:ind w:firstLine="0" w:firstLineChars="0"/>
              <w:rPr>
                <w:rFonts w:hint="eastAsia"/>
                <w:lang w:val="en-US" w:eastAsia="zh-CN"/>
              </w:rPr>
            </w:pPr>
            <w:r>
              <w:rPr>
                <w:rFonts w:hint="eastAsia"/>
                <w:lang w:val="en-US" w:eastAsia="zh-CN"/>
              </w:rPr>
              <w:t>/</w:t>
            </w:r>
          </w:p>
        </w:tc>
        <w:tc>
          <w:tcPr>
            <w:tcW w:w="547" w:type="pct"/>
            <w:vAlign w:val="center"/>
          </w:tcPr>
          <w:p w14:paraId="0442A138">
            <w:pPr>
              <w:pStyle w:val="55"/>
              <w:ind w:firstLine="0" w:firstLineChars="0"/>
              <w:rPr>
                <w:rFonts w:hint="eastAsia"/>
                <w:lang w:val="en-US" w:eastAsia="zh-CN"/>
              </w:rPr>
            </w:pPr>
            <w:r>
              <w:rPr>
                <w:rFonts w:hint="eastAsia"/>
                <w:lang w:val="en-US" w:eastAsia="zh-CN"/>
              </w:rPr>
              <w:t>1.25t/a</w:t>
            </w:r>
          </w:p>
        </w:tc>
        <w:tc>
          <w:tcPr>
            <w:tcW w:w="620" w:type="pct"/>
            <w:vAlign w:val="center"/>
          </w:tcPr>
          <w:p w14:paraId="0B2FA6CE">
            <w:pPr>
              <w:pStyle w:val="55"/>
            </w:pPr>
            <w:r>
              <w:rPr>
                <w:rFonts w:hint="eastAsia"/>
              </w:rPr>
              <w:t>0</w:t>
            </w:r>
          </w:p>
        </w:tc>
        <w:tc>
          <w:tcPr>
            <w:tcW w:w="692" w:type="pct"/>
            <w:vAlign w:val="center"/>
          </w:tcPr>
          <w:p w14:paraId="3E1EEEEC">
            <w:pPr>
              <w:pStyle w:val="55"/>
            </w:pPr>
            <w:r>
              <w:rPr>
                <w:rFonts w:hint="eastAsia"/>
                <w:lang w:val="en-US" w:eastAsia="zh-CN"/>
              </w:rPr>
              <w:t>1.25t/a</w:t>
            </w:r>
          </w:p>
        </w:tc>
        <w:tc>
          <w:tcPr>
            <w:tcW w:w="449" w:type="pct"/>
            <w:vAlign w:val="center"/>
          </w:tcPr>
          <w:p w14:paraId="43C0B584">
            <w:pPr>
              <w:pStyle w:val="55"/>
            </w:pPr>
            <w:r>
              <w:rPr>
                <w:rFonts w:hint="eastAsia"/>
                <w:lang w:val="en-US" w:eastAsia="zh-CN"/>
              </w:rPr>
              <w:t>+1.25t/a</w:t>
            </w:r>
          </w:p>
        </w:tc>
      </w:tr>
      <w:tr w14:paraId="77F4E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1" w:type="pct"/>
            <w:vMerge w:val="continue"/>
            <w:vAlign w:val="center"/>
          </w:tcPr>
          <w:p w14:paraId="264CB096">
            <w:pPr>
              <w:pStyle w:val="55"/>
              <w:rPr>
                <w:rFonts w:hint="eastAsia"/>
              </w:rPr>
            </w:pPr>
          </w:p>
        </w:tc>
        <w:tc>
          <w:tcPr>
            <w:tcW w:w="629" w:type="pct"/>
            <w:vAlign w:val="center"/>
          </w:tcPr>
          <w:p w14:paraId="58823E09">
            <w:pPr>
              <w:pStyle w:val="55"/>
              <w:rPr>
                <w:rFonts w:hint="eastAsia"/>
              </w:rPr>
            </w:pPr>
            <w:r>
              <w:rPr>
                <w:rFonts w:hint="eastAsia"/>
                <w:lang w:val="en-US" w:eastAsia="zh-CN"/>
              </w:rPr>
              <w:t>无组织</w:t>
            </w:r>
            <w:r>
              <w:rPr>
                <w:rFonts w:hint="eastAsia"/>
              </w:rPr>
              <w:t>颗粒物</w:t>
            </w:r>
          </w:p>
        </w:tc>
        <w:tc>
          <w:tcPr>
            <w:tcW w:w="598" w:type="pct"/>
            <w:vAlign w:val="center"/>
          </w:tcPr>
          <w:p w14:paraId="4A9E15A6">
            <w:pPr>
              <w:pStyle w:val="55"/>
              <w:rPr>
                <w:rFonts w:hint="eastAsia" w:eastAsia="宋体"/>
                <w:lang w:val="en-US" w:eastAsia="zh-CN"/>
              </w:rPr>
            </w:pPr>
            <w:r>
              <w:rPr>
                <w:rFonts w:hint="eastAsia"/>
                <w:lang w:val="en-US" w:eastAsia="zh-CN"/>
              </w:rPr>
              <w:t>/</w:t>
            </w:r>
          </w:p>
        </w:tc>
        <w:tc>
          <w:tcPr>
            <w:tcW w:w="443" w:type="pct"/>
            <w:vAlign w:val="center"/>
          </w:tcPr>
          <w:p w14:paraId="277B4EC4">
            <w:pPr>
              <w:pStyle w:val="55"/>
              <w:rPr>
                <w:rFonts w:hint="eastAsia" w:eastAsia="宋体"/>
                <w:lang w:val="en-US" w:eastAsia="zh-CN"/>
              </w:rPr>
            </w:pPr>
            <w:r>
              <w:rPr>
                <w:rFonts w:hint="eastAsia"/>
                <w:lang w:val="en-US" w:eastAsia="zh-CN"/>
              </w:rPr>
              <w:t>/</w:t>
            </w:r>
          </w:p>
        </w:tc>
        <w:tc>
          <w:tcPr>
            <w:tcW w:w="598" w:type="pct"/>
            <w:vAlign w:val="center"/>
          </w:tcPr>
          <w:p w14:paraId="5CB4F253">
            <w:pPr>
              <w:pStyle w:val="55"/>
              <w:ind w:firstLine="0" w:firstLineChars="0"/>
              <w:rPr>
                <w:rFonts w:hint="default"/>
                <w:lang w:val="en-US" w:eastAsia="zh-CN"/>
              </w:rPr>
            </w:pPr>
            <w:r>
              <w:rPr>
                <w:rFonts w:hint="eastAsia"/>
                <w:lang w:val="en-US" w:eastAsia="zh-CN"/>
              </w:rPr>
              <w:t>/</w:t>
            </w:r>
          </w:p>
        </w:tc>
        <w:tc>
          <w:tcPr>
            <w:tcW w:w="547" w:type="pct"/>
            <w:vAlign w:val="center"/>
          </w:tcPr>
          <w:p w14:paraId="6AD09E96">
            <w:pPr>
              <w:pStyle w:val="55"/>
              <w:ind w:firstLine="0" w:firstLineChars="0"/>
              <w:rPr>
                <w:rFonts w:hint="eastAsia"/>
                <w:lang w:val="en-US" w:eastAsia="zh-CN"/>
              </w:rPr>
            </w:pPr>
            <w:r>
              <w:rPr>
                <w:rFonts w:hint="eastAsia"/>
                <w:snapToGrid w:val="0"/>
                <w:kern w:val="21"/>
                <w:lang w:val="en-US" w:eastAsia="zh-CN"/>
              </w:rPr>
              <w:t>1.5714‬</w:t>
            </w:r>
            <w:r>
              <w:rPr>
                <w:snapToGrid w:val="0"/>
                <w:kern w:val="21"/>
              </w:rPr>
              <w:t>t/a</w:t>
            </w:r>
          </w:p>
        </w:tc>
        <w:tc>
          <w:tcPr>
            <w:tcW w:w="620" w:type="pct"/>
            <w:vAlign w:val="center"/>
          </w:tcPr>
          <w:p w14:paraId="5220FC8E">
            <w:pPr>
              <w:pStyle w:val="55"/>
              <w:rPr>
                <w:rFonts w:hint="eastAsia" w:eastAsia="宋体"/>
                <w:lang w:val="en-US" w:eastAsia="zh-CN"/>
              </w:rPr>
            </w:pPr>
            <w:r>
              <w:rPr>
                <w:rFonts w:hint="eastAsia"/>
                <w:lang w:val="en-US" w:eastAsia="zh-CN"/>
              </w:rPr>
              <w:t>0</w:t>
            </w:r>
          </w:p>
        </w:tc>
        <w:tc>
          <w:tcPr>
            <w:tcW w:w="692" w:type="pct"/>
            <w:vAlign w:val="center"/>
          </w:tcPr>
          <w:p w14:paraId="35CDE290">
            <w:pPr>
              <w:pStyle w:val="55"/>
              <w:rPr>
                <w:rFonts w:hint="eastAsia"/>
              </w:rPr>
            </w:pPr>
            <w:r>
              <w:rPr>
                <w:rFonts w:hint="eastAsia"/>
                <w:snapToGrid w:val="0"/>
                <w:kern w:val="21"/>
                <w:lang w:val="en-US" w:eastAsia="zh-CN"/>
              </w:rPr>
              <w:t>1.5714‬</w:t>
            </w:r>
            <w:r>
              <w:rPr>
                <w:snapToGrid w:val="0"/>
                <w:kern w:val="21"/>
              </w:rPr>
              <w:t>t/a</w:t>
            </w:r>
          </w:p>
        </w:tc>
        <w:tc>
          <w:tcPr>
            <w:tcW w:w="449" w:type="pct"/>
            <w:vAlign w:val="center"/>
          </w:tcPr>
          <w:p w14:paraId="4C3023D3">
            <w:pPr>
              <w:pStyle w:val="55"/>
              <w:rPr>
                <w:rFonts w:hint="eastAsia" w:eastAsia="宋体"/>
                <w:lang w:val="en-US" w:eastAsia="zh-CN"/>
              </w:rPr>
            </w:pPr>
            <w:r>
              <w:rPr>
                <w:rFonts w:hint="eastAsia"/>
                <w:snapToGrid w:val="0"/>
                <w:kern w:val="21"/>
                <w:lang w:val="en-US" w:eastAsia="zh-CN"/>
              </w:rPr>
              <w:t>+1.5714‬</w:t>
            </w:r>
            <w:r>
              <w:rPr>
                <w:snapToGrid w:val="0"/>
                <w:kern w:val="21"/>
              </w:rPr>
              <w:t>t/a</w:t>
            </w:r>
          </w:p>
        </w:tc>
      </w:tr>
      <w:tr w14:paraId="5D594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restart"/>
            <w:vAlign w:val="center"/>
          </w:tcPr>
          <w:p w14:paraId="511734B4">
            <w:pPr>
              <w:pStyle w:val="55"/>
            </w:pPr>
            <w:r>
              <w:rPr>
                <w:rFonts w:hint="eastAsia"/>
              </w:rPr>
              <w:t>废水</w:t>
            </w:r>
          </w:p>
        </w:tc>
        <w:tc>
          <w:tcPr>
            <w:tcW w:w="629" w:type="pct"/>
            <w:vAlign w:val="center"/>
          </w:tcPr>
          <w:p w14:paraId="024DACF8">
            <w:pPr>
              <w:pStyle w:val="55"/>
              <w:rPr>
                <w:color w:val="auto"/>
              </w:rPr>
            </w:pPr>
            <w:r>
              <w:rPr>
                <w:rFonts w:hint="eastAsia"/>
                <w:snapToGrid w:val="0"/>
              </w:rPr>
              <w:t>生活污水</w:t>
            </w:r>
          </w:p>
        </w:tc>
        <w:tc>
          <w:tcPr>
            <w:tcW w:w="598" w:type="pct"/>
            <w:vAlign w:val="center"/>
          </w:tcPr>
          <w:p w14:paraId="78F155D2">
            <w:pPr>
              <w:pStyle w:val="55"/>
            </w:pPr>
            <w:r>
              <w:rPr>
                <w:rFonts w:hint="eastAsia"/>
              </w:rPr>
              <w:t>/</w:t>
            </w:r>
          </w:p>
        </w:tc>
        <w:tc>
          <w:tcPr>
            <w:tcW w:w="443" w:type="pct"/>
            <w:vAlign w:val="center"/>
          </w:tcPr>
          <w:p w14:paraId="5D764E2E">
            <w:pPr>
              <w:pStyle w:val="55"/>
            </w:pPr>
            <w:r>
              <w:rPr>
                <w:rFonts w:hint="eastAsia"/>
              </w:rPr>
              <w:t>/</w:t>
            </w:r>
          </w:p>
        </w:tc>
        <w:tc>
          <w:tcPr>
            <w:tcW w:w="598" w:type="pct"/>
            <w:vAlign w:val="center"/>
          </w:tcPr>
          <w:p w14:paraId="1EA2130E">
            <w:pPr>
              <w:pStyle w:val="55"/>
              <w:ind w:firstLine="0" w:firstLineChars="0"/>
              <w:rPr>
                <w:rFonts w:hint="eastAsia"/>
                <w:lang w:val="en-US" w:eastAsia="zh-CN"/>
              </w:rPr>
            </w:pPr>
            <w:r>
              <w:rPr>
                <w:rFonts w:hint="eastAsia"/>
                <w:lang w:val="en-US" w:eastAsia="zh-CN"/>
              </w:rPr>
              <w:t>/</w:t>
            </w:r>
          </w:p>
        </w:tc>
        <w:tc>
          <w:tcPr>
            <w:tcW w:w="547" w:type="pct"/>
            <w:vAlign w:val="center"/>
          </w:tcPr>
          <w:p w14:paraId="4AC1B97B">
            <w:pPr>
              <w:pStyle w:val="55"/>
              <w:ind w:firstLine="0" w:firstLineChars="0"/>
              <w:rPr>
                <w:rFonts w:hint="eastAsia"/>
                <w:lang w:val="en-US" w:eastAsia="zh-CN"/>
              </w:rPr>
            </w:pPr>
            <w:r>
              <w:rPr>
                <w:rFonts w:hint="eastAsia"/>
                <w:lang w:val="en-US" w:eastAsia="zh-CN"/>
              </w:rPr>
              <w:t>230.4t/a</w:t>
            </w:r>
          </w:p>
        </w:tc>
        <w:tc>
          <w:tcPr>
            <w:tcW w:w="620" w:type="pct"/>
            <w:vAlign w:val="center"/>
          </w:tcPr>
          <w:p w14:paraId="04F582C6">
            <w:pPr>
              <w:pStyle w:val="55"/>
            </w:pPr>
            <w:r>
              <w:rPr>
                <w:rFonts w:hint="eastAsia"/>
              </w:rPr>
              <w:t>0</w:t>
            </w:r>
          </w:p>
        </w:tc>
        <w:tc>
          <w:tcPr>
            <w:tcW w:w="692" w:type="pct"/>
            <w:vAlign w:val="center"/>
          </w:tcPr>
          <w:p w14:paraId="59A6864C">
            <w:pPr>
              <w:pStyle w:val="55"/>
              <w:ind w:firstLine="0" w:firstLineChars="0"/>
            </w:pPr>
            <w:r>
              <w:rPr>
                <w:rFonts w:hint="eastAsia"/>
                <w:lang w:val="en-US" w:eastAsia="zh-CN"/>
              </w:rPr>
              <w:t>230.4t/a</w:t>
            </w:r>
          </w:p>
        </w:tc>
        <w:tc>
          <w:tcPr>
            <w:tcW w:w="449" w:type="pct"/>
            <w:vAlign w:val="center"/>
          </w:tcPr>
          <w:p w14:paraId="647AFD6E">
            <w:pPr>
              <w:pStyle w:val="55"/>
            </w:pPr>
            <w:r>
              <w:rPr>
                <w:rFonts w:hint="eastAsia"/>
                <w:lang w:val="en-US" w:eastAsia="zh-CN"/>
              </w:rPr>
              <w:t>+230.4t/a</w:t>
            </w:r>
          </w:p>
        </w:tc>
      </w:tr>
      <w:tr w14:paraId="0DB52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vAlign w:val="center"/>
          </w:tcPr>
          <w:p w14:paraId="45FB96ED">
            <w:pPr>
              <w:pStyle w:val="55"/>
            </w:pPr>
          </w:p>
        </w:tc>
        <w:tc>
          <w:tcPr>
            <w:tcW w:w="629" w:type="pct"/>
            <w:vAlign w:val="center"/>
          </w:tcPr>
          <w:p w14:paraId="5FD9DD82">
            <w:pPr>
              <w:pStyle w:val="55"/>
              <w:rPr>
                <w:color w:val="auto"/>
              </w:rPr>
            </w:pPr>
            <w:r>
              <w:rPr>
                <w:rFonts w:hint="eastAsia"/>
              </w:rPr>
              <w:t>COD</w:t>
            </w:r>
          </w:p>
        </w:tc>
        <w:tc>
          <w:tcPr>
            <w:tcW w:w="598" w:type="pct"/>
            <w:vAlign w:val="center"/>
          </w:tcPr>
          <w:p w14:paraId="4413B525">
            <w:pPr>
              <w:pStyle w:val="55"/>
            </w:pPr>
            <w:r>
              <w:rPr>
                <w:rFonts w:hint="eastAsia"/>
              </w:rPr>
              <w:t>/</w:t>
            </w:r>
          </w:p>
        </w:tc>
        <w:tc>
          <w:tcPr>
            <w:tcW w:w="443" w:type="pct"/>
            <w:vAlign w:val="center"/>
          </w:tcPr>
          <w:p w14:paraId="43191C04">
            <w:pPr>
              <w:pStyle w:val="55"/>
            </w:pPr>
            <w:r>
              <w:rPr>
                <w:rFonts w:hint="eastAsia"/>
              </w:rPr>
              <w:t>/</w:t>
            </w:r>
          </w:p>
        </w:tc>
        <w:tc>
          <w:tcPr>
            <w:tcW w:w="598" w:type="pct"/>
            <w:vAlign w:val="center"/>
          </w:tcPr>
          <w:p w14:paraId="35549B8C">
            <w:pPr>
              <w:pStyle w:val="55"/>
            </w:pPr>
            <w:r>
              <w:rPr>
                <w:rFonts w:hint="eastAsia"/>
              </w:rPr>
              <w:t>/</w:t>
            </w:r>
          </w:p>
        </w:tc>
        <w:tc>
          <w:tcPr>
            <w:tcW w:w="547" w:type="pct"/>
            <w:vAlign w:val="center"/>
          </w:tcPr>
          <w:p w14:paraId="09E01863">
            <w:pPr>
              <w:pStyle w:val="55"/>
              <w:ind w:firstLine="0" w:firstLineChars="0"/>
              <w:rPr>
                <w:color w:val="auto"/>
              </w:rPr>
            </w:pPr>
            <w:r>
              <w:rPr>
                <w:rFonts w:hint="eastAsia"/>
                <w:lang w:val="en-US" w:eastAsia="zh-CN"/>
              </w:rPr>
              <w:t>0.083</w:t>
            </w:r>
            <w:r>
              <w:rPr>
                <w:snapToGrid w:val="0"/>
                <w:kern w:val="21"/>
              </w:rPr>
              <w:t>/a</w:t>
            </w:r>
          </w:p>
        </w:tc>
        <w:tc>
          <w:tcPr>
            <w:tcW w:w="620" w:type="pct"/>
            <w:vAlign w:val="center"/>
          </w:tcPr>
          <w:p w14:paraId="75144F39">
            <w:pPr>
              <w:pStyle w:val="55"/>
            </w:pPr>
            <w:r>
              <w:rPr>
                <w:rFonts w:hint="eastAsia"/>
              </w:rPr>
              <w:t>0</w:t>
            </w:r>
          </w:p>
        </w:tc>
        <w:tc>
          <w:tcPr>
            <w:tcW w:w="692" w:type="pct"/>
            <w:vAlign w:val="center"/>
          </w:tcPr>
          <w:p w14:paraId="273045EE">
            <w:pPr>
              <w:pStyle w:val="55"/>
              <w:ind w:firstLine="0" w:firstLineChars="0"/>
              <w:rPr>
                <w:color w:val="auto"/>
              </w:rPr>
            </w:pPr>
            <w:r>
              <w:rPr>
                <w:rFonts w:hint="eastAsia"/>
                <w:lang w:val="en-US" w:eastAsia="zh-CN"/>
              </w:rPr>
              <w:t>0.083</w:t>
            </w:r>
            <w:r>
              <w:rPr>
                <w:snapToGrid w:val="0"/>
                <w:kern w:val="21"/>
              </w:rPr>
              <w:t>/a</w:t>
            </w:r>
          </w:p>
        </w:tc>
        <w:tc>
          <w:tcPr>
            <w:tcW w:w="449" w:type="pct"/>
            <w:vAlign w:val="center"/>
          </w:tcPr>
          <w:p w14:paraId="01F777A2">
            <w:pPr>
              <w:pStyle w:val="55"/>
              <w:ind w:firstLine="0" w:firstLineChars="0"/>
            </w:pPr>
            <w:r>
              <w:rPr>
                <w:rFonts w:hint="eastAsia"/>
                <w:lang w:val="en-US" w:eastAsia="zh-CN"/>
              </w:rPr>
              <w:t>+0.083</w:t>
            </w:r>
            <w:r>
              <w:rPr>
                <w:snapToGrid w:val="0"/>
                <w:kern w:val="21"/>
              </w:rPr>
              <w:t>/a</w:t>
            </w:r>
          </w:p>
        </w:tc>
      </w:tr>
      <w:tr w14:paraId="084D8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vAlign w:val="center"/>
          </w:tcPr>
          <w:p w14:paraId="7AF9D2A1">
            <w:pPr>
              <w:pStyle w:val="55"/>
            </w:pPr>
          </w:p>
        </w:tc>
        <w:tc>
          <w:tcPr>
            <w:tcW w:w="629" w:type="pct"/>
            <w:vAlign w:val="center"/>
          </w:tcPr>
          <w:p w14:paraId="5D1254CF">
            <w:pPr>
              <w:pStyle w:val="55"/>
              <w:rPr>
                <w:color w:val="auto"/>
              </w:rPr>
            </w:pPr>
            <w:r>
              <w:rPr>
                <w:rFonts w:hint="eastAsia"/>
              </w:rPr>
              <w:t>BOD</w:t>
            </w:r>
            <w:r>
              <w:rPr>
                <w:rFonts w:hint="eastAsia"/>
                <w:vertAlign w:val="subscript"/>
              </w:rPr>
              <w:t>5</w:t>
            </w:r>
          </w:p>
        </w:tc>
        <w:tc>
          <w:tcPr>
            <w:tcW w:w="598" w:type="pct"/>
            <w:vAlign w:val="center"/>
          </w:tcPr>
          <w:p w14:paraId="234C7FD0">
            <w:pPr>
              <w:pStyle w:val="55"/>
            </w:pPr>
            <w:r>
              <w:rPr>
                <w:rFonts w:hint="eastAsia"/>
              </w:rPr>
              <w:t>/</w:t>
            </w:r>
          </w:p>
        </w:tc>
        <w:tc>
          <w:tcPr>
            <w:tcW w:w="443" w:type="pct"/>
            <w:vAlign w:val="center"/>
          </w:tcPr>
          <w:p w14:paraId="48D016A5">
            <w:pPr>
              <w:pStyle w:val="55"/>
            </w:pPr>
            <w:r>
              <w:rPr>
                <w:rFonts w:hint="eastAsia"/>
              </w:rPr>
              <w:t>/</w:t>
            </w:r>
          </w:p>
        </w:tc>
        <w:tc>
          <w:tcPr>
            <w:tcW w:w="598" w:type="pct"/>
            <w:vAlign w:val="center"/>
          </w:tcPr>
          <w:p w14:paraId="720187BD">
            <w:pPr>
              <w:pStyle w:val="55"/>
            </w:pPr>
            <w:r>
              <w:rPr>
                <w:rFonts w:hint="eastAsia"/>
              </w:rPr>
              <w:t>/</w:t>
            </w:r>
          </w:p>
        </w:tc>
        <w:tc>
          <w:tcPr>
            <w:tcW w:w="547" w:type="pct"/>
            <w:vAlign w:val="center"/>
          </w:tcPr>
          <w:p w14:paraId="3FC148A8">
            <w:pPr>
              <w:pStyle w:val="55"/>
              <w:ind w:firstLine="0" w:firstLineChars="0"/>
              <w:rPr>
                <w:color w:val="auto"/>
              </w:rPr>
            </w:pPr>
            <w:r>
              <w:t>0.</w:t>
            </w:r>
            <w:r>
              <w:rPr>
                <w:rFonts w:hint="eastAsia"/>
                <w:lang w:val="en-US" w:eastAsia="zh-CN"/>
              </w:rPr>
              <w:t>063</w:t>
            </w:r>
            <w:r>
              <w:rPr>
                <w:snapToGrid w:val="0"/>
                <w:kern w:val="21"/>
              </w:rPr>
              <w:t>t/a</w:t>
            </w:r>
          </w:p>
        </w:tc>
        <w:tc>
          <w:tcPr>
            <w:tcW w:w="620" w:type="pct"/>
            <w:vAlign w:val="center"/>
          </w:tcPr>
          <w:p w14:paraId="750D3D8E">
            <w:pPr>
              <w:pStyle w:val="55"/>
            </w:pPr>
            <w:r>
              <w:rPr>
                <w:rFonts w:hint="eastAsia"/>
              </w:rPr>
              <w:t>0</w:t>
            </w:r>
          </w:p>
        </w:tc>
        <w:tc>
          <w:tcPr>
            <w:tcW w:w="692" w:type="pct"/>
            <w:vAlign w:val="center"/>
          </w:tcPr>
          <w:p w14:paraId="17FF5957">
            <w:pPr>
              <w:pStyle w:val="55"/>
              <w:ind w:firstLine="0" w:firstLineChars="0"/>
              <w:rPr>
                <w:color w:val="auto"/>
              </w:rPr>
            </w:pPr>
            <w:r>
              <w:t>0.</w:t>
            </w:r>
            <w:r>
              <w:rPr>
                <w:rFonts w:hint="eastAsia"/>
                <w:lang w:val="en-US" w:eastAsia="zh-CN"/>
              </w:rPr>
              <w:t>063</w:t>
            </w:r>
            <w:r>
              <w:rPr>
                <w:snapToGrid w:val="0"/>
                <w:kern w:val="21"/>
              </w:rPr>
              <w:t>t/a</w:t>
            </w:r>
          </w:p>
        </w:tc>
        <w:tc>
          <w:tcPr>
            <w:tcW w:w="449" w:type="pct"/>
            <w:vAlign w:val="center"/>
          </w:tcPr>
          <w:p w14:paraId="3A130FAF">
            <w:pPr>
              <w:pStyle w:val="55"/>
              <w:ind w:firstLine="0" w:firstLineChars="0"/>
            </w:pPr>
            <w:r>
              <w:rPr>
                <w:rFonts w:hint="eastAsia"/>
                <w:lang w:val="en-US" w:eastAsia="zh-CN"/>
              </w:rPr>
              <w:t>+</w:t>
            </w:r>
            <w:r>
              <w:t>0.</w:t>
            </w:r>
            <w:r>
              <w:rPr>
                <w:rFonts w:hint="eastAsia"/>
                <w:lang w:val="en-US" w:eastAsia="zh-CN"/>
              </w:rPr>
              <w:t>063</w:t>
            </w:r>
            <w:r>
              <w:rPr>
                <w:snapToGrid w:val="0"/>
                <w:kern w:val="21"/>
              </w:rPr>
              <w:t>t/a</w:t>
            </w:r>
          </w:p>
        </w:tc>
      </w:tr>
      <w:tr w14:paraId="725A8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vAlign w:val="center"/>
          </w:tcPr>
          <w:p w14:paraId="210503DD">
            <w:pPr>
              <w:pStyle w:val="55"/>
            </w:pPr>
          </w:p>
        </w:tc>
        <w:tc>
          <w:tcPr>
            <w:tcW w:w="629" w:type="pct"/>
            <w:vAlign w:val="center"/>
          </w:tcPr>
          <w:p w14:paraId="5871F785">
            <w:pPr>
              <w:pStyle w:val="55"/>
              <w:rPr>
                <w:color w:val="auto"/>
              </w:rPr>
            </w:pPr>
            <w:r>
              <w:rPr>
                <w:rFonts w:hint="eastAsia"/>
              </w:rPr>
              <w:t>SS</w:t>
            </w:r>
          </w:p>
        </w:tc>
        <w:tc>
          <w:tcPr>
            <w:tcW w:w="598" w:type="pct"/>
            <w:vAlign w:val="center"/>
          </w:tcPr>
          <w:p w14:paraId="27319909">
            <w:pPr>
              <w:pStyle w:val="55"/>
            </w:pPr>
            <w:r>
              <w:rPr>
                <w:rFonts w:hint="eastAsia"/>
              </w:rPr>
              <w:t>/</w:t>
            </w:r>
          </w:p>
        </w:tc>
        <w:tc>
          <w:tcPr>
            <w:tcW w:w="443" w:type="pct"/>
            <w:vAlign w:val="center"/>
          </w:tcPr>
          <w:p w14:paraId="34C8C171">
            <w:pPr>
              <w:pStyle w:val="55"/>
            </w:pPr>
            <w:r>
              <w:rPr>
                <w:rFonts w:hint="eastAsia"/>
              </w:rPr>
              <w:t>/</w:t>
            </w:r>
          </w:p>
        </w:tc>
        <w:tc>
          <w:tcPr>
            <w:tcW w:w="598" w:type="pct"/>
            <w:vAlign w:val="center"/>
          </w:tcPr>
          <w:p w14:paraId="14B1D75B">
            <w:pPr>
              <w:pStyle w:val="55"/>
            </w:pPr>
            <w:r>
              <w:rPr>
                <w:rFonts w:hint="eastAsia"/>
              </w:rPr>
              <w:t>/</w:t>
            </w:r>
          </w:p>
        </w:tc>
        <w:tc>
          <w:tcPr>
            <w:tcW w:w="547" w:type="pct"/>
            <w:vAlign w:val="center"/>
          </w:tcPr>
          <w:p w14:paraId="059F8698">
            <w:pPr>
              <w:pStyle w:val="55"/>
              <w:ind w:firstLine="0" w:firstLineChars="0"/>
              <w:rPr>
                <w:color w:val="auto"/>
              </w:rPr>
            </w:pPr>
            <w:r>
              <w:t>0.</w:t>
            </w:r>
            <w:r>
              <w:rPr>
                <w:rFonts w:hint="eastAsia"/>
                <w:lang w:val="en-US" w:eastAsia="zh-CN"/>
              </w:rPr>
              <w:t>044</w:t>
            </w:r>
            <w:r>
              <w:rPr>
                <w:snapToGrid w:val="0"/>
                <w:kern w:val="21"/>
              </w:rPr>
              <w:t>t/a</w:t>
            </w:r>
          </w:p>
        </w:tc>
        <w:tc>
          <w:tcPr>
            <w:tcW w:w="620" w:type="pct"/>
            <w:vAlign w:val="center"/>
          </w:tcPr>
          <w:p w14:paraId="53FB221A">
            <w:pPr>
              <w:pStyle w:val="55"/>
            </w:pPr>
            <w:r>
              <w:rPr>
                <w:rFonts w:hint="eastAsia"/>
              </w:rPr>
              <w:t>0</w:t>
            </w:r>
          </w:p>
        </w:tc>
        <w:tc>
          <w:tcPr>
            <w:tcW w:w="692" w:type="pct"/>
            <w:vAlign w:val="center"/>
          </w:tcPr>
          <w:p w14:paraId="645811B7">
            <w:pPr>
              <w:pStyle w:val="55"/>
              <w:ind w:firstLine="0" w:firstLineChars="0"/>
              <w:rPr>
                <w:color w:val="auto"/>
              </w:rPr>
            </w:pPr>
            <w:r>
              <w:t>0.</w:t>
            </w:r>
            <w:r>
              <w:rPr>
                <w:rFonts w:hint="eastAsia"/>
                <w:lang w:val="en-US" w:eastAsia="zh-CN"/>
              </w:rPr>
              <w:t>044</w:t>
            </w:r>
            <w:r>
              <w:rPr>
                <w:snapToGrid w:val="0"/>
                <w:kern w:val="21"/>
              </w:rPr>
              <w:t>t/a</w:t>
            </w:r>
          </w:p>
        </w:tc>
        <w:tc>
          <w:tcPr>
            <w:tcW w:w="449" w:type="pct"/>
            <w:vAlign w:val="center"/>
          </w:tcPr>
          <w:p w14:paraId="21AC8441">
            <w:pPr>
              <w:pStyle w:val="55"/>
              <w:ind w:firstLine="0" w:firstLineChars="0"/>
            </w:pPr>
            <w:r>
              <w:rPr>
                <w:rFonts w:hint="eastAsia"/>
                <w:lang w:val="en-US" w:eastAsia="zh-CN"/>
              </w:rPr>
              <w:t>+</w:t>
            </w:r>
            <w:r>
              <w:t>0.</w:t>
            </w:r>
            <w:r>
              <w:rPr>
                <w:rFonts w:hint="eastAsia"/>
                <w:lang w:val="en-US" w:eastAsia="zh-CN"/>
              </w:rPr>
              <w:t>044</w:t>
            </w:r>
            <w:r>
              <w:rPr>
                <w:snapToGrid w:val="0"/>
                <w:kern w:val="21"/>
              </w:rPr>
              <w:t>t/a</w:t>
            </w:r>
          </w:p>
        </w:tc>
      </w:tr>
      <w:tr w14:paraId="39D7A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Merge w:val="continue"/>
            <w:vAlign w:val="center"/>
          </w:tcPr>
          <w:p w14:paraId="15B61D8D">
            <w:pPr>
              <w:pStyle w:val="55"/>
            </w:pPr>
          </w:p>
        </w:tc>
        <w:tc>
          <w:tcPr>
            <w:tcW w:w="629" w:type="pct"/>
            <w:vAlign w:val="center"/>
          </w:tcPr>
          <w:p w14:paraId="06985A1B">
            <w:pPr>
              <w:pStyle w:val="55"/>
              <w:rPr>
                <w:color w:val="auto"/>
              </w:rPr>
            </w:pPr>
            <w:r>
              <w:t>NH</w:t>
            </w:r>
            <w:r>
              <w:rPr>
                <w:vertAlign w:val="subscript"/>
              </w:rPr>
              <w:t>3</w:t>
            </w:r>
            <w:r>
              <w:t>-N</w:t>
            </w:r>
          </w:p>
        </w:tc>
        <w:tc>
          <w:tcPr>
            <w:tcW w:w="598" w:type="pct"/>
            <w:vAlign w:val="center"/>
          </w:tcPr>
          <w:p w14:paraId="1DC573E9">
            <w:pPr>
              <w:pStyle w:val="55"/>
            </w:pPr>
            <w:r>
              <w:rPr>
                <w:rFonts w:hint="eastAsia"/>
              </w:rPr>
              <w:t>/</w:t>
            </w:r>
          </w:p>
        </w:tc>
        <w:tc>
          <w:tcPr>
            <w:tcW w:w="443" w:type="pct"/>
            <w:vAlign w:val="center"/>
          </w:tcPr>
          <w:p w14:paraId="3AFC6AAA">
            <w:pPr>
              <w:pStyle w:val="55"/>
            </w:pPr>
            <w:r>
              <w:rPr>
                <w:rFonts w:hint="eastAsia"/>
              </w:rPr>
              <w:t>/</w:t>
            </w:r>
          </w:p>
        </w:tc>
        <w:tc>
          <w:tcPr>
            <w:tcW w:w="598" w:type="pct"/>
            <w:vAlign w:val="center"/>
          </w:tcPr>
          <w:p w14:paraId="0094DE5E">
            <w:pPr>
              <w:pStyle w:val="55"/>
            </w:pPr>
            <w:r>
              <w:rPr>
                <w:rFonts w:hint="eastAsia"/>
              </w:rPr>
              <w:t>/</w:t>
            </w:r>
          </w:p>
        </w:tc>
        <w:tc>
          <w:tcPr>
            <w:tcW w:w="547" w:type="pct"/>
            <w:vAlign w:val="center"/>
          </w:tcPr>
          <w:p w14:paraId="6A23711F">
            <w:pPr>
              <w:pStyle w:val="55"/>
              <w:ind w:firstLine="0" w:firstLineChars="0"/>
              <w:rPr>
                <w:color w:val="auto"/>
              </w:rPr>
            </w:pPr>
            <w:r>
              <w:t>0.0</w:t>
            </w:r>
            <w:r>
              <w:rPr>
                <w:rFonts w:hint="eastAsia"/>
                <w:lang w:val="en-US" w:eastAsia="zh-CN"/>
              </w:rPr>
              <w:t>07</w:t>
            </w:r>
            <w:r>
              <w:rPr>
                <w:snapToGrid w:val="0"/>
                <w:kern w:val="21"/>
              </w:rPr>
              <w:t>t/a</w:t>
            </w:r>
          </w:p>
        </w:tc>
        <w:tc>
          <w:tcPr>
            <w:tcW w:w="620" w:type="pct"/>
            <w:vAlign w:val="center"/>
          </w:tcPr>
          <w:p w14:paraId="6CB79C36">
            <w:pPr>
              <w:pStyle w:val="55"/>
            </w:pPr>
            <w:r>
              <w:rPr>
                <w:rFonts w:hint="eastAsia"/>
              </w:rPr>
              <w:t>0</w:t>
            </w:r>
          </w:p>
        </w:tc>
        <w:tc>
          <w:tcPr>
            <w:tcW w:w="692" w:type="pct"/>
            <w:vAlign w:val="center"/>
          </w:tcPr>
          <w:p w14:paraId="5AF0A2C6">
            <w:pPr>
              <w:pStyle w:val="55"/>
              <w:ind w:firstLine="0" w:firstLineChars="0"/>
              <w:rPr>
                <w:color w:val="auto"/>
              </w:rPr>
            </w:pPr>
            <w:r>
              <w:t>0.0</w:t>
            </w:r>
            <w:r>
              <w:rPr>
                <w:rFonts w:hint="eastAsia"/>
                <w:lang w:val="en-US" w:eastAsia="zh-CN"/>
              </w:rPr>
              <w:t>07</w:t>
            </w:r>
            <w:r>
              <w:rPr>
                <w:snapToGrid w:val="0"/>
                <w:kern w:val="21"/>
              </w:rPr>
              <w:t>t/a</w:t>
            </w:r>
          </w:p>
        </w:tc>
        <w:tc>
          <w:tcPr>
            <w:tcW w:w="449" w:type="pct"/>
            <w:vAlign w:val="center"/>
          </w:tcPr>
          <w:p w14:paraId="5CA17A24">
            <w:pPr>
              <w:pStyle w:val="55"/>
              <w:ind w:firstLine="0" w:firstLineChars="0"/>
            </w:pPr>
            <w:r>
              <w:rPr>
                <w:rFonts w:hint="eastAsia"/>
                <w:lang w:val="en-US" w:eastAsia="zh-CN"/>
              </w:rPr>
              <w:t>+</w:t>
            </w:r>
            <w:r>
              <w:t>0.0</w:t>
            </w:r>
            <w:r>
              <w:rPr>
                <w:rFonts w:hint="eastAsia"/>
                <w:lang w:val="en-US" w:eastAsia="zh-CN"/>
              </w:rPr>
              <w:t>07</w:t>
            </w:r>
            <w:r>
              <w:rPr>
                <w:snapToGrid w:val="0"/>
                <w:kern w:val="21"/>
              </w:rPr>
              <w:t>t/a</w:t>
            </w:r>
          </w:p>
        </w:tc>
      </w:tr>
      <w:tr w14:paraId="07A3A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2209C911">
            <w:pPr>
              <w:pStyle w:val="55"/>
            </w:pPr>
            <w:r>
              <w:rPr>
                <w:rFonts w:hint="eastAsia"/>
              </w:rPr>
              <w:t>一般废物</w:t>
            </w:r>
          </w:p>
        </w:tc>
        <w:tc>
          <w:tcPr>
            <w:tcW w:w="629" w:type="pct"/>
            <w:shd w:val="clear" w:color="auto" w:fill="auto"/>
            <w:vAlign w:val="center"/>
          </w:tcPr>
          <w:p w14:paraId="6C7349D2">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rPr>
              <w:t>废旧布袋</w:t>
            </w:r>
          </w:p>
        </w:tc>
        <w:tc>
          <w:tcPr>
            <w:tcW w:w="598" w:type="pct"/>
            <w:shd w:val="clear" w:color="auto" w:fill="auto"/>
            <w:vAlign w:val="center"/>
          </w:tcPr>
          <w:p w14:paraId="1DE3E36B">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rPr>
              <w:t>/</w:t>
            </w:r>
          </w:p>
        </w:tc>
        <w:tc>
          <w:tcPr>
            <w:tcW w:w="443" w:type="pct"/>
            <w:shd w:val="clear" w:color="auto" w:fill="auto"/>
            <w:vAlign w:val="center"/>
          </w:tcPr>
          <w:p w14:paraId="4A984986">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rPr>
              <w:t>/</w:t>
            </w:r>
          </w:p>
        </w:tc>
        <w:tc>
          <w:tcPr>
            <w:tcW w:w="598" w:type="pct"/>
            <w:shd w:val="clear" w:color="auto" w:fill="auto"/>
            <w:vAlign w:val="center"/>
          </w:tcPr>
          <w:p w14:paraId="4F4988B9">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rPr>
              <w:t>/</w:t>
            </w:r>
          </w:p>
        </w:tc>
        <w:tc>
          <w:tcPr>
            <w:tcW w:w="547" w:type="pct"/>
            <w:shd w:val="clear" w:color="auto" w:fill="auto"/>
            <w:vAlign w:val="center"/>
          </w:tcPr>
          <w:p w14:paraId="530F0263">
            <w:pPr>
              <w:pStyle w:val="55"/>
              <w:ind w:firstLine="0" w:firstLineChars="0"/>
              <w:rPr>
                <w:rFonts w:hint="default" w:ascii="Times New Roman" w:hAnsi="Times New Roman" w:eastAsia="宋体" w:cs="Times New Roman"/>
                <w:bCs/>
                <w:color w:val="000000"/>
                <w:kern w:val="2"/>
                <w:sz w:val="21"/>
                <w:szCs w:val="21"/>
                <w:lang w:val="en-US" w:eastAsia="zh-CN" w:bidi="ar-SA"/>
              </w:rPr>
            </w:pPr>
            <w:r>
              <w:rPr>
                <w:rFonts w:hint="eastAsia"/>
              </w:rPr>
              <w:t>0.5t/a</w:t>
            </w:r>
          </w:p>
        </w:tc>
        <w:tc>
          <w:tcPr>
            <w:tcW w:w="620" w:type="pct"/>
            <w:shd w:val="clear" w:color="auto" w:fill="auto"/>
            <w:vAlign w:val="center"/>
          </w:tcPr>
          <w:p w14:paraId="01DB805D">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rPr>
              <w:t>0</w:t>
            </w:r>
          </w:p>
        </w:tc>
        <w:tc>
          <w:tcPr>
            <w:tcW w:w="692" w:type="pct"/>
            <w:shd w:val="clear" w:color="auto" w:fill="auto"/>
            <w:vAlign w:val="center"/>
          </w:tcPr>
          <w:p w14:paraId="5CD80E94">
            <w:pPr>
              <w:pStyle w:val="55"/>
              <w:ind w:firstLine="0" w:firstLineChars="0"/>
              <w:rPr>
                <w:rFonts w:hint="default" w:ascii="Times New Roman" w:hAnsi="Times New Roman" w:eastAsia="宋体" w:cs="Times New Roman"/>
                <w:bCs/>
                <w:color w:val="000000"/>
                <w:kern w:val="2"/>
                <w:sz w:val="21"/>
                <w:szCs w:val="21"/>
                <w:lang w:val="en-US" w:eastAsia="zh-CN" w:bidi="ar-SA"/>
              </w:rPr>
            </w:pPr>
            <w:r>
              <w:rPr>
                <w:rFonts w:hint="eastAsia"/>
              </w:rPr>
              <w:t>0.5t/a</w:t>
            </w:r>
          </w:p>
        </w:tc>
        <w:tc>
          <w:tcPr>
            <w:tcW w:w="449" w:type="pct"/>
            <w:shd w:val="clear" w:color="auto" w:fill="auto"/>
            <w:vAlign w:val="center"/>
          </w:tcPr>
          <w:p w14:paraId="67B436B5">
            <w:pPr>
              <w:pStyle w:val="55"/>
              <w:ind w:firstLine="0" w:firstLineChars="0"/>
              <w:rPr>
                <w:rFonts w:hint="eastAsia" w:ascii="Times New Roman" w:hAnsi="Times New Roman" w:eastAsia="宋体" w:cs="Times New Roman"/>
                <w:bCs/>
                <w:color w:val="000000"/>
                <w:kern w:val="2"/>
                <w:sz w:val="21"/>
                <w:szCs w:val="21"/>
                <w:lang w:val="en-US" w:eastAsia="zh-CN" w:bidi="ar-SA"/>
              </w:rPr>
            </w:pPr>
            <w:r>
              <w:rPr>
                <w:rFonts w:hint="eastAsia"/>
                <w:lang w:val="en-US" w:eastAsia="zh-CN"/>
              </w:rPr>
              <w:t>+</w:t>
            </w:r>
            <w:r>
              <w:rPr>
                <w:rFonts w:hint="eastAsia"/>
              </w:rPr>
              <w:t>0.5t/a</w:t>
            </w:r>
          </w:p>
        </w:tc>
      </w:tr>
      <w:tr w14:paraId="25FC8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5BFA612">
            <w:pPr>
              <w:pStyle w:val="55"/>
            </w:pPr>
          </w:p>
        </w:tc>
        <w:tc>
          <w:tcPr>
            <w:tcW w:w="629" w:type="pct"/>
            <w:shd w:val="clear" w:color="auto" w:fill="auto"/>
            <w:vAlign w:val="center"/>
          </w:tcPr>
          <w:p w14:paraId="6DA918D6">
            <w:pPr>
              <w:pStyle w:val="55"/>
              <w:ind w:firstLine="0" w:firstLineChars="0"/>
              <w:rPr>
                <w:rFonts w:ascii="Times New Roman" w:hAnsi="Times New Roman" w:eastAsia="宋体" w:cs="Times New Roman"/>
                <w:bCs/>
                <w:color w:val="000000"/>
                <w:kern w:val="2"/>
                <w:sz w:val="21"/>
                <w:szCs w:val="21"/>
                <w:lang w:val="en-US" w:eastAsia="zh-CN" w:bidi="ar-SA"/>
              </w:rPr>
            </w:pPr>
            <w:r>
              <w:t>生活垃圾</w:t>
            </w:r>
          </w:p>
        </w:tc>
        <w:tc>
          <w:tcPr>
            <w:tcW w:w="598" w:type="pct"/>
            <w:shd w:val="clear" w:color="auto" w:fill="auto"/>
            <w:vAlign w:val="center"/>
          </w:tcPr>
          <w:p w14:paraId="0B2AB977">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rPr>
              <w:t>/</w:t>
            </w:r>
          </w:p>
        </w:tc>
        <w:tc>
          <w:tcPr>
            <w:tcW w:w="443" w:type="pct"/>
            <w:shd w:val="clear" w:color="auto" w:fill="auto"/>
            <w:vAlign w:val="center"/>
          </w:tcPr>
          <w:p w14:paraId="0119B71E">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rPr>
              <w:t>/</w:t>
            </w:r>
          </w:p>
        </w:tc>
        <w:tc>
          <w:tcPr>
            <w:tcW w:w="598" w:type="pct"/>
            <w:shd w:val="clear" w:color="auto" w:fill="auto"/>
            <w:vAlign w:val="center"/>
          </w:tcPr>
          <w:p w14:paraId="5292A5CE">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rPr>
              <w:t>/</w:t>
            </w:r>
          </w:p>
        </w:tc>
        <w:tc>
          <w:tcPr>
            <w:tcW w:w="547" w:type="pct"/>
            <w:shd w:val="clear" w:color="auto" w:fill="auto"/>
            <w:vAlign w:val="center"/>
          </w:tcPr>
          <w:p w14:paraId="5EEFBA9C">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lang w:val="en-US" w:eastAsia="zh-CN"/>
              </w:rPr>
              <w:t>3.6</w:t>
            </w:r>
            <w:r>
              <w:rPr>
                <w:rFonts w:hint="eastAsia"/>
              </w:rPr>
              <w:t>t/a</w:t>
            </w:r>
          </w:p>
        </w:tc>
        <w:tc>
          <w:tcPr>
            <w:tcW w:w="620" w:type="pct"/>
            <w:shd w:val="clear" w:color="auto" w:fill="auto"/>
            <w:vAlign w:val="center"/>
          </w:tcPr>
          <w:p w14:paraId="2DD6D1C2">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rPr>
              <w:t>0</w:t>
            </w:r>
          </w:p>
        </w:tc>
        <w:tc>
          <w:tcPr>
            <w:tcW w:w="692" w:type="pct"/>
            <w:shd w:val="clear" w:color="auto" w:fill="auto"/>
            <w:vAlign w:val="center"/>
          </w:tcPr>
          <w:p w14:paraId="2539C636">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lang w:val="en-US" w:eastAsia="zh-CN"/>
              </w:rPr>
              <w:t>3.6</w:t>
            </w:r>
            <w:r>
              <w:rPr>
                <w:rFonts w:hint="eastAsia"/>
              </w:rPr>
              <w:t>t/a</w:t>
            </w:r>
          </w:p>
        </w:tc>
        <w:tc>
          <w:tcPr>
            <w:tcW w:w="449" w:type="pct"/>
            <w:shd w:val="clear" w:color="auto" w:fill="auto"/>
            <w:vAlign w:val="center"/>
          </w:tcPr>
          <w:p w14:paraId="3475CB14">
            <w:pPr>
              <w:pStyle w:val="55"/>
              <w:ind w:firstLine="0" w:firstLineChars="0"/>
              <w:rPr>
                <w:rFonts w:ascii="Times New Roman" w:hAnsi="Times New Roman" w:eastAsia="宋体" w:cs="Times New Roman"/>
                <w:bCs/>
                <w:color w:val="000000"/>
                <w:kern w:val="2"/>
                <w:sz w:val="21"/>
                <w:szCs w:val="21"/>
                <w:lang w:val="en-US" w:eastAsia="zh-CN" w:bidi="ar-SA"/>
              </w:rPr>
            </w:pPr>
            <w:r>
              <w:rPr>
                <w:rFonts w:hint="eastAsia"/>
                <w:lang w:val="en-US" w:eastAsia="zh-CN"/>
              </w:rPr>
              <w:t>+3.6</w:t>
            </w:r>
            <w:r>
              <w:rPr>
                <w:rFonts w:hint="eastAsia"/>
              </w:rPr>
              <w:t>t/a</w:t>
            </w:r>
          </w:p>
        </w:tc>
      </w:tr>
      <w:tr w14:paraId="4CE73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95F49A5">
            <w:pPr>
              <w:pStyle w:val="55"/>
            </w:pPr>
          </w:p>
        </w:tc>
        <w:tc>
          <w:tcPr>
            <w:tcW w:w="629" w:type="pct"/>
            <w:shd w:val="clear" w:color="auto" w:fill="auto"/>
            <w:vAlign w:val="center"/>
          </w:tcPr>
          <w:p w14:paraId="53B9C336">
            <w:pPr>
              <w:pStyle w:val="55"/>
              <w:ind w:firstLine="0" w:firstLineChars="0"/>
              <w:rPr>
                <w:rFonts w:hint="default" w:eastAsia="宋体"/>
                <w:lang w:val="en-US" w:eastAsia="zh-CN"/>
              </w:rPr>
            </w:pPr>
            <w:r>
              <w:rPr>
                <w:rFonts w:hint="eastAsia"/>
                <w:lang w:val="en-US" w:eastAsia="zh-CN"/>
              </w:rPr>
              <w:t>化粪池污泥</w:t>
            </w:r>
          </w:p>
        </w:tc>
        <w:tc>
          <w:tcPr>
            <w:tcW w:w="598" w:type="pct"/>
            <w:shd w:val="clear" w:color="auto" w:fill="auto"/>
            <w:vAlign w:val="center"/>
          </w:tcPr>
          <w:p w14:paraId="56B8C37E">
            <w:pPr>
              <w:pStyle w:val="55"/>
              <w:ind w:firstLine="0" w:firstLineChars="0"/>
              <w:rPr>
                <w:rFonts w:hint="eastAsia" w:eastAsia="宋体"/>
                <w:lang w:val="en-US" w:eastAsia="zh-CN"/>
              </w:rPr>
            </w:pPr>
            <w:r>
              <w:rPr>
                <w:rFonts w:hint="eastAsia"/>
                <w:lang w:val="en-US" w:eastAsia="zh-CN"/>
              </w:rPr>
              <w:t>/</w:t>
            </w:r>
          </w:p>
        </w:tc>
        <w:tc>
          <w:tcPr>
            <w:tcW w:w="443" w:type="pct"/>
            <w:shd w:val="clear" w:color="auto" w:fill="auto"/>
            <w:vAlign w:val="center"/>
          </w:tcPr>
          <w:p w14:paraId="5939455D">
            <w:pPr>
              <w:pStyle w:val="55"/>
              <w:ind w:firstLine="0" w:firstLineChars="0"/>
              <w:rPr>
                <w:rFonts w:hint="eastAsia" w:eastAsia="宋体"/>
                <w:lang w:val="en-US" w:eastAsia="zh-CN"/>
              </w:rPr>
            </w:pPr>
            <w:r>
              <w:rPr>
                <w:rFonts w:hint="eastAsia"/>
                <w:lang w:val="en-US" w:eastAsia="zh-CN"/>
              </w:rPr>
              <w:t>/</w:t>
            </w:r>
          </w:p>
        </w:tc>
        <w:tc>
          <w:tcPr>
            <w:tcW w:w="598" w:type="pct"/>
            <w:shd w:val="clear" w:color="auto" w:fill="auto"/>
            <w:vAlign w:val="center"/>
          </w:tcPr>
          <w:p w14:paraId="507E9314">
            <w:pPr>
              <w:pStyle w:val="55"/>
              <w:ind w:firstLine="0" w:firstLineChars="0"/>
              <w:rPr>
                <w:rFonts w:hint="eastAsia" w:eastAsia="宋体"/>
                <w:lang w:val="en-US" w:eastAsia="zh-CN"/>
              </w:rPr>
            </w:pPr>
            <w:r>
              <w:rPr>
                <w:rFonts w:hint="eastAsia"/>
                <w:lang w:val="en-US" w:eastAsia="zh-CN"/>
              </w:rPr>
              <w:t>/</w:t>
            </w:r>
          </w:p>
        </w:tc>
        <w:tc>
          <w:tcPr>
            <w:tcW w:w="547" w:type="pct"/>
            <w:shd w:val="clear" w:color="auto" w:fill="auto"/>
            <w:vAlign w:val="center"/>
          </w:tcPr>
          <w:p w14:paraId="29E65A12">
            <w:pPr>
              <w:pStyle w:val="55"/>
              <w:ind w:firstLine="0" w:firstLineChars="0"/>
              <w:rPr>
                <w:rFonts w:hint="eastAsia"/>
                <w:lang w:val="en-US" w:eastAsia="zh-CN"/>
              </w:rPr>
            </w:pPr>
            <w:r>
              <w:rPr>
                <w:rFonts w:hint="eastAsia"/>
              </w:rPr>
              <w:t>0.5t/a</w:t>
            </w:r>
          </w:p>
        </w:tc>
        <w:tc>
          <w:tcPr>
            <w:tcW w:w="620" w:type="pct"/>
            <w:shd w:val="clear" w:color="auto" w:fill="auto"/>
            <w:vAlign w:val="center"/>
          </w:tcPr>
          <w:p w14:paraId="016BB86A">
            <w:pPr>
              <w:pStyle w:val="55"/>
              <w:ind w:firstLine="0" w:firstLineChars="0"/>
              <w:rPr>
                <w:rFonts w:hint="eastAsia" w:eastAsia="宋体"/>
                <w:lang w:val="en-US" w:eastAsia="zh-CN"/>
              </w:rPr>
            </w:pPr>
            <w:r>
              <w:rPr>
                <w:rFonts w:hint="eastAsia"/>
                <w:lang w:val="en-US" w:eastAsia="zh-CN"/>
              </w:rPr>
              <w:t>0</w:t>
            </w:r>
          </w:p>
        </w:tc>
        <w:tc>
          <w:tcPr>
            <w:tcW w:w="692" w:type="pct"/>
            <w:shd w:val="clear" w:color="auto" w:fill="auto"/>
            <w:vAlign w:val="center"/>
          </w:tcPr>
          <w:p w14:paraId="5B5B638A">
            <w:pPr>
              <w:pStyle w:val="55"/>
              <w:ind w:firstLine="0" w:firstLineChars="0"/>
              <w:rPr>
                <w:rFonts w:hint="eastAsia"/>
                <w:lang w:val="en-US" w:eastAsia="zh-CN"/>
              </w:rPr>
            </w:pPr>
            <w:r>
              <w:rPr>
                <w:rFonts w:hint="eastAsia"/>
              </w:rPr>
              <w:t>0.5t/a</w:t>
            </w:r>
          </w:p>
        </w:tc>
        <w:tc>
          <w:tcPr>
            <w:tcW w:w="449" w:type="pct"/>
            <w:shd w:val="clear" w:color="auto" w:fill="auto"/>
            <w:vAlign w:val="center"/>
          </w:tcPr>
          <w:p w14:paraId="5BB85D5D">
            <w:pPr>
              <w:pStyle w:val="55"/>
              <w:ind w:firstLine="0" w:firstLineChars="0"/>
              <w:rPr>
                <w:rFonts w:hint="eastAsia"/>
                <w:lang w:val="en-US" w:eastAsia="zh-CN"/>
              </w:rPr>
            </w:pPr>
            <w:r>
              <w:rPr>
                <w:rFonts w:hint="eastAsia"/>
                <w:lang w:val="en-US" w:eastAsia="zh-CN"/>
              </w:rPr>
              <w:t>+</w:t>
            </w:r>
            <w:r>
              <w:rPr>
                <w:rFonts w:hint="eastAsia"/>
              </w:rPr>
              <w:t>0.5t/a</w:t>
            </w:r>
          </w:p>
        </w:tc>
      </w:tr>
      <w:tr w14:paraId="04ED2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1" w:type="pct"/>
            <w:vMerge w:val="restart"/>
            <w:vAlign w:val="center"/>
          </w:tcPr>
          <w:p w14:paraId="6F5A8EEE">
            <w:pPr>
              <w:pStyle w:val="55"/>
            </w:pPr>
            <w:r>
              <w:rPr>
                <w:rFonts w:hint="eastAsia"/>
              </w:rPr>
              <w:t>危险废物</w:t>
            </w:r>
          </w:p>
        </w:tc>
        <w:tc>
          <w:tcPr>
            <w:tcW w:w="629" w:type="pct"/>
            <w:vAlign w:val="center"/>
          </w:tcPr>
          <w:p w14:paraId="002A3F65">
            <w:pPr>
              <w:pStyle w:val="55"/>
              <w:rPr>
                <w:rFonts w:hint="eastAsia" w:eastAsia="宋体"/>
                <w:lang w:eastAsia="zh-CN"/>
              </w:rPr>
            </w:pPr>
            <w:r>
              <w:rPr>
                <w:rFonts w:hint="eastAsia"/>
                <w:lang w:eastAsia="zh-CN"/>
              </w:rPr>
              <w:t>废润滑油</w:t>
            </w:r>
          </w:p>
        </w:tc>
        <w:tc>
          <w:tcPr>
            <w:tcW w:w="598" w:type="pct"/>
            <w:vAlign w:val="center"/>
          </w:tcPr>
          <w:p w14:paraId="6FCEADC7">
            <w:pPr>
              <w:pStyle w:val="55"/>
            </w:pPr>
            <w:r>
              <w:rPr>
                <w:rFonts w:hint="eastAsia"/>
              </w:rPr>
              <w:t>/</w:t>
            </w:r>
          </w:p>
        </w:tc>
        <w:tc>
          <w:tcPr>
            <w:tcW w:w="443" w:type="pct"/>
            <w:vAlign w:val="center"/>
          </w:tcPr>
          <w:p w14:paraId="66ED8BF3">
            <w:pPr>
              <w:pStyle w:val="55"/>
            </w:pPr>
            <w:r>
              <w:rPr>
                <w:rFonts w:hint="eastAsia"/>
              </w:rPr>
              <w:t>/</w:t>
            </w:r>
          </w:p>
        </w:tc>
        <w:tc>
          <w:tcPr>
            <w:tcW w:w="598" w:type="pct"/>
            <w:vAlign w:val="center"/>
          </w:tcPr>
          <w:p w14:paraId="421EDDA4">
            <w:pPr>
              <w:pStyle w:val="55"/>
            </w:pPr>
            <w:r>
              <w:rPr>
                <w:rFonts w:hint="eastAsia"/>
              </w:rPr>
              <w:t>/</w:t>
            </w:r>
          </w:p>
        </w:tc>
        <w:tc>
          <w:tcPr>
            <w:tcW w:w="547" w:type="pct"/>
            <w:vAlign w:val="center"/>
          </w:tcPr>
          <w:p w14:paraId="3529B9CA">
            <w:pPr>
              <w:pStyle w:val="55"/>
            </w:pPr>
            <w:r>
              <w:rPr>
                <w:rFonts w:hint="eastAsia"/>
              </w:rPr>
              <w:t>0.</w:t>
            </w:r>
            <w:r>
              <w:rPr>
                <w:rFonts w:hint="eastAsia"/>
                <w:lang w:val="en-US" w:eastAsia="zh-CN"/>
              </w:rPr>
              <w:t>1</w:t>
            </w:r>
            <w:r>
              <w:rPr>
                <w:rFonts w:hint="eastAsia"/>
              </w:rPr>
              <w:t>t/a</w:t>
            </w:r>
          </w:p>
        </w:tc>
        <w:tc>
          <w:tcPr>
            <w:tcW w:w="620" w:type="pct"/>
            <w:vAlign w:val="center"/>
          </w:tcPr>
          <w:p w14:paraId="1CC952BA">
            <w:pPr>
              <w:pStyle w:val="55"/>
            </w:pPr>
            <w:r>
              <w:rPr>
                <w:rFonts w:hint="eastAsia"/>
              </w:rPr>
              <w:t>0</w:t>
            </w:r>
          </w:p>
        </w:tc>
        <w:tc>
          <w:tcPr>
            <w:tcW w:w="692" w:type="pct"/>
            <w:vAlign w:val="center"/>
          </w:tcPr>
          <w:p w14:paraId="727762F6">
            <w:pPr>
              <w:pStyle w:val="55"/>
            </w:pPr>
            <w:r>
              <w:rPr>
                <w:rFonts w:hint="eastAsia"/>
              </w:rPr>
              <w:t>0.</w:t>
            </w:r>
            <w:r>
              <w:rPr>
                <w:rFonts w:hint="eastAsia"/>
                <w:lang w:val="en-US" w:eastAsia="zh-CN"/>
              </w:rPr>
              <w:t>1</w:t>
            </w:r>
            <w:r>
              <w:rPr>
                <w:rFonts w:hint="eastAsia"/>
              </w:rPr>
              <w:t>t/a</w:t>
            </w:r>
          </w:p>
        </w:tc>
        <w:tc>
          <w:tcPr>
            <w:tcW w:w="449" w:type="pct"/>
            <w:vAlign w:val="center"/>
          </w:tcPr>
          <w:p w14:paraId="691C7CD0">
            <w:pPr>
              <w:pStyle w:val="55"/>
            </w:pPr>
            <w:r>
              <w:rPr>
                <w:rFonts w:hint="eastAsia"/>
                <w:lang w:val="en-US" w:eastAsia="zh-CN"/>
              </w:rPr>
              <w:t>+</w:t>
            </w:r>
            <w:r>
              <w:rPr>
                <w:rFonts w:hint="eastAsia"/>
              </w:rPr>
              <w:t>0.</w:t>
            </w:r>
            <w:r>
              <w:rPr>
                <w:rFonts w:hint="eastAsia"/>
                <w:lang w:val="en-US" w:eastAsia="zh-CN"/>
              </w:rPr>
              <w:t>1</w:t>
            </w:r>
            <w:r>
              <w:rPr>
                <w:rFonts w:hint="eastAsia"/>
              </w:rPr>
              <w:t>t/a</w:t>
            </w:r>
          </w:p>
        </w:tc>
      </w:tr>
      <w:tr w14:paraId="447C5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421" w:type="pct"/>
            <w:vMerge w:val="continue"/>
            <w:vAlign w:val="center"/>
          </w:tcPr>
          <w:p w14:paraId="4B226ABC">
            <w:pPr>
              <w:pStyle w:val="55"/>
              <w:rPr>
                <w:rFonts w:hint="eastAsia"/>
              </w:rPr>
            </w:pPr>
          </w:p>
        </w:tc>
        <w:tc>
          <w:tcPr>
            <w:tcW w:w="629" w:type="pct"/>
            <w:vAlign w:val="center"/>
          </w:tcPr>
          <w:p w14:paraId="6BBFAEC8">
            <w:pPr>
              <w:pStyle w:val="55"/>
              <w:rPr>
                <w:rFonts w:hint="eastAsia"/>
                <w:lang w:eastAsia="zh-CN"/>
              </w:rPr>
            </w:pPr>
            <w:r>
              <w:rPr>
                <w:rFonts w:hint="eastAsia"/>
                <w:lang w:val="en-US" w:eastAsia="zh-CN"/>
              </w:rPr>
              <w:t>废油桶</w:t>
            </w:r>
          </w:p>
        </w:tc>
        <w:tc>
          <w:tcPr>
            <w:tcW w:w="598" w:type="pct"/>
            <w:vAlign w:val="center"/>
          </w:tcPr>
          <w:p w14:paraId="20C7119B">
            <w:pPr>
              <w:pStyle w:val="55"/>
              <w:ind w:firstLine="0" w:firstLineChars="0"/>
              <w:rPr>
                <w:rFonts w:hint="eastAsia"/>
              </w:rPr>
            </w:pPr>
            <w:r>
              <w:rPr>
                <w:rFonts w:hint="eastAsia"/>
              </w:rPr>
              <w:t>/</w:t>
            </w:r>
          </w:p>
        </w:tc>
        <w:tc>
          <w:tcPr>
            <w:tcW w:w="443" w:type="pct"/>
            <w:vAlign w:val="center"/>
          </w:tcPr>
          <w:p w14:paraId="27766351">
            <w:pPr>
              <w:pStyle w:val="55"/>
              <w:ind w:firstLine="0" w:firstLineChars="0"/>
              <w:rPr>
                <w:rFonts w:hint="eastAsia"/>
              </w:rPr>
            </w:pPr>
            <w:r>
              <w:rPr>
                <w:rFonts w:hint="eastAsia"/>
              </w:rPr>
              <w:t>/</w:t>
            </w:r>
          </w:p>
        </w:tc>
        <w:tc>
          <w:tcPr>
            <w:tcW w:w="598" w:type="pct"/>
            <w:vAlign w:val="center"/>
          </w:tcPr>
          <w:p w14:paraId="38BB35C5">
            <w:pPr>
              <w:pStyle w:val="55"/>
              <w:ind w:firstLine="0" w:firstLineChars="0"/>
              <w:rPr>
                <w:rFonts w:hint="eastAsia"/>
              </w:rPr>
            </w:pPr>
            <w:r>
              <w:rPr>
                <w:rFonts w:hint="eastAsia"/>
              </w:rPr>
              <w:t>/</w:t>
            </w:r>
          </w:p>
        </w:tc>
        <w:tc>
          <w:tcPr>
            <w:tcW w:w="547" w:type="pct"/>
            <w:vAlign w:val="center"/>
          </w:tcPr>
          <w:p w14:paraId="196E20D6">
            <w:pPr>
              <w:pStyle w:val="55"/>
              <w:ind w:firstLine="0" w:firstLineChars="0"/>
              <w:rPr>
                <w:rFonts w:hint="eastAsia"/>
              </w:rPr>
            </w:pPr>
            <w:r>
              <w:rPr>
                <w:rFonts w:hint="eastAsia"/>
              </w:rPr>
              <w:t>0.</w:t>
            </w:r>
            <w:r>
              <w:rPr>
                <w:rFonts w:hint="eastAsia"/>
                <w:lang w:val="en-US" w:eastAsia="zh-CN"/>
              </w:rPr>
              <w:t>1</w:t>
            </w:r>
            <w:r>
              <w:rPr>
                <w:rFonts w:hint="eastAsia"/>
              </w:rPr>
              <w:t>t/a</w:t>
            </w:r>
          </w:p>
        </w:tc>
        <w:tc>
          <w:tcPr>
            <w:tcW w:w="620" w:type="pct"/>
            <w:vAlign w:val="center"/>
          </w:tcPr>
          <w:p w14:paraId="7B774965">
            <w:pPr>
              <w:pStyle w:val="55"/>
              <w:ind w:firstLine="0" w:firstLineChars="0"/>
              <w:rPr>
                <w:rFonts w:hint="eastAsia"/>
              </w:rPr>
            </w:pPr>
            <w:r>
              <w:rPr>
                <w:rFonts w:hint="eastAsia"/>
              </w:rPr>
              <w:t>0</w:t>
            </w:r>
          </w:p>
        </w:tc>
        <w:tc>
          <w:tcPr>
            <w:tcW w:w="692" w:type="pct"/>
            <w:vAlign w:val="center"/>
          </w:tcPr>
          <w:p w14:paraId="1418808B">
            <w:pPr>
              <w:pStyle w:val="55"/>
              <w:ind w:firstLine="0" w:firstLineChars="0"/>
              <w:rPr>
                <w:rFonts w:hint="eastAsia"/>
              </w:rPr>
            </w:pPr>
            <w:r>
              <w:rPr>
                <w:rFonts w:hint="eastAsia"/>
              </w:rPr>
              <w:t>0.</w:t>
            </w:r>
            <w:r>
              <w:rPr>
                <w:rFonts w:hint="eastAsia"/>
                <w:lang w:val="en-US" w:eastAsia="zh-CN"/>
              </w:rPr>
              <w:t>1</w:t>
            </w:r>
            <w:r>
              <w:rPr>
                <w:rFonts w:hint="eastAsia"/>
              </w:rPr>
              <w:t>t/a</w:t>
            </w:r>
          </w:p>
        </w:tc>
        <w:tc>
          <w:tcPr>
            <w:tcW w:w="449" w:type="pct"/>
            <w:vAlign w:val="center"/>
          </w:tcPr>
          <w:p w14:paraId="409384A2">
            <w:pPr>
              <w:pStyle w:val="55"/>
              <w:ind w:firstLine="0" w:firstLineChars="0"/>
              <w:rPr>
                <w:rFonts w:hint="eastAsia"/>
                <w:lang w:val="en-US" w:eastAsia="zh-CN"/>
              </w:rPr>
            </w:pPr>
            <w:r>
              <w:rPr>
                <w:rFonts w:hint="eastAsia"/>
                <w:lang w:val="en-US" w:eastAsia="zh-CN"/>
              </w:rPr>
              <w:t>+</w:t>
            </w:r>
            <w:r>
              <w:rPr>
                <w:rFonts w:hint="eastAsia"/>
              </w:rPr>
              <w:t>0.</w:t>
            </w:r>
            <w:r>
              <w:rPr>
                <w:rFonts w:hint="eastAsia"/>
                <w:lang w:val="en-US" w:eastAsia="zh-CN"/>
              </w:rPr>
              <w:t>1</w:t>
            </w:r>
            <w:r>
              <w:rPr>
                <w:rFonts w:hint="eastAsia"/>
              </w:rPr>
              <w:t>t/a</w:t>
            </w:r>
          </w:p>
        </w:tc>
      </w:tr>
    </w:tbl>
    <w:p w14:paraId="04CD2BB4">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p>
    <w:sectPr>
      <w:pgSz w:w="16838" w:h="11906" w:orient="landscape"/>
      <w:pgMar w:top="1531" w:right="1701" w:bottom="1531" w:left="170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79F1B90-618A-4824-8877-8EF5BBB57C74}"/>
  </w:font>
  <w:font w:name="黑体">
    <w:panose1 w:val="02010609060101010101"/>
    <w:charset w:val="86"/>
    <w:family w:val="auto"/>
    <w:pitch w:val="default"/>
    <w:sig w:usb0="800002BF" w:usb1="38CF7CFA" w:usb2="00000016" w:usb3="00000000" w:csb0="00040001" w:csb1="00000000"/>
    <w:embedRegular r:id="rId2" w:fontKey="{9B8C048E-20A7-4816-A318-E2E4248E03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4647FBE-B9A0-41AF-8419-8B85426EAAD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334DEB1-B479-4C46-B514-F592C6169DDA}"/>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embedRegular r:id="rId5" w:fontKey="{8C233A24-7E23-4AC2-93D9-4077BC74F733}"/>
  </w:font>
  <w:font w:name="方正小标宋_GBK">
    <w:panose1 w:val="03000509000000000000"/>
    <w:charset w:val="86"/>
    <w:family w:val="script"/>
    <w:pitch w:val="default"/>
    <w:sig w:usb0="00000001" w:usb1="080E0000" w:usb2="00000000" w:usb3="00000000" w:csb0="00040000" w:csb1="00000000"/>
    <w:embedRegular r:id="rId6" w:fontKey="{A75A3E0B-D41B-4B75-88C0-56AAA3695642}"/>
  </w:font>
  <w:font w:name="楷体_GB2312">
    <w:panose1 w:val="02010609030101010101"/>
    <w:charset w:val="86"/>
    <w:family w:val="modern"/>
    <w:pitch w:val="default"/>
    <w:sig w:usb0="00000001" w:usb1="080E0000" w:usb2="00000000" w:usb3="00000000" w:csb0="00040000" w:csb1="00000000"/>
    <w:embedRegular r:id="rId7" w:fontKey="{0D62AEA6-4719-47B6-AE44-6C0682185761}"/>
  </w:font>
  <w:font w:name="Wingdings 2">
    <w:panose1 w:val="05020102010507070707"/>
    <w:charset w:val="02"/>
    <w:family w:val="roman"/>
    <w:pitch w:val="default"/>
    <w:sig w:usb0="00000000" w:usb1="00000000" w:usb2="00000000" w:usb3="00000000" w:csb0="80000000" w:csb1="00000000"/>
    <w:embedRegular r:id="rId8" w:fontKey="{F0FE6EBB-449D-4109-B41C-195F95D3CAD8}"/>
  </w:font>
  <w:font w:name="CIDFont">
    <w:altName w:val="ESRI AMFM Electric"/>
    <w:panose1 w:val="00000000000000000000"/>
    <w:charset w:val="00"/>
    <w:family w:val="auto"/>
    <w:pitch w:val="default"/>
    <w:sig w:usb0="00000000" w:usb1="00000000" w:usb2="00000000" w:usb3="00000000" w:csb0="00000000" w:csb1="00000000"/>
    <w:embedRegular r:id="rId9" w:fontKey="{1A5E3827-C5EC-4958-A877-686DAFAAD607}"/>
  </w:font>
  <w:font w:name="ESRI AMFM Electric">
    <w:panose1 w:val="02000400000000000000"/>
    <w:charset w:val="00"/>
    <w:family w:val="auto"/>
    <w:pitch w:val="default"/>
    <w:sig w:usb0="00000003" w:usb1="00000000" w:usb2="00000000" w:usb3="00000000" w:csb0="00000001" w:csb1="00000000"/>
  </w:font>
  <w:font w:name="䅂䍄䕅⯋컌">
    <w:altName w:val="Segoe Print"/>
    <w:panose1 w:val="00000000000000000000"/>
    <w:charset w:val="00"/>
    <w:family w:val="auto"/>
    <w:pitch w:val="default"/>
    <w:sig w:usb0="00000000" w:usb1="00000000" w:usb2="00000000" w:usb3="00000000" w:csb0="00000000" w:csb1="00000000"/>
    <w:embedRegular r:id="rId10" w:fontKey="{9D81B47D-9715-457F-9C48-A2CC6D4E5FD0}"/>
  </w:font>
  <w:font w:name="Segoe Print">
    <w:panose1 w:val="02000600000000000000"/>
    <w:charset w:val="00"/>
    <w:family w:val="auto"/>
    <w:pitch w:val="default"/>
    <w:sig w:usb0="0000028F" w:usb1="00000000" w:usb2="00000000" w:usb3="00000000" w:csb0="2000009F" w:csb1="47010000"/>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1224D">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FE46D">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30935" cy="346075"/>
              <wp:effectExtent l="0" t="0" r="0" b="0"/>
              <wp:wrapNone/>
              <wp:docPr id="2" name="文本框 2049"/>
              <wp:cNvGraphicFramePr/>
              <a:graphic xmlns:a="http://schemas.openxmlformats.org/drawingml/2006/main">
                <a:graphicData uri="http://schemas.microsoft.com/office/word/2010/wordprocessingShape">
                  <wps:wsp>
                    <wps:cNvSpPr txBox="1">
                      <a:spLocks noChangeArrowheads="1"/>
                    </wps:cNvSpPr>
                    <wps:spPr bwMode="auto">
                      <a:xfrm>
                        <a:off x="0" y="0"/>
                        <a:ext cx="1130935" cy="346075"/>
                      </a:xfrm>
                      <a:prstGeom prst="rect">
                        <a:avLst/>
                      </a:prstGeom>
                      <a:noFill/>
                      <a:ln>
                        <a:noFill/>
                      </a:ln>
                    </wps:spPr>
                    <wps:txbx>
                      <w:txbxContent>
                        <w:p w14:paraId="1660BF85">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2049" o:spid="_x0000_s1026" o:spt="202" type="#_x0000_t202" style="position:absolute;left:0pt;margin-top:0pt;height:27.25pt;width:89.05pt;mso-position-horizontal:center;mso-position-horizontal-relative:margin;mso-wrap-style:none;z-index:251659264;mso-width-relative:page;mso-height-relative:page;" filled="f" stroked="f" coordsize="21600,21600" o:gfxdata="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66UM0gAAAAQBAAAPAAAAAAAAAAEAIAAAACIA&#10;AABkcnMvZG93bnJldi54bWxQSwECFAAUAAAACACHTuJAriWhqw8CAAAGBAAADgAAAAAAAAABACAA&#10;AAAhAQAAZHJzL2Uyb0RvYy54bWxQSwUGAAAAAAYABgBZAQAAogUAAAAA&#10;">
              <v:fill on="f" focussize="0,0"/>
              <v:stroke on="f"/>
              <v:imagedata o:title=""/>
              <o:lock v:ext="edit" aspectratio="f"/>
              <v:textbox inset="0mm,0mm,0mm,0mm" style="mso-fit-shape-to-text:t;">
                <w:txbxContent>
                  <w:p w14:paraId="1660BF85">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D381">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30935" cy="346075"/>
              <wp:effectExtent l="0" t="0" r="0" b="0"/>
              <wp:wrapNone/>
              <wp:docPr id="1"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1130935" cy="346075"/>
                      </a:xfrm>
                      <a:prstGeom prst="rect">
                        <a:avLst/>
                      </a:prstGeom>
                      <a:noFill/>
                      <a:ln>
                        <a:noFill/>
                      </a:ln>
                    </wps:spPr>
                    <wps:txbx>
                      <w:txbxContent>
                        <w:p w14:paraId="4F771F50">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51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27.25pt;width:89.05pt;mso-position-horizontal:center;mso-position-horizontal-relative:margin;mso-wrap-style:none;z-index:251660288;mso-width-relative:page;mso-height-relative:page;" filled="f" stroked="f" coordsize="21600,21600" o:gfxdata="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rpQzSAAAABAEAAA8AAAAAAAAAAQAgAAAAIgAA&#10;AGRycy9kb3ducmV2LnhtbFBLAQIUABQAAAAIAIdO4kDFD0ySDgIAAAYEAAAOAAAAAAAAAAEAIAAA&#10;ACEBAABkcnMvZTJvRG9jLnhtbFBLBQYAAAAABgAGAFkBAAChBQAAAAA=&#10;">
              <v:fill on="f" focussize="0,0"/>
              <v:stroke on="f"/>
              <v:imagedata o:title=""/>
              <o:lock v:ext="edit" aspectratio="f"/>
              <v:textbox inset="0mm,0mm,0mm,0mm" style="mso-fit-shape-to-text:t;">
                <w:txbxContent>
                  <w:p w14:paraId="4F771F50">
                    <w:pPr>
                      <w:pStyle w:val="18"/>
                      <w:ind w:firstLine="560"/>
                      <w:rPr>
                        <w:rStyle w:val="34"/>
                        <w:rFonts w:hint="eastAsia"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51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E34D2"/>
    <w:multiLevelType w:val="singleLevel"/>
    <w:tmpl w:val="09AE34D2"/>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7"/>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7889E55C"/>
    <w:multiLevelType w:val="singleLevel"/>
    <w:tmpl w:val="7889E55C"/>
    <w:lvl w:ilvl="0" w:tentative="0">
      <w:start w:val="4"/>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hNzc2ZTJkNzU3Mjg2ZmFjNWJmZGJjNWExZTQxODEifQ=="/>
  </w:docVars>
  <w:rsids>
    <w:rsidRoot w:val="00A14947"/>
    <w:rsid w:val="000060B3"/>
    <w:rsid w:val="00022175"/>
    <w:rsid w:val="0004238F"/>
    <w:rsid w:val="000428A0"/>
    <w:rsid w:val="0004364B"/>
    <w:rsid w:val="00061B1F"/>
    <w:rsid w:val="00072C34"/>
    <w:rsid w:val="000733C4"/>
    <w:rsid w:val="00074783"/>
    <w:rsid w:val="0008070B"/>
    <w:rsid w:val="000810AC"/>
    <w:rsid w:val="000812FF"/>
    <w:rsid w:val="00081A02"/>
    <w:rsid w:val="00082231"/>
    <w:rsid w:val="00092D38"/>
    <w:rsid w:val="0009377B"/>
    <w:rsid w:val="000A20C9"/>
    <w:rsid w:val="000A675E"/>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0E85"/>
    <w:rsid w:val="002043C3"/>
    <w:rsid w:val="002125B4"/>
    <w:rsid w:val="002155B8"/>
    <w:rsid w:val="00224839"/>
    <w:rsid w:val="002249B2"/>
    <w:rsid w:val="00226574"/>
    <w:rsid w:val="002278EC"/>
    <w:rsid w:val="0023280E"/>
    <w:rsid w:val="00236FBD"/>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97D92"/>
    <w:rsid w:val="003A0B08"/>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433"/>
    <w:rsid w:val="004E6946"/>
    <w:rsid w:val="004F1AD8"/>
    <w:rsid w:val="004F6D45"/>
    <w:rsid w:val="005039CB"/>
    <w:rsid w:val="0050558F"/>
    <w:rsid w:val="00506286"/>
    <w:rsid w:val="00510813"/>
    <w:rsid w:val="00511990"/>
    <w:rsid w:val="00511DE0"/>
    <w:rsid w:val="00514870"/>
    <w:rsid w:val="00514A10"/>
    <w:rsid w:val="00514B9B"/>
    <w:rsid w:val="00517F02"/>
    <w:rsid w:val="00524303"/>
    <w:rsid w:val="005258A2"/>
    <w:rsid w:val="005401AE"/>
    <w:rsid w:val="00542E07"/>
    <w:rsid w:val="00545424"/>
    <w:rsid w:val="00554A7B"/>
    <w:rsid w:val="0055572C"/>
    <w:rsid w:val="0056106A"/>
    <w:rsid w:val="005720AE"/>
    <w:rsid w:val="00577718"/>
    <w:rsid w:val="00594D77"/>
    <w:rsid w:val="005969E4"/>
    <w:rsid w:val="005A06B7"/>
    <w:rsid w:val="005A1759"/>
    <w:rsid w:val="005A68A7"/>
    <w:rsid w:val="005D36AB"/>
    <w:rsid w:val="005E343B"/>
    <w:rsid w:val="00617CC3"/>
    <w:rsid w:val="00634A60"/>
    <w:rsid w:val="006377A6"/>
    <w:rsid w:val="00637A3D"/>
    <w:rsid w:val="006411EF"/>
    <w:rsid w:val="006678F4"/>
    <w:rsid w:val="006748B8"/>
    <w:rsid w:val="006775C3"/>
    <w:rsid w:val="0069290A"/>
    <w:rsid w:val="0069775A"/>
    <w:rsid w:val="00697813"/>
    <w:rsid w:val="006A3EE8"/>
    <w:rsid w:val="006A72BF"/>
    <w:rsid w:val="006B03F2"/>
    <w:rsid w:val="006B098C"/>
    <w:rsid w:val="006B37DC"/>
    <w:rsid w:val="006B4F68"/>
    <w:rsid w:val="006C0592"/>
    <w:rsid w:val="006C272E"/>
    <w:rsid w:val="006C5479"/>
    <w:rsid w:val="006D13B5"/>
    <w:rsid w:val="006D3031"/>
    <w:rsid w:val="006E12FF"/>
    <w:rsid w:val="006E607E"/>
    <w:rsid w:val="007007DA"/>
    <w:rsid w:val="00706C5D"/>
    <w:rsid w:val="00732922"/>
    <w:rsid w:val="0075162E"/>
    <w:rsid w:val="00754034"/>
    <w:rsid w:val="00756556"/>
    <w:rsid w:val="007618C4"/>
    <w:rsid w:val="00767980"/>
    <w:rsid w:val="00770B19"/>
    <w:rsid w:val="0077463F"/>
    <w:rsid w:val="0078101B"/>
    <w:rsid w:val="007836EA"/>
    <w:rsid w:val="00784CDA"/>
    <w:rsid w:val="007906C4"/>
    <w:rsid w:val="007940EA"/>
    <w:rsid w:val="007967E8"/>
    <w:rsid w:val="007A2170"/>
    <w:rsid w:val="007A22BF"/>
    <w:rsid w:val="007A3323"/>
    <w:rsid w:val="007B72B8"/>
    <w:rsid w:val="007B7A58"/>
    <w:rsid w:val="007C21B5"/>
    <w:rsid w:val="007E0412"/>
    <w:rsid w:val="007E4BD2"/>
    <w:rsid w:val="00801393"/>
    <w:rsid w:val="00802F88"/>
    <w:rsid w:val="0081207C"/>
    <w:rsid w:val="0081293E"/>
    <w:rsid w:val="00815465"/>
    <w:rsid w:val="00817E9A"/>
    <w:rsid w:val="008306BD"/>
    <w:rsid w:val="00831A80"/>
    <w:rsid w:val="00833743"/>
    <w:rsid w:val="008340A4"/>
    <w:rsid w:val="0087135F"/>
    <w:rsid w:val="00872D94"/>
    <w:rsid w:val="00880364"/>
    <w:rsid w:val="00891592"/>
    <w:rsid w:val="00891E9E"/>
    <w:rsid w:val="008955AF"/>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0F4F"/>
    <w:rsid w:val="0094154D"/>
    <w:rsid w:val="0095155F"/>
    <w:rsid w:val="00954429"/>
    <w:rsid w:val="009563CE"/>
    <w:rsid w:val="0097571C"/>
    <w:rsid w:val="00975D66"/>
    <w:rsid w:val="00976328"/>
    <w:rsid w:val="0097680D"/>
    <w:rsid w:val="00982438"/>
    <w:rsid w:val="0098404C"/>
    <w:rsid w:val="00985283"/>
    <w:rsid w:val="009925D4"/>
    <w:rsid w:val="00995992"/>
    <w:rsid w:val="009A03E5"/>
    <w:rsid w:val="009A0F3B"/>
    <w:rsid w:val="009A1BB4"/>
    <w:rsid w:val="009A2628"/>
    <w:rsid w:val="009A3200"/>
    <w:rsid w:val="009B0897"/>
    <w:rsid w:val="009B7BD9"/>
    <w:rsid w:val="009C7DD5"/>
    <w:rsid w:val="009E0702"/>
    <w:rsid w:val="009E227D"/>
    <w:rsid w:val="009E5019"/>
    <w:rsid w:val="00A004EC"/>
    <w:rsid w:val="00A04F1B"/>
    <w:rsid w:val="00A0501B"/>
    <w:rsid w:val="00A14947"/>
    <w:rsid w:val="00A32A83"/>
    <w:rsid w:val="00A368DB"/>
    <w:rsid w:val="00A423AA"/>
    <w:rsid w:val="00A53EC6"/>
    <w:rsid w:val="00A55C0F"/>
    <w:rsid w:val="00A56F57"/>
    <w:rsid w:val="00A8713F"/>
    <w:rsid w:val="00A90BA1"/>
    <w:rsid w:val="00A95180"/>
    <w:rsid w:val="00A97A9A"/>
    <w:rsid w:val="00AA0671"/>
    <w:rsid w:val="00AA2531"/>
    <w:rsid w:val="00AB1E09"/>
    <w:rsid w:val="00AB5330"/>
    <w:rsid w:val="00AB55A1"/>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043F"/>
    <w:rsid w:val="00BF1C20"/>
    <w:rsid w:val="00BF63B1"/>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299F"/>
    <w:rsid w:val="00C972B1"/>
    <w:rsid w:val="00CA2CCE"/>
    <w:rsid w:val="00CA43FD"/>
    <w:rsid w:val="00CA7EF8"/>
    <w:rsid w:val="00CC489B"/>
    <w:rsid w:val="00CD2835"/>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600C5"/>
    <w:rsid w:val="00D94A7C"/>
    <w:rsid w:val="00D95896"/>
    <w:rsid w:val="00DA1C23"/>
    <w:rsid w:val="00DB2983"/>
    <w:rsid w:val="00DC1257"/>
    <w:rsid w:val="00DC3DC0"/>
    <w:rsid w:val="00DC5146"/>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2CC3"/>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E7A40"/>
    <w:rsid w:val="011C5AF5"/>
    <w:rsid w:val="01264249"/>
    <w:rsid w:val="01290F7E"/>
    <w:rsid w:val="015D1E09"/>
    <w:rsid w:val="015F79CF"/>
    <w:rsid w:val="017F3E01"/>
    <w:rsid w:val="01803FFF"/>
    <w:rsid w:val="01963E9D"/>
    <w:rsid w:val="01A100B2"/>
    <w:rsid w:val="01CE6485"/>
    <w:rsid w:val="01D53544"/>
    <w:rsid w:val="01DA6E54"/>
    <w:rsid w:val="01F62BA3"/>
    <w:rsid w:val="02023254"/>
    <w:rsid w:val="020C008E"/>
    <w:rsid w:val="02350C77"/>
    <w:rsid w:val="02697903"/>
    <w:rsid w:val="02742203"/>
    <w:rsid w:val="0292039D"/>
    <w:rsid w:val="02963DF0"/>
    <w:rsid w:val="02D74B40"/>
    <w:rsid w:val="02F271F8"/>
    <w:rsid w:val="02F95CC6"/>
    <w:rsid w:val="02F96569"/>
    <w:rsid w:val="0301504D"/>
    <w:rsid w:val="030A611F"/>
    <w:rsid w:val="032D4760"/>
    <w:rsid w:val="033804D9"/>
    <w:rsid w:val="03457B76"/>
    <w:rsid w:val="0348035B"/>
    <w:rsid w:val="038F1F05"/>
    <w:rsid w:val="03B92498"/>
    <w:rsid w:val="03E46B0E"/>
    <w:rsid w:val="03EA7B21"/>
    <w:rsid w:val="040374EF"/>
    <w:rsid w:val="0422003D"/>
    <w:rsid w:val="04455AD9"/>
    <w:rsid w:val="04874344"/>
    <w:rsid w:val="04932CE9"/>
    <w:rsid w:val="04BD7D66"/>
    <w:rsid w:val="04C17856"/>
    <w:rsid w:val="04DA0136"/>
    <w:rsid w:val="05084D9D"/>
    <w:rsid w:val="05127403"/>
    <w:rsid w:val="052027CE"/>
    <w:rsid w:val="05685DCD"/>
    <w:rsid w:val="056A7C4C"/>
    <w:rsid w:val="05740424"/>
    <w:rsid w:val="05BB1A9E"/>
    <w:rsid w:val="05D627C6"/>
    <w:rsid w:val="05DB2946"/>
    <w:rsid w:val="05EF03F3"/>
    <w:rsid w:val="05F83EAE"/>
    <w:rsid w:val="06353D33"/>
    <w:rsid w:val="063E7D85"/>
    <w:rsid w:val="06484C69"/>
    <w:rsid w:val="06610F05"/>
    <w:rsid w:val="06E51536"/>
    <w:rsid w:val="07293586"/>
    <w:rsid w:val="07295285"/>
    <w:rsid w:val="074E5747"/>
    <w:rsid w:val="075F2B2E"/>
    <w:rsid w:val="07636392"/>
    <w:rsid w:val="07770C56"/>
    <w:rsid w:val="07843CE9"/>
    <w:rsid w:val="079066D4"/>
    <w:rsid w:val="07A10C99"/>
    <w:rsid w:val="07AB0349"/>
    <w:rsid w:val="07AF4CEC"/>
    <w:rsid w:val="07DB0C2F"/>
    <w:rsid w:val="082076BF"/>
    <w:rsid w:val="08280F04"/>
    <w:rsid w:val="083C35B7"/>
    <w:rsid w:val="08797C8C"/>
    <w:rsid w:val="08A74FB5"/>
    <w:rsid w:val="08EB0B38"/>
    <w:rsid w:val="09060B0B"/>
    <w:rsid w:val="09135B45"/>
    <w:rsid w:val="092217DD"/>
    <w:rsid w:val="093A7294"/>
    <w:rsid w:val="09581E0B"/>
    <w:rsid w:val="09753088"/>
    <w:rsid w:val="09F61B59"/>
    <w:rsid w:val="09FA2F0D"/>
    <w:rsid w:val="0A1133A7"/>
    <w:rsid w:val="0A263993"/>
    <w:rsid w:val="0A2D3AC2"/>
    <w:rsid w:val="0A691B96"/>
    <w:rsid w:val="0A9C18E9"/>
    <w:rsid w:val="0AA755DF"/>
    <w:rsid w:val="0AB15C77"/>
    <w:rsid w:val="0AC86757"/>
    <w:rsid w:val="0ACA0AE6"/>
    <w:rsid w:val="0AEA1025"/>
    <w:rsid w:val="0B120D44"/>
    <w:rsid w:val="0B58169C"/>
    <w:rsid w:val="0B8909A2"/>
    <w:rsid w:val="0BA96403"/>
    <w:rsid w:val="0BB56C27"/>
    <w:rsid w:val="0BB974D9"/>
    <w:rsid w:val="0BCD5BAD"/>
    <w:rsid w:val="0BCF2858"/>
    <w:rsid w:val="0BD27BF6"/>
    <w:rsid w:val="0C1939C9"/>
    <w:rsid w:val="0C22507E"/>
    <w:rsid w:val="0C28640C"/>
    <w:rsid w:val="0C30706F"/>
    <w:rsid w:val="0C335A35"/>
    <w:rsid w:val="0C3B3C7D"/>
    <w:rsid w:val="0C4E2AF4"/>
    <w:rsid w:val="0C57463B"/>
    <w:rsid w:val="0C686809"/>
    <w:rsid w:val="0C7452A9"/>
    <w:rsid w:val="0C7D4392"/>
    <w:rsid w:val="0C7F2634"/>
    <w:rsid w:val="0C854065"/>
    <w:rsid w:val="0CA746F4"/>
    <w:rsid w:val="0CAB2EAE"/>
    <w:rsid w:val="0CB90E13"/>
    <w:rsid w:val="0CBE6124"/>
    <w:rsid w:val="0CCF0CC5"/>
    <w:rsid w:val="0CD96207"/>
    <w:rsid w:val="0CF32576"/>
    <w:rsid w:val="0D0028B7"/>
    <w:rsid w:val="0D1A5D55"/>
    <w:rsid w:val="0D470FD3"/>
    <w:rsid w:val="0D5E3DDF"/>
    <w:rsid w:val="0D621C7D"/>
    <w:rsid w:val="0D8458C4"/>
    <w:rsid w:val="0D943FCB"/>
    <w:rsid w:val="0D9E4A36"/>
    <w:rsid w:val="0DA8090B"/>
    <w:rsid w:val="0DC82E76"/>
    <w:rsid w:val="0DE361DD"/>
    <w:rsid w:val="0DF1159B"/>
    <w:rsid w:val="0E0A5677"/>
    <w:rsid w:val="0E1005EC"/>
    <w:rsid w:val="0E16336F"/>
    <w:rsid w:val="0E1B151A"/>
    <w:rsid w:val="0E243962"/>
    <w:rsid w:val="0E26381D"/>
    <w:rsid w:val="0E323572"/>
    <w:rsid w:val="0E3F3599"/>
    <w:rsid w:val="0E550C7C"/>
    <w:rsid w:val="0E73034D"/>
    <w:rsid w:val="0E7D25E1"/>
    <w:rsid w:val="0E832CCF"/>
    <w:rsid w:val="0EE02E1E"/>
    <w:rsid w:val="0EE13F4C"/>
    <w:rsid w:val="0EF43665"/>
    <w:rsid w:val="0EF8680B"/>
    <w:rsid w:val="0F13775A"/>
    <w:rsid w:val="0F40655B"/>
    <w:rsid w:val="0F417A11"/>
    <w:rsid w:val="0F50294D"/>
    <w:rsid w:val="0F5F45FE"/>
    <w:rsid w:val="0F757D6F"/>
    <w:rsid w:val="0F8D7CCD"/>
    <w:rsid w:val="0F9A112B"/>
    <w:rsid w:val="0FAE4E7B"/>
    <w:rsid w:val="0FBD0C1A"/>
    <w:rsid w:val="0FD11602"/>
    <w:rsid w:val="0FFE0E4F"/>
    <w:rsid w:val="100920B1"/>
    <w:rsid w:val="101C3B92"/>
    <w:rsid w:val="102E38C6"/>
    <w:rsid w:val="105B4A5C"/>
    <w:rsid w:val="105F25C1"/>
    <w:rsid w:val="10686DD7"/>
    <w:rsid w:val="106D2F64"/>
    <w:rsid w:val="10A963E6"/>
    <w:rsid w:val="10B63710"/>
    <w:rsid w:val="10D97CD5"/>
    <w:rsid w:val="10F10820"/>
    <w:rsid w:val="10FB5E9E"/>
    <w:rsid w:val="111C2F7A"/>
    <w:rsid w:val="112533CF"/>
    <w:rsid w:val="11290C5D"/>
    <w:rsid w:val="11392222"/>
    <w:rsid w:val="11665CA1"/>
    <w:rsid w:val="11867E5D"/>
    <w:rsid w:val="11A346C9"/>
    <w:rsid w:val="11ED5A40"/>
    <w:rsid w:val="12103777"/>
    <w:rsid w:val="121C256F"/>
    <w:rsid w:val="12306060"/>
    <w:rsid w:val="123A5A86"/>
    <w:rsid w:val="12483BB9"/>
    <w:rsid w:val="125046DD"/>
    <w:rsid w:val="126113DC"/>
    <w:rsid w:val="126B0108"/>
    <w:rsid w:val="12863E8D"/>
    <w:rsid w:val="129630F8"/>
    <w:rsid w:val="129F0E57"/>
    <w:rsid w:val="12A800E5"/>
    <w:rsid w:val="12D81731"/>
    <w:rsid w:val="12F24A63"/>
    <w:rsid w:val="12FC3417"/>
    <w:rsid w:val="130645D2"/>
    <w:rsid w:val="131A4466"/>
    <w:rsid w:val="132A7F13"/>
    <w:rsid w:val="132D209E"/>
    <w:rsid w:val="13345697"/>
    <w:rsid w:val="13581385"/>
    <w:rsid w:val="136046DE"/>
    <w:rsid w:val="13802F68"/>
    <w:rsid w:val="138D1C49"/>
    <w:rsid w:val="13951726"/>
    <w:rsid w:val="13AC7923"/>
    <w:rsid w:val="13D3174D"/>
    <w:rsid w:val="13D6674E"/>
    <w:rsid w:val="13F15336"/>
    <w:rsid w:val="13FB7F63"/>
    <w:rsid w:val="14396509"/>
    <w:rsid w:val="144B713C"/>
    <w:rsid w:val="145B1C35"/>
    <w:rsid w:val="147B0B60"/>
    <w:rsid w:val="1484547D"/>
    <w:rsid w:val="14B149F8"/>
    <w:rsid w:val="14DD2C3C"/>
    <w:rsid w:val="14EB1C26"/>
    <w:rsid w:val="151B6B0E"/>
    <w:rsid w:val="15233D5C"/>
    <w:rsid w:val="15263CC5"/>
    <w:rsid w:val="15422767"/>
    <w:rsid w:val="156168B4"/>
    <w:rsid w:val="15783F61"/>
    <w:rsid w:val="159866B3"/>
    <w:rsid w:val="15C6553D"/>
    <w:rsid w:val="15D078F9"/>
    <w:rsid w:val="15FE41B1"/>
    <w:rsid w:val="16087E1D"/>
    <w:rsid w:val="16183A3A"/>
    <w:rsid w:val="164D28BE"/>
    <w:rsid w:val="167632A5"/>
    <w:rsid w:val="169C3C7F"/>
    <w:rsid w:val="16A9014A"/>
    <w:rsid w:val="16C3432F"/>
    <w:rsid w:val="16FE76D0"/>
    <w:rsid w:val="17313978"/>
    <w:rsid w:val="173C1313"/>
    <w:rsid w:val="175005C5"/>
    <w:rsid w:val="17701D14"/>
    <w:rsid w:val="17735226"/>
    <w:rsid w:val="17863A43"/>
    <w:rsid w:val="17944956"/>
    <w:rsid w:val="17AA7C26"/>
    <w:rsid w:val="17B60D70"/>
    <w:rsid w:val="17D66D1D"/>
    <w:rsid w:val="17FE17EC"/>
    <w:rsid w:val="18187CB4"/>
    <w:rsid w:val="18253800"/>
    <w:rsid w:val="182A056E"/>
    <w:rsid w:val="183527B2"/>
    <w:rsid w:val="183D6D9C"/>
    <w:rsid w:val="184657F3"/>
    <w:rsid w:val="18507FD3"/>
    <w:rsid w:val="187D1F29"/>
    <w:rsid w:val="18803D8A"/>
    <w:rsid w:val="189F624C"/>
    <w:rsid w:val="18A706B9"/>
    <w:rsid w:val="18B7778D"/>
    <w:rsid w:val="18C354F3"/>
    <w:rsid w:val="18D75B41"/>
    <w:rsid w:val="18EC4DF6"/>
    <w:rsid w:val="1909077C"/>
    <w:rsid w:val="19242821"/>
    <w:rsid w:val="19557247"/>
    <w:rsid w:val="196C627F"/>
    <w:rsid w:val="196E6F92"/>
    <w:rsid w:val="19862902"/>
    <w:rsid w:val="198E668B"/>
    <w:rsid w:val="198F3A80"/>
    <w:rsid w:val="19932F9D"/>
    <w:rsid w:val="19B77D17"/>
    <w:rsid w:val="19CC487B"/>
    <w:rsid w:val="19CD35C5"/>
    <w:rsid w:val="19EF2318"/>
    <w:rsid w:val="1A02518F"/>
    <w:rsid w:val="1A1C66C0"/>
    <w:rsid w:val="1A2A5005"/>
    <w:rsid w:val="1A42393B"/>
    <w:rsid w:val="1A487597"/>
    <w:rsid w:val="1A495ECC"/>
    <w:rsid w:val="1A8C5DB8"/>
    <w:rsid w:val="1A9C522E"/>
    <w:rsid w:val="1AAD45DE"/>
    <w:rsid w:val="1AE03D00"/>
    <w:rsid w:val="1B046F80"/>
    <w:rsid w:val="1B1E1676"/>
    <w:rsid w:val="1B1E41F6"/>
    <w:rsid w:val="1B3104AC"/>
    <w:rsid w:val="1B3267B5"/>
    <w:rsid w:val="1B353E60"/>
    <w:rsid w:val="1B3A75C2"/>
    <w:rsid w:val="1B3E5305"/>
    <w:rsid w:val="1B40161D"/>
    <w:rsid w:val="1B441859"/>
    <w:rsid w:val="1B6606B1"/>
    <w:rsid w:val="1B7B12F5"/>
    <w:rsid w:val="1BE65C27"/>
    <w:rsid w:val="1C0E0685"/>
    <w:rsid w:val="1C1A6A12"/>
    <w:rsid w:val="1C250273"/>
    <w:rsid w:val="1C460369"/>
    <w:rsid w:val="1C5E7925"/>
    <w:rsid w:val="1C695963"/>
    <w:rsid w:val="1C9C6787"/>
    <w:rsid w:val="1CD7538E"/>
    <w:rsid w:val="1CEC0E43"/>
    <w:rsid w:val="1CFB0616"/>
    <w:rsid w:val="1CFD070F"/>
    <w:rsid w:val="1D28001A"/>
    <w:rsid w:val="1D5A117F"/>
    <w:rsid w:val="1D5F6196"/>
    <w:rsid w:val="1D6132A5"/>
    <w:rsid w:val="1D813BCE"/>
    <w:rsid w:val="1D883423"/>
    <w:rsid w:val="1D8B05A9"/>
    <w:rsid w:val="1D8E56D5"/>
    <w:rsid w:val="1DD43CFE"/>
    <w:rsid w:val="1DD65370"/>
    <w:rsid w:val="1DE53933"/>
    <w:rsid w:val="1DEF28E6"/>
    <w:rsid w:val="1E0347DC"/>
    <w:rsid w:val="1E0C2983"/>
    <w:rsid w:val="1E25455A"/>
    <w:rsid w:val="1E3D1BAA"/>
    <w:rsid w:val="1E5110CB"/>
    <w:rsid w:val="1E7A43DA"/>
    <w:rsid w:val="1EBA1146"/>
    <w:rsid w:val="1EC63681"/>
    <w:rsid w:val="1EC67583"/>
    <w:rsid w:val="1ECC70CB"/>
    <w:rsid w:val="1F244811"/>
    <w:rsid w:val="1F2D1F9C"/>
    <w:rsid w:val="1F336D6C"/>
    <w:rsid w:val="1F5129C4"/>
    <w:rsid w:val="1F5844BB"/>
    <w:rsid w:val="1F7176F2"/>
    <w:rsid w:val="1F792CE6"/>
    <w:rsid w:val="1F7E2174"/>
    <w:rsid w:val="1F895407"/>
    <w:rsid w:val="1FC538CD"/>
    <w:rsid w:val="1FE7539E"/>
    <w:rsid w:val="1FEE1B7A"/>
    <w:rsid w:val="2002269C"/>
    <w:rsid w:val="204213F3"/>
    <w:rsid w:val="20641228"/>
    <w:rsid w:val="20671BE0"/>
    <w:rsid w:val="20963CB8"/>
    <w:rsid w:val="20A0611A"/>
    <w:rsid w:val="20A81A1B"/>
    <w:rsid w:val="20B07FB6"/>
    <w:rsid w:val="20B646FB"/>
    <w:rsid w:val="20BE47F2"/>
    <w:rsid w:val="20CC2372"/>
    <w:rsid w:val="2107478D"/>
    <w:rsid w:val="21253A4E"/>
    <w:rsid w:val="21385149"/>
    <w:rsid w:val="213A64A1"/>
    <w:rsid w:val="213B74B1"/>
    <w:rsid w:val="214871E1"/>
    <w:rsid w:val="214F21EB"/>
    <w:rsid w:val="21543210"/>
    <w:rsid w:val="215A09BE"/>
    <w:rsid w:val="215A2310"/>
    <w:rsid w:val="21832834"/>
    <w:rsid w:val="219F4623"/>
    <w:rsid w:val="21A55A89"/>
    <w:rsid w:val="21B42705"/>
    <w:rsid w:val="21C1422F"/>
    <w:rsid w:val="21C65F75"/>
    <w:rsid w:val="21DE318A"/>
    <w:rsid w:val="21EE787A"/>
    <w:rsid w:val="21EF5B80"/>
    <w:rsid w:val="220378B9"/>
    <w:rsid w:val="22250681"/>
    <w:rsid w:val="222D4677"/>
    <w:rsid w:val="222F3F88"/>
    <w:rsid w:val="22576990"/>
    <w:rsid w:val="225B3687"/>
    <w:rsid w:val="226C6BFB"/>
    <w:rsid w:val="226D48A7"/>
    <w:rsid w:val="227B6E3E"/>
    <w:rsid w:val="227F65B6"/>
    <w:rsid w:val="228715B5"/>
    <w:rsid w:val="228E4DC3"/>
    <w:rsid w:val="229B128E"/>
    <w:rsid w:val="22A55853"/>
    <w:rsid w:val="22C306D4"/>
    <w:rsid w:val="22F47480"/>
    <w:rsid w:val="23145F46"/>
    <w:rsid w:val="234B35E8"/>
    <w:rsid w:val="23583048"/>
    <w:rsid w:val="23595A4A"/>
    <w:rsid w:val="236C5F59"/>
    <w:rsid w:val="23CE2F9E"/>
    <w:rsid w:val="23D76EA5"/>
    <w:rsid w:val="23DE1C48"/>
    <w:rsid w:val="23EA427B"/>
    <w:rsid w:val="240210CD"/>
    <w:rsid w:val="241F331F"/>
    <w:rsid w:val="24373239"/>
    <w:rsid w:val="2446522A"/>
    <w:rsid w:val="244D4A2E"/>
    <w:rsid w:val="244F2331"/>
    <w:rsid w:val="24637F5D"/>
    <w:rsid w:val="24653902"/>
    <w:rsid w:val="246C30F0"/>
    <w:rsid w:val="24763D08"/>
    <w:rsid w:val="2492046F"/>
    <w:rsid w:val="24AB5C06"/>
    <w:rsid w:val="24BE0CB6"/>
    <w:rsid w:val="24BE1FB7"/>
    <w:rsid w:val="24BF09F7"/>
    <w:rsid w:val="24D942F0"/>
    <w:rsid w:val="24DC16EA"/>
    <w:rsid w:val="24F66C50"/>
    <w:rsid w:val="250D2DB4"/>
    <w:rsid w:val="251610A0"/>
    <w:rsid w:val="252030B6"/>
    <w:rsid w:val="252D53FE"/>
    <w:rsid w:val="252F3F10"/>
    <w:rsid w:val="253D662D"/>
    <w:rsid w:val="25656344"/>
    <w:rsid w:val="25BF0CA6"/>
    <w:rsid w:val="25CD761F"/>
    <w:rsid w:val="25E03E39"/>
    <w:rsid w:val="25EC2D81"/>
    <w:rsid w:val="2606040C"/>
    <w:rsid w:val="260930BC"/>
    <w:rsid w:val="261750D0"/>
    <w:rsid w:val="26175410"/>
    <w:rsid w:val="263A491A"/>
    <w:rsid w:val="26413445"/>
    <w:rsid w:val="269B226F"/>
    <w:rsid w:val="269B4C2E"/>
    <w:rsid w:val="26E95D5C"/>
    <w:rsid w:val="26F471BF"/>
    <w:rsid w:val="27125017"/>
    <w:rsid w:val="27327A50"/>
    <w:rsid w:val="27363B43"/>
    <w:rsid w:val="275814FC"/>
    <w:rsid w:val="27604855"/>
    <w:rsid w:val="27653BF0"/>
    <w:rsid w:val="277057A2"/>
    <w:rsid w:val="27910EB2"/>
    <w:rsid w:val="27CB57B8"/>
    <w:rsid w:val="27D61DA0"/>
    <w:rsid w:val="28247E36"/>
    <w:rsid w:val="28433F5A"/>
    <w:rsid w:val="288E282F"/>
    <w:rsid w:val="28984A47"/>
    <w:rsid w:val="28C94373"/>
    <w:rsid w:val="28CB0BD8"/>
    <w:rsid w:val="28D42899"/>
    <w:rsid w:val="28E03E9F"/>
    <w:rsid w:val="28EC14F9"/>
    <w:rsid w:val="29064F88"/>
    <w:rsid w:val="29206EB8"/>
    <w:rsid w:val="29233FF4"/>
    <w:rsid w:val="29595666"/>
    <w:rsid w:val="29655871"/>
    <w:rsid w:val="29874881"/>
    <w:rsid w:val="29D5085B"/>
    <w:rsid w:val="29D562C8"/>
    <w:rsid w:val="29E325E0"/>
    <w:rsid w:val="2A452503"/>
    <w:rsid w:val="2A4E6E3A"/>
    <w:rsid w:val="2A697EC4"/>
    <w:rsid w:val="2A7564D1"/>
    <w:rsid w:val="2A8113F9"/>
    <w:rsid w:val="2A8B1BE9"/>
    <w:rsid w:val="2AB418E2"/>
    <w:rsid w:val="2ADF3CEB"/>
    <w:rsid w:val="2B0B71D1"/>
    <w:rsid w:val="2B402E41"/>
    <w:rsid w:val="2B4F2EB5"/>
    <w:rsid w:val="2B764716"/>
    <w:rsid w:val="2B851849"/>
    <w:rsid w:val="2B9B69E6"/>
    <w:rsid w:val="2BA936A8"/>
    <w:rsid w:val="2BB807BB"/>
    <w:rsid w:val="2BDA4BD6"/>
    <w:rsid w:val="2BE65FFA"/>
    <w:rsid w:val="2BF13CCD"/>
    <w:rsid w:val="2BF6139D"/>
    <w:rsid w:val="2C0003B4"/>
    <w:rsid w:val="2C315A5A"/>
    <w:rsid w:val="2C36322C"/>
    <w:rsid w:val="2C4103D6"/>
    <w:rsid w:val="2C4240E9"/>
    <w:rsid w:val="2C4B1C25"/>
    <w:rsid w:val="2C6A4D17"/>
    <w:rsid w:val="2C9710BD"/>
    <w:rsid w:val="2CA11824"/>
    <w:rsid w:val="2CA13945"/>
    <w:rsid w:val="2CB344BB"/>
    <w:rsid w:val="2CED0939"/>
    <w:rsid w:val="2CFE66A2"/>
    <w:rsid w:val="2D191083"/>
    <w:rsid w:val="2D947006"/>
    <w:rsid w:val="2D9E56F5"/>
    <w:rsid w:val="2DB86F7E"/>
    <w:rsid w:val="2DDB24AF"/>
    <w:rsid w:val="2DE4460A"/>
    <w:rsid w:val="2E112405"/>
    <w:rsid w:val="2E2E745B"/>
    <w:rsid w:val="2E3F3DC3"/>
    <w:rsid w:val="2E436D36"/>
    <w:rsid w:val="2E475058"/>
    <w:rsid w:val="2E5F5A14"/>
    <w:rsid w:val="2E661098"/>
    <w:rsid w:val="2E667F96"/>
    <w:rsid w:val="2E751924"/>
    <w:rsid w:val="2E7B460D"/>
    <w:rsid w:val="2E8226AB"/>
    <w:rsid w:val="2E827C79"/>
    <w:rsid w:val="2EA12D28"/>
    <w:rsid w:val="2EA70CF8"/>
    <w:rsid w:val="2EC408C2"/>
    <w:rsid w:val="2ECE02F6"/>
    <w:rsid w:val="2ED31977"/>
    <w:rsid w:val="2ED33097"/>
    <w:rsid w:val="2ED75D5C"/>
    <w:rsid w:val="2EE63891"/>
    <w:rsid w:val="2EE6563F"/>
    <w:rsid w:val="2F02792B"/>
    <w:rsid w:val="2F424990"/>
    <w:rsid w:val="2F5D078A"/>
    <w:rsid w:val="2F8C5A7D"/>
    <w:rsid w:val="2FD065E6"/>
    <w:rsid w:val="2FD740B5"/>
    <w:rsid w:val="2FD96870"/>
    <w:rsid w:val="2FE32ACD"/>
    <w:rsid w:val="3011514E"/>
    <w:rsid w:val="301D1535"/>
    <w:rsid w:val="30201025"/>
    <w:rsid w:val="30374058"/>
    <w:rsid w:val="30580BC9"/>
    <w:rsid w:val="307A113C"/>
    <w:rsid w:val="3091782D"/>
    <w:rsid w:val="3099731B"/>
    <w:rsid w:val="30AD1EC9"/>
    <w:rsid w:val="30C47480"/>
    <w:rsid w:val="30D065A7"/>
    <w:rsid w:val="30D1065F"/>
    <w:rsid w:val="30FA1A7C"/>
    <w:rsid w:val="30FC55EE"/>
    <w:rsid w:val="311959BC"/>
    <w:rsid w:val="311E2ED7"/>
    <w:rsid w:val="31351D65"/>
    <w:rsid w:val="313F4042"/>
    <w:rsid w:val="315619EE"/>
    <w:rsid w:val="315C449C"/>
    <w:rsid w:val="316118F5"/>
    <w:rsid w:val="317150E1"/>
    <w:rsid w:val="31B55AFE"/>
    <w:rsid w:val="31B82709"/>
    <w:rsid w:val="31D05482"/>
    <w:rsid w:val="32225808"/>
    <w:rsid w:val="32292413"/>
    <w:rsid w:val="32400B34"/>
    <w:rsid w:val="324F174E"/>
    <w:rsid w:val="328B764F"/>
    <w:rsid w:val="328E1F0C"/>
    <w:rsid w:val="329E6876"/>
    <w:rsid w:val="32A32DD3"/>
    <w:rsid w:val="32A67A0A"/>
    <w:rsid w:val="32C0199F"/>
    <w:rsid w:val="32CF55BD"/>
    <w:rsid w:val="32F069E1"/>
    <w:rsid w:val="333015F2"/>
    <w:rsid w:val="333D5A4A"/>
    <w:rsid w:val="334B6320"/>
    <w:rsid w:val="33690910"/>
    <w:rsid w:val="33704071"/>
    <w:rsid w:val="337961BA"/>
    <w:rsid w:val="33A9516F"/>
    <w:rsid w:val="33D934D4"/>
    <w:rsid w:val="33D95773"/>
    <w:rsid w:val="33FE2F6A"/>
    <w:rsid w:val="340E07E5"/>
    <w:rsid w:val="341C6388"/>
    <w:rsid w:val="34235BF7"/>
    <w:rsid w:val="34237336"/>
    <w:rsid w:val="345614B9"/>
    <w:rsid w:val="347158E5"/>
    <w:rsid w:val="347B2A5F"/>
    <w:rsid w:val="349472FB"/>
    <w:rsid w:val="349916B3"/>
    <w:rsid w:val="34D75A43"/>
    <w:rsid w:val="34E5117A"/>
    <w:rsid w:val="34F571F9"/>
    <w:rsid w:val="351E4AF6"/>
    <w:rsid w:val="35260E8C"/>
    <w:rsid w:val="35393797"/>
    <w:rsid w:val="357240D1"/>
    <w:rsid w:val="358C39DC"/>
    <w:rsid w:val="358C5FA8"/>
    <w:rsid w:val="35C15DF1"/>
    <w:rsid w:val="35CF5562"/>
    <w:rsid w:val="35EF02A9"/>
    <w:rsid w:val="36074A7F"/>
    <w:rsid w:val="36276705"/>
    <w:rsid w:val="364E17DA"/>
    <w:rsid w:val="364F3D3B"/>
    <w:rsid w:val="369225B2"/>
    <w:rsid w:val="36923549"/>
    <w:rsid w:val="36B75FBF"/>
    <w:rsid w:val="36BD0C45"/>
    <w:rsid w:val="36C20165"/>
    <w:rsid w:val="36C344B8"/>
    <w:rsid w:val="36DE6258"/>
    <w:rsid w:val="36E05D1D"/>
    <w:rsid w:val="36FB00F6"/>
    <w:rsid w:val="37033378"/>
    <w:rsid w:val="370E607B"/>
    <w:rsid w:val="372907BF"/>
    <w:rsid w:val="372F1B4E"/>
    <w:rsid w:val="37465263"/>
    <w:rsid w:val="374B6E69"/>
    <w:rsid w:val="378679C0"/>
    <w:rsid w:val="37893341"/>
    <w:rsid w:val="379876F3"/>
    <w:rsid w:val="37E00298"/>
    <w:rsid w:val="38093BAC"/>
    <w:rsid w:val="38375CB0"/>
    <w:rsid w:val="38B302F9"/>
    <w:rsid w:val="38E10D6F"/>
    <w:rsid w:val="38EC0890"/>
    <w:rsid w:val="38F12CD3"/>
    <w:rsid w:val="38F32FDB"/>
    <w:rsid w:val="38F94775"/>
    <w:rsid w:val="390E2362"/>
    <w:rsid w:val="3926076A"/>
    <w:rsid w:val="392971ED"/>
    <w:rsid w:val="39325651"/>
    <w:rsid w:val="39372BA1"/>
    <w:rsid w:val="39405540"/>
    <w:rsid w:val="39AE0355"/>
    <w:rsid w:val="39BC16F2"/>
    <w:rsid w:val="39C54E6C"/>
    <w:rsid w:val="39CD3FCC"/>
    <w:rsid w:val="3A322081"/>
    <w:rsid w:val="3A332526"/>
    <w:rsid w:val="3A507240"/>
    <w:rsid w:val="3A6B3F4B"/>
    <w:rsid w:val="3A7055DF"/>
    <w:rsid w:val="3A7A7584"/>
    <w:rsid w:val="3A872856"/>
    <w:rsid w:val="3A971EE4"/>
    <w:rsid w:val="3AD70751"/>
    <w:rsid w:val="3ADB44C6"/>
    <w:rsid w:val="3B0369E5"/>
    <w:rsid w:val="3B3763D1"/>
    <w:rsid w:val="3B471B5C"/>
    <w:rsid w:val="3B513CFD"/>
    <w:rsid w:val="3B5A0DA7"/>
    <w:rsid w:val="3B6B3A9C"/>
    <w:rsid w:val="3B821568"/>
    <w:rsid w:val="3BC6564A"/>
    <w:rsid w:val="3BCF0A02"/>
    <w:rsid w:val="3BCF1319"/>
    <w:rsid w:val="3C2F6E1E"/>
    <w:rsid w:val="3C4F64BA"/>
    <w:rsid w:val="3C552056"/>
    <w:rsid w:val="3CDA245A"/>
    <w:rsid w:val="3CFD6976"/>
    <w:rsid w:val="3D1C6419"/>
    <w:rsid w:val="3D1E06B7"/>
    <w:rsid w:val="3D49542E"/>
    <w:rsid w:val="3D9824A9"/>
    <w:rsid w:val="3D9A487A"/>
    <w:rsid w:val="3DA23242"/>
    <w:rsid w:val="3DE73182"/>
    <w:rsid w:val="3E10092B"/>
    <w:rsid w:val="3E7767BA"/>
    <w:rsid w:val="3EBA496F"/>
    <w:rsid w:val="3ED656D0"/>
    <w:rsid w:val="3ED97ACA"/>
    <w:rsid w:val="3EDA0523"/>
    <w:rsid w:val="3EE37DED"/>
    <w:rsid w:val="3F33086D"/>
    <w:rsid w:val="3F340649"/>
    <w:rsid w:val="3F59035B"/>
    <w:rsid w:val="3F681C1C"/>
    <w:rsid w:val="3F751C0E"/>
    <w:rsid w:val="3FAC7742"/>
    <w:rsid w:val="3FDF319C"/>
    <w:rsid w:val="3FEE6A4A"/>
    <w:rsid w:val="403C2C48"/>
    <w:rsid w:val="404843AC"/>
    <w:rsid w:val="40504D6E"/>
    <w:rsid w:val="407A6407"/>
    <w:rsid w:val="40886D5C"/>
    <w:rsid w:val="40946957"/>
    <w:rsid w:val="40A15DED"/>
    <w:rsid w:val="40A610D2"/>
    <w:rsid w:val="40BF7933"/>
    <w:rsid w:val="40CD2B03"/>
    <w:rsid w:val="40D97EDE"/>
    <w:rsid w:val="40EA7211"/>
    <w:rsid w:val="41044BE4"/>
    <w:rsid w:val="41234917"/>
    <w:rsid w:val="414C2370"/>
    <w:rsid w:val="416B0D5E"/>
    <w:rsid w:val="41A47F59"/>
    <w:rsid w:val="41B810BD"/>
    <w:rsid w:val="41CD4430"/>
    <w:rsid w:val="4200449D"/>
    <w:rsid w:val="42325C2A"/>
    <w:rsid w:val="423A3BCC"/>
    <w:rsid w:val="424E57D2"/>
    <w:rsid w:val="424F5E90"/>
    <w:rsid w:val="425207EC"/>
    <w:rsid w:val="425D7EB7"/>
    <w:rsid w:val="426A7E97"/>
    <w:rsid w:val="42884F34"/>
    <w:rsid w:val="428D254A"/>
    <w:rsid w:val="42997141"/>
    <w:rsid w:val="42AB45AB"/>
    <w:rsid w:val="42B26C49"/>
    <w:rsid w:val="42B81382"/>
    <w:rsid w:val="42D53E10"/>
    <w:rsid w:val="42DB6C41"/>
    <w:rsid w:val="430C3315"/>
    <w:rsid w:val="433A6FE6"/>
    <w:rsid w:val="43436D16"/>
    <w:rsid w:val="43480868"/>
    <w:rsid w:val="4350713C"/>
    <w:rsid w:val="436653E0"/>
    <w:rsid w:val="43881950"/>
    <w:rsid w:val="4396542E"/>
    <w:rsid w:val="43A55B54"/>
    <w:rsid w:val="43C4431A"/>
    <w:rsid w:val="43E26D38"/>
    <w:rsid w:val="44494618"/>
    <w:rsid w:val="44547BEA"/>
    <w:rsid w:val="446C5B48"/>
    <w:rsid w:val="44B951CC"/>
    <w:rsid w:val="44CD14E0"/>
    <w:rsid w:val="44F20B0B"/>
    <w:rsid w:val="4509045F"/>
    <w:rsid w:val="45244CBC"/>
    <w:rsid w:val="452E5F4C"/>
    <w:rsid w:val="45392E4B"/>
    <w:rsid w:val="45581975"/>
    <w:rsid w:val="45612018"/>
    <w:rsid w:val="457E43CC"/>
    <w:rsid w:val="458946E9"/>
    <w:rsid w:val="45A47C0E"/>
    <w:rsid w:val="45C00ED6"/>
    <w:rsid w:val="45CA0D3D"/>
    <w:rsid w:val="45D32E48"/>
    <w:rsid w:val="462C541E"/>
    <w:rsid w:val="46577FD6"/>
    <w:rsid w:val="465934E0"/>
    <w:rsid w:val="466A4950"/>
    <w:rsid w:val="467F21AA"/>
    <w:rsid w:val="4698326B"/>
    <w:rsid w:val="46B43492"/>
    <w:rsid w:val="46B60748"/>
    <w:rsid w:val="46D955A7"/>
    <w:rsid w:val="46DB1EE6"/>
    <w:rsid w:val="46E73905"/>
    <w:rsid w:val="47057685"/>
    <w:rsid w:val="47133957"/>
    <w:rsid w:val="471A745A"/>
    <w:rsid w:val="471C7FA5"/>
    <w:rsid w:val="4746677F"/>
    <w:rsid w:val="47515CFA"/>
    <w:rsid w:val="477C1585"/>
    <w:rsid w:val="479D58A3"/>
    <w:rsid w:val="47A07E0C"/>
    <w:rsid w:val="47DF7B39"/>
    <w:rsid w:val="4847319B"/>
    <w:rsid w:val="484D5F1A"/>
    <w:rsid w:val="48547666"/>
    <w:rsid w:val="486F1754"/>
    <w:rsid w:val="4870272E"/>
    <w:rsid w:val="4877302A"/>
    <w:rsid w:val="48812F88"/>
    <w:rsid w:val="488C5052"/>
    <w:rsid w:val="491E5F74"/>
    <w:rsid w:val="49321B41"/>
    <w:rsid w:val="493359D3"/>
    <w:rsid w:val="494616A5"/>
    <w:rsid w:val="495137C1"/>
    <w:rsid w:val="49535006"/>
    <w:rsid w:val="49553C3C"/>
    <w:rsid w:val="495E277E"/>
    <w:rsid w:val="496C0377"/>
    <w:rsid w:val="49760418"/>
    <w:rsid w:val="49C64F42"/>
    <w:rsid w:val="49DC7715"/>
    <w:rsid w:val="49EC61AC"/>
    <w:rsid w:val="4A023139"/>
    <w:rsid w:val="4A070E34"/>
    <w:rsid w:val="4A193127"/>
    <w:rsid w:val="4A2B2072"/>
    <w:rsid w:val="4A431740"/>
    <w:rsid w:val="4A7B576F"/>
    <w:rsid w:val="4AB4567B"/>
    <w:rsid w:val="4AF561A9"/>
    <w:rsid w:val="4B020EF0"/>
    <w:rsid w:val="4B057919"/>
    <w:rsid w:val="4B0C4228"/>
    <w:rsid w:val="4B305BFA"/>
    <w:rsid w:val="4B7324F9"/>
    <w:rsid w:val="4BB03D81"/>
    <w:rsid w:val="4BCD2B35"/>
    <w:rsid w:val="4BDE3E16"/>
    <w:rsid w:val="4BF54FF7"/>
    <w:rsid w:val="4C0A4C0B"/>
    <w:rsid w:val="4C167EC0"/>
    <w:rsid w:val="4C232CAF"/>
    <w:rsid w:val="4C247A24"/>
    <w:rsid w:val="4C3457E4"/>
    <w:rsid w:val="4C4A0649"/>
    <w:rsid w:val="4C6E006C"/>
    <w:rsid w:val="4C747524"/>
    <w:rsid w:val="4C7E5ECA"/>
    <w:rsid w:val="4C876AA5"/>
    <w:rsid w:val="4CDB6348"/>
    <w:rsid w:val="4D0E00FB"/>
    <w:rsid w:val="4D176606"/>
    <w:rsid w:val="4D1A35CE"/>
    <w:rsid w:val="4D274F01"/>
    <w:rsid w:val="4D2D2697"/>
    <w:rsid w:val="4D3006A2"/>
    <w:rsid w:val="4D845D72"/>
    <w:rsid w:val="4D866514"/>
    <w:rsid w:val="4DA8658D"/>
    <w:rsid w:val="4DB820BB"/>
    <w:rsid w:val="4DEC4FB0"/>
    <w:rsid w:val="4E075D8A"/>
    <w:rsid w:val="4E26744B"/>
    <w:rsid w:val="4E372FF0"/>
    <w:rsid w:val="4E3C4EBE"/>
    <w:rsid w:val="4E52289A"/>
    <w:rsid w:val="4E542474"/>
    <w:rsid w:val="4E74636C"/>
    <w:rsid w:val="4E8E14E3"/>
    <w:rsid w:val="4E93713A"/>
    <w:rsid w:val="4EAA35FB"/>
    <w:rsid w:val="4EAB3C9B"/>
    <w:rsid w:val="4EC00FAD"/>
    <w:rsid w:val="4ED529F8"/>
    <w:rsid w:val="4F46555B"/>
    <w:rsid w:val="4F4D2A51"/>
    <w:rsid w:val="4F6A6B96"/>
    <w:rsid w:val="4F6C798B"/>
    <w:rsid w:val="4F9843DC"/>
    <w:rsid w:val="4FA4438F"/>
    <w:rsid w:val="4FAF7A4A"/>
    <w:rsid w:val="4FB56C3C"/>
    <w:rsid w:val="4FC62A8C"/>
    <w:rsid w:val="4FDF63AF"/>
    <w:rsid w:val="4FE20F0D"/>
    <w:rsid w:val="4FE51552"/>
    <w:rsid w:val="500D0826"/>
    <w:rsid w:val="502A1EA5"/>
    <w:rsid w:val="503F29AA"/>
    <w:rsid w:val="50504C4B"/>
    <w:rsid w:val="5052092F"/>
    <w:rsid w:val="506254EE"/>
    <w:rsid w:val="509C6E7C"/>
    <w:rsid w:val="5110509B"/>
    <w:rsid w:val="513139C6"/>
    <w:rsid w:val="513E2C61"/>
    <w:rsid w:val="514527D5"/>
    <w:rsid w:val="514B5EAB"/>
    <w:rsid w:val="5162104E"/>
    <w:rsid w:val="51940C62"/>
    <w:rsid w:val="51B4025F"/>
    <w:rsid w:val="51C12AD0"/>
    <w:rsid w:val="51E657D3"/>
    <w:rsid w:val="51FF23E8"/>
    <w:rsid w:val="52167619"/>
    <w:rsid w:val="523522B6"/>
    <w:rsid w:val="524852B1"/>
    <w:rsid w:val="524A3079"/>
    <w:rsid w:val="52930254"/>
    <w:rsid w:val="52B36023"/>
    <w:rsid w:val="52B46F40"/>
    <w:rsid w:val="52CD0328"/>
    <w:rsid w:val="52D05346"/>
    <w:rsid w:val="52DA2AB5"/>
    <w:rsid w:val="52DE3890"/>
    <w:rsid w:val="52E86550"/>
    <w:rsid w:val="52F061DD"/>
    <w:rsid w:val="52F1442F"/>
    <w:rsid w:val="53461903"/>
    <w:rsid w:val="534C73B6"/>
    <w:rsid w:val="53746E0E"/>
    <w:rsid w:val="53760B39"/>
    <w:rsid w:val="53A039CC"/>
    <w:rsid w:val="53A1505A"/>
    <w:rsid w:val="53A771E4"/>
    <w:rsid w:val="53C3552F"/>
    <w:rsid w:val="53CE6948"/>
    <w:rsid w:val="53EA0E7E"/>
    <w:rsid w:val="53EF6FEA"/>
    <w:rsid w:val="54063E08"/>
    <w:rsid w:val="54095669"/>
    <w:rsid w:val="54106B37"/>
    <w:rsid w:val="541C5409"/>
    <w:rsid w:val="543437E8"/>
    <w:rsid w:val="54370568"/>
    <w:rsid w:val="54665F4C"/>
    <w:rsid w:val="54776BB6"/>
    <w:rsid w:val="54962088"/>
    <w:rsid w:val="549A3EAB"/>
    <w:rsid w:val="54A965D7"/>
    <w:rsid w:val="54B14E60"/>
    <w:rsid w:val="54B70F12"/>
    <w:rsid w:val="54E53F75"/>
    <w:rsid w:val="54EB3083"/>
    <w:rsid w:val="54F73313"/>
    <w:rsid w:val="54F80955"/>
    <w:rsid w:val="5517212A"/>
    <w:rsid w:val="553F3F98"/>
    <w:rsid w:val="554967A4"/>
    <w:rsid w:val="554E3868"/>
    <w:rsid w:val="555170A7"/>
    <w:rsid w:val="555703C1"/>
    <w:rsid w:val="55733F76"/>
    <w:rsid w:val="5587536D"/>
    <w:rsid w:val="55927823"/>
    <w:rsid w:val="559B174B"/>
    <w:rsid w:val="55CE0CF4"/>
    <w:rsid w:val="55EE5D64"/>
    <w:rsid w:val="55F54CD1"/>
    <w:rsid w:val="5640535A"/>
    <w:rsid w:val="565377A5"/>
    <w:rsid w:val="56586573"/>
    <w:rsid w:val="56625A27"/>
    <w:rsid w:val="56680EAC"/>
    <w:rsid w:val="56B22A9C"/>
    <w:rsid w:val="56C34335"/>
    <w:rsid w:val="56CA045A"/>
    <w:rsid w:val="56D15AE9"/>
    <w:rsid w:val="56E02DCB"/>
    <w:rsid w:val="56ED7603"/>
    <w:rsid w:val="5716091F"/>
    <w:rsid w:val="5729623C"/>
    <w:rsid w:val="573F5E2E"/>
    <w:rsid w:val="5753788F"/>
    <w:rsid w:val="57650342"/>
    <w:rsid w:val="577949F3"/>
    <w:rsid w:val="57801959"/>
    <w:rsid w:val="579730CB"/>
    <w:rsid w:val="57AD416C"/>
    <w:rsid w:val="57B72A76"/>
    <w:rsid w:val="57C3426C"/>
    <w:rsid w:val="57CE1F93"/>
    <w:rsid w:val="57F21B0B"/>
    <w:rsid w:val="57F30C49"/>
    <w:rsid w:val="57FF7D0D"/>
    <w:rsid w:val="58056CEC"/>
    <w:rsid w:val="588743D1"/>
    <w:rsid w:val="5887701A"/>
    <w:rsid w:val="588C0756"/>
    <w:rsid w:val="589E3A8C"/>
    <w:rsid w:val="58AD0F55"/>
    <w:rsid w:val="58B71DCF"/>
    <w:rsid w:val="58FE1654"/>
    <w:rsid w:val="59006A69"/>
    <w:rsid w:val="591B2227"/>
    <w:rsid w:val="592D3CE7"/>
    <w:rsid w:val="5943733B"/>
    <w:rsid w:val="597E58C1"/>
    <w:rsid w:val="59AE2F1D"/>
    <w:rsid w:val="59C0439F"/>
    <w:rsid w:val="59C66972"/>
    <w:rsid w:val="5A0D49EB"/>
    <w:rsid w:val="5A0F7A16"/>
    <w:rsid w:val="5A1700EA"/>
    <w:rsid w:val="5A247366"/>
    <w:rsid w:val="5A2B04E9"/>
    <w:rsid w:val="5A2E41BB"/>
    <w:rsid w:val="5A3C1A98"/>
    <w:rsid w:val="5A407DC9"/>
    <w:rsid w:val="5A5C0D28"/>
    <w:rsid w:val="5A7B6EBB"/>
    <w:rsid w:val="5AA24261"/>
    <w:rsid w:val="5ABE2233"/>
    <w:rsid w:val="5AC62645"/>
    <w:rsid w:val="5AE879A1"/>
    <w:rsid w:val="5AEB20AC"/>
    <w:rsid w:val="5B09681D"/>
    <w:rsid w:val="5B0E0B94"/>
    <w:rsid w:val="5B1F046A"/>
    <w:rsid w:val="5B480636"/>
    <w:rsid w:val="5B93247B"/>
    <w:rsid w:val="5B9777D7"/>
    <w:rsid w:val="5BC02760"/>
    <w:rsid w:val="5BC528FD"/>
    <w:rsid w:val="5BC72887"/>
    <w:rsid w:val="5BCF72D8"/>
    <w:rsid w:val="5BD23B1B"/>
    <w:rsid w:val="5BD26552"/>
    <w:rsid w:val="5BDF5D95"/>
    <w:rsid w:val="5BE528C0"/>
    <w:rsid w:val="5BFE7528"/>
    <w:rsid w:val="5C175CD7"/>
    <w:rsid w:val="5C1F6FAF"/>
    <w:rsid w:val="5CA5244A"/>
    <w:rsid w:val="5CA644DC"/>
    <w:rsid w:val="5CA70254"/>
    <w:rsid w:val="5CFB30C3"/>
    <w:rsid w:val="5D485594"/>
    <w:rsid w:val="5D524098"/>
    <w:rsid w:val="5D5B0F87"/>
    <w:rsid w:val="5D94184B"/>
    <w:rsid w:val="5D964551"/>
    <w:rsid w:val="5D983CF0"/>
    <w:rsid w:val="5DC47DB9"/>
    <w:rsid w:val="5DD76917"/>
    <w:rsid w:val="5DFD202C"/>
    <w:rsid w:val="5E0A0A9B"/>
    <w:rsid w:val="5E2467F1"/>
    <w:rsid w:val="5E430C0B"/>
    <w:rsid w:val="5E71677C"/>
    <w:rsid w:val="5E7B214B"/>
    <w:rsid w:val="5E8C32A6"/>
    <w:rsid w:val="5E9D0D6F"/>
    <w:rsid w:val="5EAF38A7"/>
    <w:rsid w:val="5EC51E05"/>
    <w:rsid w:val="5EE52DCF"/>
    <w:rsid w:val="5EE906B0"/>
    <w:rsid w:val="5EF7675D"/>
    <w:rsid w:val="5F033FFC"/>
    <w:rsid w:val="5F1A2B43"/>
    <w:rsid w:val="5F2142EE"/>
    <w:rsid w:val="5F3333D0"/>
    <w:rsid w:val="5F381638"/>
    <w:rsid w:val="5F4725BF"/>
    <w:rsid w:val="5F71524E"/>
    <w:rsid w:val="5F95075C"/>
    <w:rsid w:val="5F9C56EA"/>
    <w:rsid w:val="5FA34D03"/>
    <w:rsid w:val="5FB837BB"/>
    <w:rsid w:val="5FD14B25"/>
    <w:rsid w:val="5FD61920"/>
    <w:rsid w:val="5FFB4B3F"/>
    <w:rsid w:val="60477837"/>
    <w:rsid w:val="60574B53"/>
    <w:rsid w:val="60630E3E"/>
    <w:rsid w:val="60642804"/>
    <w:rsid w:val="606B7E4D"/>
    <w:rsid w:val="60781103"/>
    <w:rsid w:val="60837BF7"/>
    <w:rsid w:val="60B8555D"/>
    <w:rsid w:val="60C07B37"/>
    <w:rsid w:val="60CC405A"/>
    <w:rsid w:val="61045C75"/>
    <w:rsid w:val="610478A2"/>
    <w:rsid w:val="611F660B"/>
    <w:rsid w:val="61204131"/>
    <w:rsid w:val="61452C38"/>
    <w:rsid w:val="614A3BE6"/>
    <w:rsid w:val="617F52FC"/>
    <w:rsid w:val="61847C03"/>
    <w:rsid w:val="618771BE"/>
    <w:rsid w:val="61B16215"/>
    <w:rsid w:val="61E215D8"/>
    <w:rsid w:val="61F5736C"/>
    <w:rsid w:val="61FE6C75"/>
    <w:rsid w:val="621B3775"/>
    <w:rsid w:val="6233131C"/>
    <w:rsid w:val="62364782"/>
    <w:rsid w:val="623954AB"/>
    <w:rsid w:val="62465E1A"/>
    <w:rsid w:val="625418E6"/>
    <w:rsid w:val="62641688"/>
    <w:rsid w:val="626461D7"/>
    <w:rsid w:val="62A05C29"/>
    <w:rsid w:val="62A9666D"/>
    <w:rsid w:val="62BD60DC"/>
    <w:rsid w:val="62D578C9"/>
    <w:rsid w:val="62DD22DA"/>
    <w:rsid w:val="62FB3CD0"/>
    <w:rsid w:val="63076597"/>
    <w:rsid w:val="63327517"/>
    <w:rsid w:val="635640C0"/>
    <w:rsid w:val="638034D1"/>
    <w:rsid w:val="6394356A"/>
    <w:rsid w:val="63C61B2C"/>
    <w:rsid w:val="63CD12A2"/>
    <w:rsid w:val="63D40BE9"/>
    <w:rsid w:val="63F67DD8"/>
    <w:rsid w:val="63FA5DD9"/>
    <w:rsid w:val="6406492F"/>
    <w:rsid w:val="64102431"/>
    <w:rsid w:val="642C15E7"/>
    <w:rsid w:val="64316327"/>
    <w:rsid w:val="644F4CA2"/>
    <w:rsid w:val="64A07A63"/>
    <w:rsid w:val="64A5243A"/>
    <w:rsid w:val="64A77044"/>
    <w:rsid w:val="64B11E33"/>
    <w:rsid w:val="64B15AA8"/>
    <w:rsid w:val="64BA46B3"/>
    <w:rsid w:val="64BF50B5"/>
    <w:rsid w:val="64F1206D"/>
    <w:rsid w:val="64F531DE"/>
    <w:rsid w:val="651F307E"/>
    <w:rsid w:val="65373578"/>
    <w:rsid w:val="65434299"/>
    <w:rsid w:val="654F016E"/>
    <w:rsid w:val="65613696"/>
    <w:rsid w:val="65815634"/>
    <w:rsid w:val="65AC068A"/>
    <w:rsid w:val="65C15EE3"/>
    <w:rsid w:val="65E0343B"/>
    <w:rsid w:val="66106E6A"/>
    <w:rsid w:val="6612673F"/>
    <w:rsid w:val="662F72F1"/>
    <w:rsid w:val="664A237C"/>
    <w:rsid w:val="665758AD"/>
    <w:rsid w:val="665F08B8"/>
    <w:rsid w:val="66731BEA"/>
    <w:rsid w:val="669E446B"/>
    <w:rsid w:val="66A83D0A"/>
    <w:rsid w:val="66BB5028"/>
    <w:rsid w:val="66C241CD"/>
    <w:rsid w:val="66FC7FD3"/>
    <w:rsid w:val="6718445F"/>
    <w:rsid w:val="671F124A"/>
    <w:rsid w:val="67405DBB"/>
    <w:rsid w:val="67746F85"/>
    <w:rsid w:val="677A33C6"/>
    <w:rsid w:val="677D408C"/>
    <w:rsid w:val="67C3394D"/>
    <w:rsid w:val="67C43A69"/>
    <w:rsid w:val="681F6961"/>
    <w:rsid w:val="683D374C"/>
    <w:rsid w:val="68610A2F"/>
    <w:rsid w:val="687629F4"/>
    <w:rsid w:val="687B0380"/>
    <w:rsid w:val="68805514"/>
    <w:rsid w:val="68BD2C27"/>
    <w:rsid w:val="690757FD"/>
    <w:rsid w:val="6909050D"/>
    <w:rsid w:val="692430E7"/>
    <w:rsid w:val="69316E2F"/>
    <w:rsid w:val="69450BD9"/>
    <w:rsid w:val="694E2071"/>
    <w:rsid w:val="69766163"/>
    <w:rsid w:val="697A3B33"/>
    <w:rsid w:val="697F10C2"/>
    <w:rsid w:val="699B2EEF"/>
    <w:rsid w:val="69B33D95"/>
    <w:rsid w:val="69D44760"/>
    <w:rsid w:val="69DC0F91"/>
    <w:rsid w:val="69E66E4A"/>
    <w:rsid w:val="69F745C9"/>
    <w:rsid w:val="6A2017D4"/>
    <w:rsid w:val="6A205E7E"/>
    <w:rsid w:val="6A520EC7"/>
    <w:rsid w:val="6A725667"/>
    <w:rsid w:val="6A865287"/>
    <w:rsid w:val="6A9E4A45"/>
    <w:rsid w:val="6AAB0EEA"/>
    <w:rsid w:val="6AAD4F8A"/>
    <w:rsid w:val="6ABA02E5"/>
    <w:rsid w:val="6ABE2D49"/>
    <w:rsid w:val="6AC72E36"/>
    <w:rsid w:val="6AC975F7"/>
    <w:rsid w:val="6AE21CB6"/>
    <w:rsid w:val="6AEB755E"/>
    <w:rsid w:val="6AF87E20"/>
    <w:rsid w:val="6B23146B"/>
    <w:rsid w:val="6B322639"/>
    <w:rsid w:val="6B340F05"/>
    <w:rsid w:val="6B533E50"/>
    <w:rsid w:val="6B590BF1"/>
    <w:rsid w:val="6B7936D9"/>
    <w:rsid w:val="6B8C7FFC"/>
    <w:rsid w:val="6BE55FDF"/>
    <w:rsid w:val="6C3B4DA3"/>
    <w:rsid w:val="6C636C38"/>
    <w:rsid w:val="6C6650FF"/>
    <w:rsid w:val="6C795C85"/>
    <w:rsid w:val="6CA4030D"/>
    <w:rsid w:val="6CAE2F39"/>
    <w:rsid w:val="6CB15D5D"/>
    <w:rsid w:val="6CDA5293"/>
    <w:rsid w:val="6D090905"/>
    <w:rsid w:val="6D286B5F"/>
    <w:rsid w:val="6D2F407A"/>
    <w:rsid w:val="6D323B6A"/>
    <w:rsid w:val="6D4C4C2C"/>
    <w:rsid w:val="6D521B17"/>
    <w:rsid w:val="6D522DA1"/>
    <w:rsid w:val="6D5448FF"/>
    <w:rsid w:val="6D8D2B4F"/>
    <w:rsid w:val="6D9E7C9B"/>
    <w:rsid w:val="6DB34098"/>
    <w:rsid w:val="6DB545B6"/>
    <w:rsid w:val="6DB766B7"/>
    <w:rsid w:val="6DCF760B"/>
    <w:rsid w:val="6DE02FB4"/>
    <w:rsid w:val="6DE240FF"/>
    <w:rsid w:val="6DF6252A"/>
    <w:rsid w:val="6E020D4B"/>
    <w:rsid w:val="6E0402A8"/>
    <w:rsid w:val="6E0C6D91"/>
    <w:rsid w:val="6E147631"/>
    <w:rsid w:val="6E183BAA"/>
    <w:rsid w:val="6E437561"/>
    <w:rsid w:val="6E502823"/>
    <w:rsid w:val="6E514CED"/>
    <w:rsid w:val="6E62222D"/>
    <w:rsid w:val="6E676244"/>
    <w:rsid w:val="6E731D44"/>
    <w:rsid w:val="6E7361E8"/>
    <w:rsid w:val="6E91041D"/>
    <w:rsid w:val="6E9F41F1"/>
    <w:rsid w:val="6EA472A9"/>
    <w:rsid w:val="6EB563D5"/>
    <w:rsid w:val="6EBE61F6"/>
    <w:rsid w:val="6ED92677"/>
    <w:rsid w:val="6EDF562C"/>
    <w:rsid w:val="6EE449F0"/>
    <w:rsid w:val="6EEC2539"/>
    <w:rsid w:val="6F0537A5"/>
    <w:rsid w:val="6F0F6B3F"/>
    <w:rsid w:val="6F225983"/>
    <w:rsid w:val="6F797C2B"/>
    <w:rsid w:val="6F8A5CC5"/>
    <w:rsid w:val="6F8D223E"/>
    <w:rsid w:val="6FAF4010"/>
    <w:rsid w:val="6FB72FC8"/>
    <w:rsid w:val="6FC64C41"/>
    <w:rsid w:val="6FC84312"/>
    <w:rsid w:val="6FD74555"/>
    <w:rsid w:val="6FFC5590"/>
    <w:rsid w:val="70180DF5"/>
    <w:rsid w:val="7052652F"/>
    <w:rsid w:val="706D1DD0"/>
    <w:rsid w:val="70856B87"/>
    <w:rsid w:val="70AB3735"/>
    <w:rsid w:val="70AB5A2B"/>
    <w:rsid w:val="70D527EE"/>
    <w:rsid w:val="70F57389"/>
    <w:rsid w:val="715B5300"/>
    <w:rsid w:val="71C03E9F"/>
    <w:rsid w:val="71C23ED8"/>
    <w:rsid w:val="71D27F8A"/>
    <w:rsid w:val="71D93107"/>
    <w:rsid w:val="71DC2D3A"/>
    <w:rsid w:val="71EA0570"/>
    <w:rsid w:val="72007F02"/>
    <w:rsid w:val="7228586E"/>
    <w:rsid w:val="72404235"/>
    <w:rsid w:val="72434856"/>
    <w:rsid w:val="72553024"/>
    <w:rsid w:val="7265409A"/>
    <w:rsid w:val="72862EE6"/>
    <w:rsid w:val="72996DEC"/>
    <w:rsid w:val="72A51B1F"/>
    <w:rsid w:val="72AB41A3"/>
    <w:rsid w:val="72CE74CF"/>
    <w:rsid w:val="72D80098"/>
    <w:rsid w:val="72EC3451"/>
    <w:rsid w:val="72F135BE"/>
    <w:rsid w:val="73122968"/>
    <w:rsid w:val="731314D3"/>
    <w:rsid w:val="731E2BC7"/>
    <w:rsid w:val="731F5D5E"/>
    <w:rsid w:val="7327134F"/>
    <w:rsid w:val="733A5527"/>
    <w:rsid w:val="736B748E"/>
    <w:rsid w:val="737600E7"/>
    <w:rsid w:val="737E3D88"/>
    <w:rsid w:val="73890FDE"/>
    <w:rsid w:val="73996851"/>
    <w:rsid w:val="73B20741"/>
    <w:rsid w:val="73BF1B13"/>
    <w:rsid w:val="73C51AD5"/>
    <w:rsid w:val="73CD639B"/>
    <w:rsid w:val="73D44E8A"/>
    <w:rsid w:val="74151FBB"/>
    <w:rsid w:val="741E793C"/>
    <w:rsid w:val="742051F1"/>
    <w:rsid w:val="743F7DBF"/>
    <w:rsid w:val="74542618"/>
    <w:rsid w:val="745552CE"/>
    <w:rsid w:val="745E3944"/>
    <w:rsid w:val="7466534D"/>
    <w:rsid w:val="74712C5E"/>
    <w:rsid w:val="74872D28"/>
    <w:rsid w:val="74890514"/>
    <w:rsid w:val="7495365D"/>
    <w:rsid w:val="7499627D"/>
    <w:rsid w:val="749B0789"/>
    <w:rsid w:val="74A215D5"/>
    <w:rsid w:val="74AA7F69"/>
    <w:rsid w:val="74B0361C"/>
    <w:rsid w:val="74B53AE2"/>
    <w:rsid w:val="74BB228A"/>
    <w:rsid w:val="74BD5AB6"/>
    <w:rsid w:val="74EA0887"/>
    <w:rsid w:val="75526B58"/>
    <w:rsid w:val="75710CCB"/>
    <w:rsid w:val="757A6DE9"/>
    <w:rsid w:val="758A1024"/>
    <w:rsid w:val="758D5312"/>
    <w:rsid w:val="75952EE8"/>
    <w:rsid w:val="759C594B"/>
    <w:rsid w:val="75AD3D8E"/>
    <w:rsid w:val="75BB68BF"/>
    <w:rsid w:val="75EF1A41"/>
    <w:rsid w:val="75F96FD3"/>
    <w:rsid w:val="76053BCA"/>
    <w:rsid w:val="761866A5"/>
    <w:rsid w:val="7635099D"/>
    <w:rsid w:val="764B6780"/>
    <w:rsid w:val="767C4559"/>
    <w:rsid w:val="7682346D"/>
    <w:rsid w:val="76966F18"/>
    <w:rsid w:val="76AE6D87"/>
    <w:rsid w:val="76AF3B36"/>
    <w:rsid w:val="76CA4E14"/>
    <w:rsid w:val="76CC0B8C"/>
    <w:rsid w:val="77136A35"/>
    <w:rsid w:val="77424DF3"/>
    <w:rsid w:val="77436BA8"/>
    <w:rsid w:val="776377CE"/>
    <w:rsid w:val="7766621A"/>
    <w:rsid w:val="776B5908"/>
    <w:rsid w:val="77762421"/>
    <w:rsid w:val="779C169C"/>
    <w:rsid w:val="77A03636"/>
    <w:rsid w:val="77A3230A"/>
    <w:rsid w:val="77A7237E"/>
    <w:rsid w:val="77A94379"/>
    <w:rsid w:val="77B56B1F"/>
    <w:rsid w:val="77DF2224"/>
    <w:rsid w:val="77F4039A"/>
    <w:rsid w:val="780F09F4"/>
    <w:rsid w:val="781661E2"/>
    <w:rsid w:val="7841440C"/>
    <w:rsid w:val="784F48EE"/>
    <w:rsid w:val="78654DF4"/>
    <w:rsid w:val="78682C57"/>
    <w:rsid w:val="786B1CDE"/>
    <w:rsid w:val="787C38E0"/>
    <w:rsid w:val="787F78F4"/>
    <w:rsid w:val="788D40F2"/>
    <w:rsid w:val="789E2AB5"/>
    <w:rsid w:val="78A90480"/>
    <w:rsid w:val="78A9092C"/>
    <w:rsid w:val="78B3305E"/>
    <w:rsid w:val="78BC12F3"/>
    <w:rsid w:val="78FC0F68"/>
    <w:rsid w:val="792B6942"/>
    <w:rsid w:val="792D2941"/>
    <w:rsid w:val="79736422"/>
    <w:rsid w:val="79C0204D"/>
    <w:rsid w:val="79CE26CC"/>
    <w:rsid w:val="7A164089"/>
    <w:rsid w:val="7A2A4B07"/>
    <w:rsid w:val="7A364017"/>
    <w:rsid w:val="7A3B2320"/>
    <w:rsid w:val="7A454EDD"/>
    <w:rsid w:val="7A641FB7"/>
    <w:rsid w:val="7A676E62"/>
    <w:rsid w:val="7A762BF2"/>
    <w:rsid w:val="7A7F0F4D"/>
    <w:rsid w:val="7A7F6DD9"/>
    <w:rsid w:val="7A8265E1"/>
    <w:rsid w:val="7A843294"/>
    <w:rsid w:val="7A8F7F06"/>
    <w:rsid w:val="7A9923FF"/>
    <w:rsid w:val="7AAD2A82"/>
    <w:rsid w:val="7AB91427"/>
    <w:rsid w:val="7ACB4CB6"/>
    <w:rsid w:val="7AEE7C23"/>
    <w:rsid w:val="7B286E9B"/>
    <w:rsid w:val="7B6475E5"/>
    <w:rsid w:val="7B65510B"/>
    <w:rsid w:val="7B686D42"/>
    <w:rsid w:val="7B705F89"/>
    <w:rsid w:val="7B7C18C0"/>
    <w:rsid w:val="7B841746"/>
    <w:rsid w:val="7BB92409"/>
    <w:rsid w:val="7BC934AC"/>
    <w:rsid w:val="7BF2435F"/>
    <w:rsid w:val="7BFB4736"/>
    <w:rsid w:val="7C201336"/>
    <w:rsid w:val="7C2A2ED2"/>
    <w:rsid w:val="7C325E17"/>
    <w:rsid w:val="7C351FC6"/>
    <w:rsid w:val="7C3B1C06"/>
    <w:rsid w:val="7C567BEB"/>
    <w:rsid w:val="7C6C5AC7"/>
    <w:rsid w:val="7C8B7C63"/>
    <w:rsid w:val="7C9312ED"/>
    <w:rsid w:val="7CC6544B"/>
    <w:rsid w:val="7CE65F17"/>
    <w:rsid w:val="7D0239FF"/>
    <w:rsid w:val="7D113294"/>
    <w:rsid w:val="7D1624EC"/>
    <w:rsid w:val="7D1F7C67"/>
    <w:rsid w:val="7D284D43"/>
    <w:rsid w:val="7D317357"/>
    <w:rsid w:val="7D5E40CD"/>
    <w:rsid w:val="7DB04A3F"/>
    <w:rsid w:val="7DBC0FFC"/>
    <w:rsid w:val="7DCD56F2"/>
    <w:rsid w:val="7DE762AB"/>
    <w:rsid w:val="7E17093E"/>
    <w:rsid w:val="7E2F6C16"/>
    <w:rsid w:val="7E48419C"/>
    <w:rsid w:val="7E5178EE"/>
    <w:rsid w:val="7E7A3E5B"/>
    <w:rsid w:val="7E800FF8"/>
    <w:rsid w:val="7E80470E"/>
    <w:rsid w:val="7E881951"/>
    <w:rsid w:val="7E8F4948"/>
    <w:rsid w:val="7E90029F"/>
    <w:rsid w:val="7EA51B7C"/>
    <w:rsid w:val="7EA83C8C"/>
    <w:rsid w:val="7EBC14E6"/>
    <w:rsid w:val="7EBF748C"/>
    <w:rsid w:val="7ECB5A88"/>
    <w:rsid w:val="7ED82CDA"/>
    <w:rsid w:val="7EDC3E64"/>
    <w:rsid w:val="7EFC18E2"/>
    <w:rsid w:val="7F001CE7"/>
    <w:rsid w:val="7F2273E2"/>
    <w:rsid w:val="7F3B3867"/>
    <w:rsid w:val="7F413799"/>
    <w:rsid w:val="7F427F59"/>
    <w:rsid w:val="7F4510E0"/>
    <w:rsid w:val="7F4F0061"/>
    <w:rsid w:val="7F516DE7"/>
    <w:rsid w:val="7FAC155A"/>
    <w:rsid w:val="7FAD56C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qFormat="1"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4"/>
    <w:autoRedefine/>
    <w:qFormat/>
    <w:locked/>
    <w:uiPriority w:val="99"/>
    <w:pPr>
      <w:keepNext/>
      <w:pageBreakBefore/>
      <w:overflowPunct w:val="0"/>
      <w:jc w:val="center"/>
      <w:outlineLvl w:val="0"/>
    </w:pPr>
    <w:rPr>
      <w:rFonts w:ascii="Calibri" w:hAnsi="Calibri" w:eastAsia="黑体" w:cs="Times New Roman"/>
      <w:b/>
      <w:bCs/>
      <w:color w:val="000000"/>
      <w:kern w:val="44"/>
      <w:sz w:val="30"/>
      <w:szCs w:val="30"/>
      <w:lang w:val="en-US" w:eastAsia="zh-CN" w:bidi="ar-SA"/>
    </w:rPr>
  </w:style>
  <w:style w:type="paragraph" w:styleId="3">
    <w:name w:val="heading 2"/>
    <w:basedOn w:val="1"/>
    <w:next w:val="1"/>
    <w:link w:val="59"/>
    <w:autoRedefine/>
    <w:qFormat/>
    <w:locked/>
    <w:uiPriority w:val="0"/>
    <w:pPr>
      <w:keepNext/>
      <w:keepLines/>
      <w:ind w:firstLine="0" w:firstLineChars="0"/>
      <w:jc w:val="left"/>
      <w:outlineLvl w:val="1"/>
    </w:pPr>
    <w:rPr>
      <w:rFonts w:ascii="Arial" w:hAnsi="Arial"/>
      <w:b/>
    </w:rPr>
  </w:style>
  <w:style w:type="paragraph" w:styleId="4">
    <w:name w:val="heading 3"/>
    <w:basedOn w:val="1"/>
    <w:next w:val="1"/>
    <w:autoRedefine/>
    <w:qFormat/>
    <w:locked/>
    <w:uiPriority w:val="0"/>
    <w:pPr>
      <w:spacing w:before="100" w:beforeAutospacing="1" w:after="100" w:afterAutospacing="1"/>
      <w:jc w:val="left"/>
      <w:outlineLvl w:val="2"/>
    </w:pPr>
    <w:rPr>
      <w:rFonts w:hint="eastAsia" w:ascii="宋体" w:hAnsi="宋体"/>
      <w:b/>
      <w:kern w:val="0"/>
      <w:sz w:val="27"/>
      <w:szCs w:val="27"/>
    </w:rPr>
  </w:style>
  <w:style w:type="paragraph" w:styleId="5">
    <w:name w:val="heading 4"/>
    <w:basedOn w:val="1"/>
    <w:next w:val="1"/>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autoRedefine/>
    <w:qFormat/>
    <w:locked/>
    <w:uiPriority w:val="0"/>
    <w:pPr>
      <w:spacing w:line="0" w:lineRule="atLeast"/>
      <w:ind w:firstLine="420"/>
    </w:pPr>
    <w:rPr>
      <w:szCs w:val="20"/>
    </w:rPr>
  </w:style>
  <w:style w:type="paragraph" w:customStyle="1" w:styleId="7">
    <w:name w:val="样式 标题 2 + 三号1"/>
    <w:basedOn w:val="3"/>
    <w:next w:val="1"/>
    <w:qFormat/>
    <w:uiPriority w:val="99"/>
    <w:pPr>
      <w:keepLines w:val="0"/>
      <w:numPr>
        <w:ilvl w:val="1"/>
        <w:numId w:val="1"/>
      </w:numPr>
      <w:tabs>
        <w:tab w:val="left" w:pos="718"/>
        <w:tab w:val="clear" w:pos="576"/>
      </w:tabs>
      <w:spacing w:line="480" w:lineRule="auto"/>
      <w:ind w:left="718"/>
      <w:jc w:val="left"/>
    </w:pPr>
    <w:rPr>
      <w:rFonts w:ascii="宋体" w:hAnsi="宋体"/>
      <w:kern w:val="0"/>
      <w:sz w:val="32"/>
    </w:rPr>
  </w:style>
  <w:style w:type="paragraph" w:styleId="8">
    <w:name w:val="annotation text"/>
    <w:basedOn w:val="1"/>
    <w:link w:val="45"/>
    <w:autoRedefine/>
    <w:semiHidden/>
    <w:qFormat/>
    <w:uiPriority w:val="0"/>
    <w:pPr>
      <w:ind w:firstLine="420"/>
      <w:jc w:val="left"/>
    </w:pPr>
    <w:rPr>
      <w:kern w:val="0"/>
      <w:szCs w:val="20"/>
    </w:rPr>
  </w:style>
  <w:style w:type="paragraph" w:styleId="9">
    <w:name w:val="Body Text"/>
    <w:basedOn w:val="1"/>
    <w:next w:val="10"/>
    <w:link w:val="46"/>
    <w:autoRedefine/>
    <w:qFormat/>
    <w:uiPriority w:val="0"/>
    <w:pPr>
      <w:widowControl/>
      <w:spacing w:before="60" w:after="160" w:line="259" w:lineRule="auto"/>
      <w:ind w:right="113"/>
    </w:pPr>
    <w:rPr>
      <w:kern w:val="0"/>
      <w:sz w:val="18"/>
      <w:szCs w:val="20"/>
    </w:rPr>
  </w:style>
  <w:style w:type="paragraph" w:styleId="10">
    <w:name w:val="List Bullet 5"/>
    <w:basedOn w:val="1"/>
    <w:autoRedefine/>
    <w:qFormat/>
    <w:locked/>
    <w:uiPriority w:val="0"/>
    <w:pPr>
      <w:numPr>
        <w:ilvl w:val="0"/>
        <w:numId w:val="2"/>
      </w:numPr>
    </w:pPr>
  </w:style>
  <w:style w:type="paragraph" w:styleId="11">
    <w:name w:val="Body Text Indent"/>
    <w:basedOn w:val="1"/>
    <w:link w:val="47"/>
    <w:autoRedefine/>
    <w:qFormat/>
    <w:uiPriority w:val="0"/>
    <w:pPr>
      <w:spacing w:after="120"/>
      <w:ind w:left="420" w:leftChars="200"/>
    </w:pPr>
    <w:rPr>
      <w:kern w:val="0"/>
      <w:szCs w:val="20"/>
    </w:rPr>
  </w:style>
  <w:style w:type="paragraph" w:styleId="12">
    <w:name w:val="List 2"/>
    <w:basedOn w:val="1"/>
    <w:unhideWhenUsed/>
    <w:qFormat/>
    <w:locked/>
    <w:uiPriority w:val="0"/>
    <w:pPr>
      <w:widowControl w:val="0"/>
      <w:adjustRightInd/>
      <w:snapToGrid/>
      <w:ind w:left="100" w:leftChars="200" w:hanging="200" w:hangingChars="200"/>
      <w:contextualSpacing/>
    </w:pPr>
    <w:rPr>
      <w:szCs w:val="22"/>
      <w:lang w:bidi="ar-SA"/>
    </w:rPr>
  </w:style>
  <w:style w:type="paragraph" w:styleId="13">
    <w:name w:val="Block Text"/>
    <w:basedOn w:val="1"/>
    <w:qFormat/>
    <w:locked/>
    <w:uiPriority w:val="0"/>
    <w:pPr>
      <w:autoSpaceDE w:val="0"/>
      <w:autoSpaceDN w:val="0"/>
      <w:adjustRightInd w:val="0"/>
      <w:snapToGrid/>
      <w:spacing w:line="600" w:lineRule="exact"/>
      <w:ind w:left="-50" w:right="-15" w:firstLine="523"/>
    </w:pPr>
    <w:rPr>
      <w:rFonts w:hAnsi="Times New Roman" w:cs="宋体"/>
      <w:szCs w:val="28"/>
      <w:lang w:val="zh-CN"/>
    </w:rPr>
  </w:style>
  <w:style w:type="paragraph" w:styleId="14">
    <w:name w:val="Plain Text"/>
    <w:basedOn w:val="1"/>
    <w:next w:val="1"/>
    <w:autoRedefine/>
    <w:qFormat/>
    <w:locked/>
    <w:uiPriority w:val="0"/>
    <w:rPr>
      <w:rFonts w:ascii="宋体" w:hAnsi="Courier New" w:cs="宋体"/>
      <w:szCs w:val="21"/>
    </w:rPr>
  </w:style>
  <w:style w:type="paragraph" w:styleId="15">
    <w:name w:val="Date"/>
    <w:basedOn w:val="1"/>
    <w:next w:val="1"/>
    <w:link w:val="48"/>
    <w:autoRedefine/>
    <w:qFormat/>
    <w:uiPriority w:val="0"/>
    <w:pPr>
      <w:ind w:left="100" w:leftChars="2500"/>
    </w:pPr>
    <w:rPr>
      <w:kern w:val="0"/>
      <w:szCs w:val="20"/>
    </w:rPr>
  </w:style>
  <w:style w:type="paragraph" w:styleId="16">
    <w:name w:val="Body Text Indent 2"/>
    <w:basedOn w:val="1"/>
    <w:autoRedefine/>
    <w:qFormat/>
    <w:locked/>
    <w:uiPriority w:val="0"/>
    <w:pPr>
      <w:ind w:firstLine="573"/>
    </w:pPr>
    <w:rPr>
      <w:sz w:val="28"/>
    </w:rPr>
  </w:style>
  <w:style w:type="paragraph" w:styleId="17">
    <w:name w:val="Balloon Text"/>
    <w:basedOn w:val="1"/>
    <w:next w:val="1"/>
    <w:link w:val="49"/>
    <w:autoRedefine/>
    <w:semiHidden/>
    <w:qFormat/>
    <w:uiPriority w:val="0"/>
    <w:rPr>
      <w:kern w:val="0"/>
      <w:sz w:val="18"/>
      <w:szCs w:val="20"/>
    </w:rPr>
  </w:style>
  <w:style w:type="paragraph" w:styleId="18">
    <w:name w:val="footer"/>
    <w:basedOn w:val="1"/>
    <w:link w:val="50"/>
    <w:autoRedefine/>
    <w:qFormat/>
    <w:uiPriority w:val="99"/>
    <w:pPr>
      <w:tabs>
        <w:tab w:val="center" w:pos="4153"/>
        <w:tab w:val="right" w:pos="8306"/>
      </w:tabs>
      <w:jc w:val="left"/>
    </w:pPr>
    <w:rPr>
      <w:kern w:val="0"/>
      <w:sz w:val="18"/>
      <w:szCs w:val="20"/>
    </w:rPr>
  </w:style>
  <w:style w:type="paragraph" w:styleId="19">
    <w:name w:val="header"/>
    <w:basedOn w:val="1"/>
    <w:link w:val="51"/>
    <w:autoRedefine/>
    <w:qFormat/>
    <w:uiPriority w:val="0"/>
    <w:pPr>
      <w:pBdr>
        <w:bottom w:val="single" w:color="auto" w:sz="6" w:space="1"/>
      </w:pBdr>
      <w:tabs>
        <w:tab w:val="center" w:pos="4153"/>
        <w:tab w:val="right" w:pos="8306"/>
      </w:tabs>
      <w:jc w:val="center"/>
    </w:pPr>
    <w:rPr>
      <w:kern w:val="0"/>
      <w:sz w:val="18"/>
      <w:szCs w:val="20"/>
    </w:rPr>
  </w:style>
  <w:style w:type="paragraph" w:styleId="20">
    <w:name w:val="toc 1"/>
    <w:basedOn w:val="1"/>
    <w:next w:val="1"/>
    <w:autoRedefine/>
    <w:qFormat/>
    <w:locked/>
    <w:uiPriority w:val="39"/>
    <w:rPr>
      <w:b/>
    </w:rPr>
  </w:style>
  <w:style w:type="paragraph" w:styleId="21">
    <w:name w:val="List Continue 4"/>
    <w:basedOn w:val="1"/>
    <w:next w:val="1"/>
    <w:autoRedefine/>
    <w:qFormat/>
    <w:locked/>
    <w:uiPriority w:val="0"/>
    <w:pPr>
      <w:spacing w:after="120"/>
      <w:ind w:left="1680" w:firstLine="480"/>
    </w:pPr>
    <w:rPr>
      <w:rFonts w:ascii="宋体"/>
    </w:rPr>
  </w:style>
  <w:style w:type="paragraph" w:styleId="22">
    <w:name w:val="index heading"/>
    <w:basedOn w:val="1"/>
    <w:next w:val="23"/>
    <w:autoRedefine/>
    <w:unhideWhenUsed/>
    <w:qFormat/>
    <w:locked/>
    <w:uiPriority w:val="0"/>
    <w:pPr>
      <w:widowControl/>
      <w:jc w:val="left"/>
    </w:pPr>
    <w:rPr>
      <w:rFonts w:ascii="Cambria" w:hAnsi="Cambria"/>
      <w:b/>
      <w:bCs/>
      <w:sz w:val="25"/>
      <w:szCs w:val="25"/>
    </w:rPr>
  </w:style>
  <w:style w:type="paragraph" w:styleId="23">
    <w:name w:val="index 1"/>
    <w:basedOn w:val="1"/>
    <w:next w:val="1"/>
    <w:autoRedefine/>
    <w:qFormat/>
    <w:locked/>
    <w:uiPriority w:val="0"/>
    <w:pPr>
      <w:spacing w:before="240"/>
      <w:ind w:firstLine="420"/>
    </w:pPr>
    <w:rPr>
      <w:rFonts w:ascii="宋体" w:hAnsi="宋体"/>
    </w:rPr>
  </w:style>
  <w:style w:type="paragraph" w:styleId="24">
    <w:name w:val="List"/>
    <w:basedOn w:val="1"/>
    <w:autoRedefine/>
    <w:qFormat/>
    <w:locked/>
    <w:uiPriority w:val="0"/>
    <w:pPr>
      <w:ind w:left="200" w:hanging="200" w:hangingChars="200"/>
    </w:pPr>
    <w:rPr>
      <w:rFonts w:eastAsia="仿宋_GB2312"/>
      <w:bCs/>
      <w:sz w:val="32"/>
      <w:szCs w:val="20"/>
    </w:rPr>
  </w:style>
  <w:style w:type="paragraph" w:styleId="25">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6">
    <w:name w:val="Normal (Web)"/>
    <w:basedOn w:val="1"/>
    <w:link w:val="52"/>
    <w:autoRedefine/>
    <w:qFormat/>
    <w:uiPriority w:val="0"/>
    <w:pPr>
      <w:widowControl/>
      <w:spacing w:before="100" w:beforeAutospacing="1" w:after="100" w:afterAutospacing="1"/>
      <w:jc w:val="left"/>
    </w:pPr>
    <w:rPr>
      <w:rFonts w:ascii="宋体" w:hAnsi="宋体"/>
      <w:kern w:val="0"/>
      <w:szCs w:val="20"/>
    </w:rPr>
  </w:style>
  <w:style w:type="paragraph" w:styleId="27">
    <w:name w:val="annotation subject"/>
    <w:basedOn w:val="8"/>
    <w:next w:val="8"/>
    <w:link w:val="53"/>
    <w:autoRedefine/>
    <w:semiHidden/>
    <w:qFormat/>
    <w:uiPriority w:val="0"/>
    <w:rPr>
      <w:b/>
    </w:rPr>
  </w:style>
  <w:style w:type="paragraph" w:styleId="28">
    <w:name w:val="Body Text First Indent"/>
    <w:basedOn w:val="9"/>
    <w:next w:val="1"/>
    <w:autoRedefine/>
    <w:qFormat/>
    <w:locked/>
    <w:uiPriority w:val="0"/>
    <w:pPr>
      <w:ind w:firstLine="420" w:firstLineChars="100"/>
    </w:pPr>
  </w:style>
  <w:style w:type="paragraph" w:styleId="29">
    <w:name w:val="Body Text First Indent 2"/>
    <w:basedOn w:val="1"/>
    <w:next w:val="21"/>
    <w:autoRedefine/>
    <w:qFormat/>
    <w:locked/>
    <w:uiPriority w:val="0"/>
    <w:pPr>
      <w:spacing w:line="240" w:lineRule="auto"/>
      <w:ind w:firstLine="420"/>
    </w:pPr>
    <w:rPr>
      <w:sz w:val="21"/>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locked/>
    <w:uiPriority w:val="0"/>
    <w:rPr>
      <w:b/>
    </w:rPr>
  </w:style>
  <w:style w:type="character" w:styleId="34">
    <w:name w:val="page number"/>
    <w:basedOn w:val="32"/>
    <w:autoRedefine/>
    <w:qFormat/>
    <w:locked/>
    <w:uiPriority w:val="0"/>
  </w:style>
  <w:style w:type="character" w:styleId="35">
    <w:name w:val="Hyperlink"/>
    <w:basedOn w:val="32"/>
    <w:autoRedefine/>
    <w:qFormat/>
    <w:locked/>
    <w:uiPriority w:val="0"/>
    <w:rPr>
      <w:color w:val="0000FF"/>
      <w:u w:val="single"/>
    </w:rPr>
  </w:style>
  <w:style w:type="character" w:styleId="36">
    <w:name w:val="annotation reference"/>
    <w:autoRedefine/>
    <w:semiHidden/>
    <w:qFormat/>
    <w:uiPriority w:val="0"/>
    <w:rPr>
      <w:sz w:val="21"/>
    </w:rPr>
  </w:style>
  <w:style w:type="paragraph" w:customStyle="1" w:styleId="37">
    <w:name w:val="表题"/>
    <w:basedOn w:val="1"/>
    <w:next w:val="1"/>
    <w:autoRedefine/>
    <w:qFormat/>
    <w:uiPriority w:val="0"/>
    <w:pPr>
      <w:spacing w:before="50" w:beforeLines="50" w:line="240" w:lineRule="auto"/>
      <w:ind w:firstLine="0" w:firstLineChars="0"/>
      <w:jc w:val="center"/>
    </w:pPr>
    <w:rPr>
      <w:b/>
      <w:sz w:val="21"/>
    </w:rPr>
  </w:style>
  <w:style w:type="paragraph" w:customStyle="1" w:styleId="38">
    <w:name w:val="表格文字"/>
    <w:basedOn w:val="6"/>
    <w:autoRedefine/>
    <w:qFormat/>
    <w:uiPriority w:val="0"/>
    <w:pPr>
      <w:ind w:left="-79" w:firstLine="0" w:firstLineChars="0"/>
      <w:jc w:val="center"/>
      <w:textAlignment w:val="baseline"/>
    </w:pPr>
    <w:rPr>
      <w:szCs w:val="21"/>
    </w:rPr>
  </w:style>
  <w:style w:type="paragraph" w:customStyle="1" w:styleId="39">
    <w:name w:val="表格"/>
    <w:basedOn w:val="6"/>
    <w:next w:val="1"/>
    <w:autoRedefine/>
    <w:qFormat/>
    <w:uiPriority w:val="0"/>
    <w:pPr>
      <w:spacing w:beforeLines="10" w:afterLines="10" w:line="259" w:lineRule="auto"/>
      <w:jc w:val="center"/>
    </w:pPr>
    <w:rPr>
      <w:rFonts w:ascii="宋体"/>
      <w:kern w:val="0"/>
      <w:szCs w:val="20"/>
    </w:rPr>
  </w:style>
  <w:style w:type="paragraph" w:customStyle="1" w:styleId="40">
    <w:name w:val="Default"/>
    <w:basedOn w:val="41"/>
    <w:qFormat/>
    <w:uiPriority w:val="0"/>
    <w:pPr>
      <w:autoSpaceDE w:val="0"/>
      <w:autoSpaceDN w:val="0"/>
    </w:pPr>
    <w:rPr>
      <w:rFonts w:hAnsi="Calibri" w:cs="宋体"/>
      <w:color w:val="000000"/>
      <w:sz w:val="24"/>
      <w:szCs w:val="24"/>
    </w:rPr>
  </w:style>
  <w:style w:type="paragraph" w:customStyle="1" w:styleId="41">
    <w:name w:val="A-表格文字"/>
    <w:basedOn w:val="1"/>
    <w:next w:val="1"/>
    <w:qFormat/>
    <w:uiPriority w:val="0"/>
    <w:pPr>
      <w:autoSpaceDE w:val="0"/>
      <w:autoSpaceDN w:val="0"/>
      <w:adjustRightInd w:val="0"/>
      <w:jc w:val="center"/>
      <w:textAlignment w:val="center"/>
    </w:pPr>
    <w:rPr>
      <w:rFonts w:ascii="Times New Roman" w:hAnsi="Times New Roman"/>
      <w:kern w:val="0"/>
      <w:szCs w:val="21"/>
    </w:rPr>
  </w:style>
  <w:style w:type="paragraph" w:customStyle="1" w:styleId="42">
    <w:name w:val="正文格式"/>
    <w:basedOn w:val="28"/>
    <w:next w:val="43"/>
    <w:autoRedefine/>
    <w:qFormat/>
    <w:uiPriority w:val="0"/>
    <w:pPr>
      <w:spacing w:line="360" w:lineRule="auto"/>
      <w:ind w:firstLine="560"/>
    </w:pPr>
    <w:rPr>
      <w:color w:val="000000"/>
      <w:lang w:val="zh-CN"/>
    </w:rPr>
  </w:style>
  <w:style w:type="paragraph" w:customStyle="1" w:styleId="43">
    <w:name w:val="_Style 5"/>
    <w:basedOn w:val="1"/>
    <w:autoRedefine/>
    <w:qFormat/>
    <w:uiPriority w:val="0"/>
    <w:pPr>
      <w:ind w:firstLine="420"/>
    </w:pPr>
    <w:rPr>
      <w:rFonts w:ascii="Calibri" w:hAnsi="Calibri"/>
      <w:szCs w:val="22"/>
    </w:rPr>
  </w:style>
  <w:style w:type="character" w:customStyle="1" w:styleId="44">
    <w:name w:val="标题 1 字符"/>
    <w:link w:val="2"/>
    <w:autoRedefine/>
    <w:qFormat/>
    <w:uiPriority w:val="99"/>
    <w:rPr>
      <w:rFonts w:ascii="Calibri" w:hAnsi="Calibri" w:eastAsia="黑体"/>
      <w:b/>
      <w:bCs/>
      <w:color w:val="000000"/>
      <w:kern w:val="44"/>
      <w:sz w:val="30"/>
      <w:szCs w:val="30"/>
    </w:rPr>
  </w:style>
  <w:style w:type="character" w:customStyle="1" w:styleId="45">
    <w:name w:val="批注文字 字符"/>
    <w:link w:val="8"/>
    <w:autoRedefine/>
    <w:semiHidden/>
    <w:qFormat/>
    <w:locked/>
    <w:uiPriority w:val="0"/>
    <w:rPr>
      <w:sz w:val="24"/>
    </w:rPr>
  </w:style>
  <w:style w:type="character" w:customStyle="1" w:styleId="46">
    <w:name w:val="正文文本 字符"/>
    <w:link w:val="9"/>
    <w:autoRedefine/>
    <w:qFormat/>
    <w:locked/>
    <w:uiPriority w:val="0"/>
    <w:rPr>
      <w:sz w:val="18"/>
    </w:rPr>
  </w:style>
  <w:style w:type="character" w:customStyle="1" w:styleId="47">
    <w:name w:val="正文文本缩进 字符"/>
    <w:link w:val="11"/>
    <w:autoRedefine/>
    <w:semiHidden/>
    <w:qFormat/>
    <w:locked/>
    <w:uiPriority w:val="0"/>
    <w:rPr>
      <w:rFonts w:ascii="Times New Roman" w:hAnsi="Times New Roman" w:eastAsia="宋体"/>
      <w:sz w:val="24"/>
    </w:rPr>
  </w:style>
  <w:style w:type="character" w:customStyle="1" w:styleId="48">
    <w:name w:val="日期 字符"/>
    <w:link w:val="15"/>
    <w:autoRedefine/>
    <w:qFormat/>
    <w:locked/>
    <w:uiPriority w:val="0"/>
    <w:rPr>
      <w:rFonts w:ascii="Times New Roman" w:hAnsi="Times New Roman" w:eastAsia="宋体"/>
      <w:sz w:val="24"/>
    </w:rPr>
  </w:style>
  <w:style w:type="character" w:customStyle="1" w:styleId="49">
    <w:name w:val="批注框文本 字符"/>
    <w:link w:val="17"/>
    <w:autoRedefine/>
    <w:semiHidden/>
    <w:qFormat/>
    <w:locked/>
    <w:uiPriority w:val="0"/>
    <w:rPr>
      <w:rFonts w:ascii="Times New Roman" w:hAnsi="Times New Roman" w:eastAsia="宋体"/>
      <w:sz w:val="18"/>
    </w:rPr>
  </w:style>
  <w:style w:type="character" w:customStyle="1" w:styleId="50">
    <w:name w:val="页脚 字符"/>
    <w:link w:val="18"/>
    <w:autoRedefine/>
    <w:qFormat/>
    <w:locked/>
    <w:uiPriority w:val="99"/>
    <w:rPr>
      <w:sz w:val="18"/>
    </w:rPr>
  </w:style>
  <w:style w:type="character" w:customStyle="1" w:styleId="51">
    <w:name w:val="页眉 字符"/>
    <w:link w:val="19"/>
    <w:autoRedefine/>
    <w:qFormat/>
    <w:locked/>
    <w:uiPriority w:val="0"/>
    <w:rPr>
      <w:sz w:val="18"/>
    </w:rPr>
  </w:style>
  <w:style w:type="character" w:customStyle="1" w:styleId="52">
    <w:name w:val="普通(网站) 字符"/>
    <w:link w:val="26"/>
    <w:autoRedefine/>
    <w:qFormat/>
    <w:locked/>
    <w:uiPriority w:val="0"/>
    <w:rPr>
      <w:rFonts w:ascii="宋体" w:hAnsi="宋体" w:eastAsia="宋体"/>
      <w:sz w:val="24"/>
    </w:rPr>
  </w:style>
  <w:style w:type="character" w:customStyle="1" w:styleId="53">
    <w:name w:val="批注主题 字符"/>
    <w:link w:val="27"/>
    <w:autoRedefine/>
    <w:semiHidden/>
    <w:qFormat/>
    <w:locked/>
    <w:uiPriority w:val="0"/>
    <w:rPr>
      <w:rFonts w:ascii="Times New Roman" w:hAnsi="Times New Roman" w:eastAsia="宋体"/>
      <w:b/>
      <w:kern w:val="2"/>
      <w:sz w:val="24"/>
    </w:rPr>
  </w:style>
  <w:style w:type="paragraph" w:customStyle="1" w:styleId="54">
    <w:name w:val="图表名称"/>
    <w:next w:val="1"/>
    <w:autoRedefine/>
    <w:qFormat/>
    <w:uiPriority w:val="0"/>
    <w:pPr>
      <w:adjustRightInd w:val="0"/>
      <w:snapToGrid w:val="0"/>
      <w:spacing w:line="360" w:lineRule="auto"/>
      <w:jc w:val="center"/>
    </w:pPr>
    <w:rPr>
      <w:rFonts w:ascii="宋体" w:hAnsi="宋体" w:eastAsia="Times New Roman" w:cs="Times New Roman"/>
      <w:b/>
      <w:bCs/>
      <w:kern w:val="2"/>
      <w:sz w:val="24"/>
      <w:szCs w:val="24"/>
      <w:lang w:val="en-US" w:eastAsia="zh-CN" w:bidi="ar-SA"/>
    </w:rPr>
  </w:style>
  <w:style w:type="paragraph" w:customStyle="1" w:styleId="55">
    <w:name w:val="表中文字"/>
    <w:basedOn w:val="1"/>
    <w:autoRedefine/>
    <w:qFormat/>
    <w:uiPriority w:val="0"/>
    <w:pPr>
      <w:autoSpaceDE w:val="0"/>
      <w:autoSpaceDN w:val="0"/>
      <w:spacing w:line="240" w:lineRule="auto"/>
      <w:ind w:firstLine="0" w:firstLineChars="0"/>
      <w:jc w:val="center"/>
      <w:textAlignment w:val="bottom"/>
    </w:pPr>
    <w:rPr>
      <w:bCs/>
      <w:color w:val="000000"/>
      <w:sz w:val="21"/>
      <w:szCs w:val="21"/>
    </w:rPr>
  </w:style>
  <w:style w:type="paragraph" w:customStyle="1" w:styleId="56">
    <w:name w:val="主表格"/>
    <w:basedOn w:val="1"/>
    <w:autoRedefine/>
    <w:qFormat/>
    <w:uiPriority w:val="0"/>
    <w:pPr>
      <w:tabs>
        <w:tab w:val="left" w:pos="2700"/>
      </w:tabs>
      <w:spacing w:line="240" w:lineRule="auto"/>
      <w:ind w:firstLine="0" w:firstLineChars="0"/>
      <w:jc w:val="center"/>
      <w:textAlignment w:val="center"/>
    </w:pPr>
    <w:rPr>
      <w:szCs w:val="21"/>
    </w:rPr>
  </w:style>
  <w:style w:type="paragraph" w:styleId="57">
    <w:name w:val="List Paragraph"/>
    <w:basedOn w:val="1"/>
    <w:autoRedefine/>
    <w:qFormat/>
    <w:uiPriority w:val="0"/>
    <w:pPr>
      <w:ind w:firstLine="420"/>
    </w:pPr>
    <w:rPr>
      <w:sz w:val="21"/>
    </w:rPr>
  </w:style>
  <w:style w:type="paragraph" w:styleId="58">
    <w:name w:val="No Spacing"/>
    <w:basedOn w:val="24"/>
    <w:next w:val="1"/>
    <w:autoRedefine/>
    <w:qFormat/>
    <w:uiPriority w:val="1"/>
    <w:pPr>
      <w:spacing w:line="240" w:lineRule="auto"/>
      <w:ind w:left="0" w:firstLine="0" w:firstLineChars="0"/>
      <w:contextualSpacing/>
      <w:jc w:val="center"/>
    </w:pPr>
    <w:rPr>
      <w:rFonts w:eastAsia="宋体"/>
      <w:bCs w:val="0"/>
      <w:sz w:val="21"/>
      <w:szCs w:val="22"/>
    </w:rPr>
  </w:style>
  <w:style w:type="character" w:customStyle="1" w:styleId="59">
    <w:name w:val="标题 2 字符"/>
    <w:link w:val="3"/>
    <w:autoRedefine/>
    <w:qFormat/>
    <w:uiPriority w:val="0"/>
    <w:rPr>
      <w:rFonts w:ascii="Arial" w:hAnsi="Arial"/>
      <w:b/>
    </w:rPr>
  </w:style>
  <w:style w:type="paragraph" w:customStyle="1" w:styleId="60">
    <w:name w:val="小表格"/>
    <w:basedOn w:val="1"/>
    <w:autoRedefine/>
    <w:qFormat/>
    <w:uiPriority w:val="0"/>
    <w:pPr>
      <w:spacing w:line="240" w:lineRule="auto"/>
      <w:ind w:firstLine="0" w:firstLineChars="0"/>
      <w:contextualSpacing/>
      <w:jc w:val="center"/>
    </w:pPr>
    <w:rPr>
      <w:rFonts w:hint="eastAsia"/>
      <w:sz w:val="18"/>
      <w:szCs w:val="18"/>
    </w:rPr>
  </w:style>
  <w:style w:type="paragraph" w:customStyle="1" w:styleId="61">
    <w:name w:val="表内居左"/>
    <w:autoRedefine/>
    <w:qFormat/>
    <w:uiPriority w:val="0"/>
    <w:pPr>
      <w:adjustRightInd w:val="0"/>
      <w:snapToGrid w:val="0"/>
      <w:jc w:val="both"/>
    </w:pPr>
    <w:rPr>
      <w:rFonts w:hAnsi="Times New Roman" w:cs="Times New Roman" w:asciiTheme="minorEastAsia" w:eastAsiaTheme="minorEastAsia"/>
      <w:sz w:val="21"/>
      <w:lang w:val="en-US" w:eastAsia="zh-CN" w:bidi="ar-SA"/>
    </w:rPr>
  </w:style>
  <w:style w:type="paragraph" w:customStyle="1" w:styleId="62">
    <w:name w:val="表内居中"/>
    <w:autoRedefine/>
    <w:qFormat/>
    <w:uiPriority w:val="0"/>
    <w:pPr>
      <w:tabs>
        <w:tab w:val="right" w:leader="middleDot" w:pos="7938"/>
      </w:tabs>
      <w:adjustRightInd w:val="0"/>
      <w:snapToGrid w:val="0"/>
      <w:jc w:val="center"/>
    </w:pPr>
    <w:rPr>
      <w:rFonts w:ascii="Times New Roman" w:hAnsi="Times New Roman" w:cs="Times New Roman" w:eastAsiaTheme="minorEastAsia"/>
      <w:sz w:val="21"/>
      <w:lang w:val="en-US" w:eastAsia="zh-CN" w:bidi="ar-SA"/>
    </w:rPr>
  </w:style>
  <w:style w:type="paragraph" w:customStyle="1" w:styleId="63">
    <w:name w:val="表中顶格"/>
    <w:basedOn w:val="1"/>
    <w:next w:val="1"/>
    <w:autoRedefine/>
    <w:qFormat/>
    <w:uiPriority w:val="0"/>
    <w:pPr>
      <w:spacing w:line="240" w:lineRule="auto"/>
      <w:ind w:firstLine="0" w:firstLineChars="0"/>
      <w:textAlignment w:val="center"/>
    </w:pPr>
    <w:rPr>
      <w:sz w:val="21"/>
      <w:szCs w:val="22"/>
    </w:rPr>
  </w:style>
  <w:style w:type="paragraph" w:customStyle="1" w:styleId="64">
    <w:name w:val="表头"/>
    <w:basedOn w:val="1"/>
    <w:next w:val="1"/>
    <w:autoRedefine/>
    <w:qFormat/>
    <w:uiPriority w:val="0"/>
    <w:pPr>
      <w:spacing w:before="50" w:beforeLines="50" w:line="240" w:lineRule="auto"/>
      <w:ind w:firstLine="0" w:firstLineChars="0"/>
      <w:jc w:val="center"/>
      <w:textAlignment w:val="baseline"/>
    </w:pPr>
    <w:rPr>
      <w:b/>
      <w:kern w:val="0"/>
      <w:sz w:val="21"/>
      <w:szCs w:val="20"/>
    </w:rPr>
  </w:style>
  <w:style w:type="paragraph" w:customStyle="1" w:styleId="65">
    <w:name w:val="Table Paragraph"/>
    <w:basedOn w:val="1"/>
    <w:autoRedefine/>
    <w:qFormat/>
    <w:uiPriority w:val="1"/>
    <w:pPr>
      <w:autoSpaceDE w:val="0"/>
      <w:autoSpaceDN w:val="0"/>
      <w:adjustRightInd/>
      <w:snapToGrid/>
      <w:spacing w:line="240" w:lineRule="auto"/>
      <w:ind w:firstLine="0" w:firstLineChars="0"/>
      <w:jc w:val="left"/>
    </w:pPr>
    <w:rPr>
      <w:rFonts w:ascii="微软雅黑" w:hAnsi="微软雅黑" w:eastAsia="微软雅黑" w:cs="微软雅黑"/>
      <w:kern w:val="0"/>
      <w:sz w:val="22"/>
      <w:lang w:eastAsia="en-US"/>
    </w:rPr>
  </w:style>
  <w:style w:type="paragraph" w:customStyle="1" w:styleId="66">
    <w:name w:val="表内文字"/>
    <w:basedOn w:val="1"/>
    <w:autoRedefine/>
    <w:qFormat/>
    <w:uiPriority w:val="0"/>
    <w:pPr>
      <w:spacing w:line="240" w:lineRule="auto"/>
      <w:ind w:firstLine="0" w:firstLineChars="0"/>
      <w:jc w:val="center"/>
    </w:pPr>
    <w:rPr>
      <w:rFonts w:ascii="宋体" w:hAnsi="宋体" w:cs="宋体"/>
      <w:sz w:val="21"/>
    </w:rPr>
  </w:style>
  <w:style w:type="paragraph" w:customStyle="1" w:styleId="67">
    <w:name w:val="修订1"/>
    <w:autoRedefine/>
    <w:hidden/>
    <w:semiHidden/>
    <w:qFormat/>
    <w:uiPriority w:val="99"/>
    <w:rPr>
      <w:rFonts w:ascii="Times New Roman" w:hAnsi="Times New Roman" w:eastAsia="宋体" w:cs="Times New Roman"/>
      <w:kern w:val="2"/>
      <w:sz w:val="24"/>
      <w:szCs w:val="24"/>
      <w:lang w:val="en-US" w:eastAsia="zh-CN" w:bidi="ar-SA"/>
    </w:rPr>
  </w:style>
  <w:style w:type="paragraph" w:customStyle="1" w:styleId="68">
    <w:name w:val="李表格文字"/>
    <w:basedOn w:val="65"/>
    <w:unhideWhenUsed/>
    <w:qFormat/>
    <w:uiPriority w:val="0"/>
    <w:pPr>
      <w:jc w:val="center"/>
    </w:pPr>
    <w:rPr>
      <w:rFonts w:ascii="Times New Roman" w:hAnsi="Times New Roman" w:eastAsia="宋体" w:cs="Calibri"/>
      <w:color w:val="FF0000"/>
      <w:sz w:val="21"/>
    </w:rPr>
  </w:style>
  <w:style w:type="paragraph" w:customStyle="1" w:styleId="69">
    <w:name w:val="表中"/>
    <w:basedOn w:val="70"/>
    <w:qFormat/>
    <w:uiPriority w:val="0"/>
    <w:pPr>
      <w:tabs>
        <w:tab w:val="left" w:pos="893"/>
      </w:tabs>
    </w:pPr>
    <w:rPr>
      <w:rFonts w:ascii="Times New Roman" w:hAnsi="Times New Roman" w:eastAsia="宋体" w:cs="宋体"/>
    </w:rPr>
  </w:style>
  <w:style w:type="paragraph" w:customStyle="1" w:styleId="70">
    <w:name w:val="表文"/>
    <w:qFormat/>
    <w:uiPriority w:val="0"/>
    <w:pPr>
      <w:widowControl w:val="0"/>
      <w:adjustRightInd w:val="0"/>
      <w:spacing w:line="0" w:lineRule="atLeast"/>
      <w:jc w:val="center"/>
    </w:pPr>
    <w:rPr>
      <w:rFonts w:ascii="Times" w:hAnsi="Times" w:eastAsia="Times New Roman" w:cs="Times New Roman"/>
      <w:kern w:val="2"/>
      <w:sz w:val="21"/>
      <w:szCs w:val="21"/>
      <w:lang w:val="en-US" w:eastAsia="zh-CN" w:bidi="ar-SA"/>
    </w:rPr>
  </w:style>
  <w:style w:type="paragraph" w:customStyle="1" w:styleId="71">
    <w:name w:val="p0"/>
    <w:basedOn w:val="1"/>
    <w:qFormat/>
    <w:uiPriority w:val="0"/>
    <w:pPr>
      <w:widowControl/>
      <w:snapToGrid/>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contractReview xmlns="http://schemas.wps.cn/vas-ai-hub/contract-review">
  <reviewItems>
    <reviewItem>
      <errorID>bc26429d-2dac-4681-b06d-8873aa2126e3</errorID>
      <errorWord>2月30日</errorWord>
      <group>L1_Other</group>
      <groupName>其他问题</groupName>
      <ability>L2_UserTypo</ability>
      <abilityName>自定义错误</abilityName>
      <candidateList>
        <item>建议核实</item>
      </candidateList>
      <explain>来自自定义错词库。</explain>
      <paraID>13A11C59</paraID>
      <start>157</start>
      <end>162</end>
      <status>ignored</status>
      <modifiedWord/>
      <trackRevisions>false</trackRevisions>
    </reviewItem>
    <reviewItem>
      <errorID>37b1dede-63ce-48c5-87cd-67b149d541b2</errorID>
      <errorWord>》（试行）</errorWord>
      <group>L1_Other</group>
      <groupName>其他问题</groupName>
      <ability>L2_UserTypo</ability>
      <abilityName>自定义错误</abilityName>
      <candidateList>
        <item>（试行）》</item>
      </candidateList>
      <explain>来自自定义错词库。</explain>
      <paraID>71892993</paraID>
      <start>281</start>
      <end>286</end>
      <status>modified</status>
      <modifiedWord>（试行）》</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74473b-0cc1-4a8c-b6df-8fddf1ef330d}">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56</Pages>
  <Words>12170</Words>
  <Characters>12834</Characters>
  <Lines>277</Lines>
  <Paragraphs>78</Paragraphs>
  <TotalTime>8</TotalTime>
  <ScaleCrop>false</ScaleCrop>
  <LinksUpToDate>false</LinksUpToDate>
  <CharactersWithSpaces>12916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2022-02-07T10:49:00Z</dcterms:created>
  <dc:creator>lhj</dc:creator>
  <cp:lastModifiedBy>WPS_1562320662</cp:lastModifiedBy>
  <cp:lastPrinted>2021-04-16T10:36:00Z</cp:lastPrinted>
  <dcterms:modified xsi:type="dcterms:W3CDTF">2025-12-08T11:17:53Z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7A161C7F35ED494895E38D36E20E9D87</vt:lpwstr>
  </property>
  <property fmtid="{D5CDD505-2E9C-101B-9397-08002B2CF9AE}" pid="4" name="KSOTemplateDocerSaveRecord">
    <vt:lpwstr>eyJoZGlkIjoiNGRhODgyNjQ5YTE5ZjFmYjE2NDEwOTU4OTE2MjU0N2MiLCJ1c2VySWQiOiI2MDE2NTE5NzkifQ==</vt:lpwstr>
  </property>
</Properties>
</file>