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B5AEF">
      <w:pPr>
        <w:adjustRightInd w:val="0"/>
        <w:snapToGrid w:val="0"/>
        <w:ind w:firstLine="1440"/>
        <w:jc w:val="center"/>
        <w:outlineLvl w:val="0"/>
        <w:rPr>
          <w:rFonts w:hint="default" w:ascii="Times New Roman" w:hAnsi="Times New Roman" w:eastAsia="方正小标宋_GBK" w:cs="Times New Roman"/>
          <w:bCs/>
          <w:color w:val="auto"/>
          <w:sz w:val="72"/>
          <w:szCs w:val="72"/>
          <w:highlight w:val="none"/>
        </w:rPr>
      </w:pPr>
    </w:p>
    <w:p w14:paraId="273BEF55">
      <w:pPr>
        <w:adjustRightInd w:val="0"/>
        <w:snapToGrid w:val="0"/>
        <w:ind w:firstLine="1440"/>
        <w:jc w:val="center"/>
        <w:outlineLvl w:val="0"/>
        <w:rPr>
          <w:rFonts w:hint="default" w:ascii="Times New Roman" w:hAnsi="Times New Roman" w:eastAsia="方正小标宋_GBK" w:cs="Times New Roman"/>
          <w:bCs/>
          <w:color w:val="auto"/>
          <w:sz w:val="72"/>
          <w:szCs w:val="72"/>
          <w:highlight w:val="none"/>
        </w:rPr>
      </w:pPr>
    </w:p>
    <w:p w14:paraId="20D623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Cs/>
          <w:color w:val="auto"/>
          <w:sz w:val="72"/>
          <w:szCs w:val="72"/>
          <w:highlight w:val="none"/>
        </w:rPr>
      </w:pPr>
      <w:r>
        <w:rPr>
          <w:rFonts w:hint="default" w:ascii="Times New Roman" w:hAnsi="Times New Roman" w:cs="Times New Roman"/>
          <w:bCs/>
          <w:color w:val="auto"/>
          <w:sz w:val="72"/>
          <w:szCs w:val="72"/>
          <w:highlight w:val="none"/>
        </w:rPr>
        <w:t>建设项目环境影响报告表</w:t>
      </w:r>
    </w:p>
    <w:p w14:paraId="46657709">
      <w:pPr>
        <w:keepNext w:val="0"/>
        <w:keepLines w:val="0"/>
        <w:pageBreakBefore w:val="0"/>
        <w:widowControl w:val="0"/>
        <w:kinsoku/>
        <w:wordWrap/>
        <w:overflowPunct/>
        <w:topLinePunct w:val="0"/>
        <w:autoSpaceDE/>
        <w:autoSpaceDN/>
        <w:bidi w:val="0"/>
        <w:adjustRightInd w:val="0"/>
        <w:snapToGrid w:val="0"/>
        <w:spacing w:before="249" w:beforeLines="80" w:line="240" w:lineRule="auto"/>
        <w:ind w:left="0" w:leftChars="0" w:firstLine="0" w:firstLineChars="0"/>
        <w:jc w:val="center"/>
        <w:textAlignment w:val="auto"/>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0E8A25B">
      <w:pPr>
        <w:adjustRightInd w:val="0"/>
        <w:snapToGrid w:val="0"/>
        <w:spacing w:line="288" w:lineRule="auto"/>
        <w:ind w:firstLine="720"/>
        <w:rPr>
          <w:rFonts w:hint="default" w:ascii="Times New Roman" w:hAnsi="Times New Roman" w:cs="Times New Roman"/>
          <w:color w:val="auto"/>
          <w:sz w:val="36"/>
          <w:szCs w:val="36"/>
          <w:highlight w:val="none"/>
        </w:rPr>
      </w:pPr>
    </w:p>
    <w:p w14:paraId="0C076B01">
      <w:pPr>
        <w:adjustRightInd w:val="0"/>
        <w:snapToGrid w:val="0"/>
        <w:spacing w:line="288" w:lineRule="auto"/>
        <w:ind w:firstLine="720"/>
        <w:rPr>
          <w:rFonts w:hint="default" w:ascii="Times New Roman" w:hAnsi="Times New Roman" w:cs="Times New Roman"/>
          <w:color w:val="auto"/>
          <w:sz w:val="36"/>
          <w:szCs w:val="36"/>
          <w:highlight w:val="none"/>
        </w:rPr>
      </w:pPr>
    </w:p>
    <w:p w14:paraId="0648AE69">
      <w:pPr>
        <w:adjustRightInd w:val="0"/>
        <w:snapToGrid w:val="0"/>
        <w:spacing w:line="288" w:lineRule="auto"/>
        <w:ind w:firstLine="720"/>
        <w:rPr>
          <w:rFonts w:hint="default" w:ascii="Times New Roman" w:hAnsi="Times New Roman" w:cs="Times New Roman"/>
          <w:color w:val="auto"/>
          <w:sz w:val="36"/>
          <w:szCs w:val="36"/>
          <w:highlight w:val="none"/>
        </w:rPr>
      </w:pPr>
    </w:p>
    <w:p w14:paraId="288207DE">
      <w:pPr>
        <w:adjustRightInd w:val="0"/>
        <w:snapToGrid w:val="0"/>
        <w:spacing w:line="288" w:lineRule="auto"/>
        <w:ind w:firstLine="720"/>
        <w:rPr>
          <w:rFonts w:hint="default" w:ascii="Times New Roman" w:hAnsi="Times New Roman" w:cs="Times New Roman"/>
          <w:color w:val="auto"/>
          <w:sz w:val="36"/>
          <w:szCs w:val="36"/>
          <w:highlight w:val="none"/>
        </w:rPr>
      </w:pPr>
    </w:p>
    <w:p w14:paraId="2D1B9605">
      <w:pPr>
        <w:adjustRightInd w:val="0"/>
        <w:snapToGrid w:val="0"/>
        <w:ind w:firstLine="720"/>
        <w:rPr>
          <w:rFonts w:hint="default" w:ascii="Times New Roman" w:hAnsi="Times New Roman" w:cs="Times New Roman"/>
          <w:color w:val="auto"/>
          <w:sz w:val="36"/>
          <w:szCs w:val="36"/>
          <w:highlight w:val="none"/>
        </w:rPr>
      </w:pPr>
    </w:p>
    <w:p w14:paraId="5D02DA1F">
      <w:pPr>
        <w:adjustRightInd w:val="0"/>
        <w:snapToGrid w:val="0"/>
        <w:ind w:firstLine="720"/>
        <w:rPr>
          <w:rFonts w:hint="default" w:ascii="Times New Roman" w:hAnsi="Times New Roman" w:cs="Times New Roman"/>
          <w:color w:val="auto"/>
          <w:sz w:val="36"/>
          <w:szCs w:val="36"/>
          <w:highlight w:val="none"/>
        </w:rPr>
      </w:pPr>
    </w:p>
    <w:p w14:paraId="09EEFD7F">
      <w:pPr>
        <w:adjustRightInd w:val="0"/>
        <w:snapToGrid w:val="0"/>
        <w:spacing w:line="336" w:lineRule="auto"/>
        <w:ind w:left="1964" w:leftChars="283" w:hanging="1285" w:hangingChars="400"/>
        <w:jc w:val="left"/>
        <w:rPr>
          <w:rFonts w:hint="default" w:ascii="Times New Roman" w:hAnsi="Times New Roman" w:eastAsia="仿宋_GB2312" w:cs="Times New Roman"/>
          <w:b/>
          <w:bCs/>
          <w:color w:val="auto"/>
          <w:sz w:val="32"/>
          <w:szCs w:val="32"/>
          <w:u w:val="none"/>
          <w:lang w:val="en-US"/>
        </w:rPr>
      </w:pPr>
      <w:r>
        <w:rPr>
          <w:rFonts w:hint="default" w:ascii="Times New Roman" w:hAnsi="Times New Roman" w:eastAsia="仿宋_GB2312" w:cs="Times New Roman"/>
          <w:b/>
          <w:bCs/>
          <w:color w:val="auto"/>
          <w:sz w:val="32"/>
          <w:szCs w:val="32"/>
          <w:u w:val="none"/>
        </w:rPr>
        <w:t>项目名称：</w:t>
      </w:r>
      <w:r>
        <w:rPr>
          <w:rFonts w:hint="default" w:ascii="Times New Roman" w:hAnsi="Times New Roman" w:eastAsia="仿宋_GB2312" w:cs="Times New Roman"/>
          <w:b/>
          <w:bCs/>
          <w:color w:val="auto"/>
          <w:sz w:val="32"/>
          <w:szCs w:val="32"/>
          <w:u w:val="single"/>
          <w:lang w:val="en-US" w:eastAsia="zh-CN"/>
        </w:rPr>
        <w:t xml:space="preserve">新疆众革资源循环科技有限公司年产4万吨/年干粉灭火器报废回收循环利用示范化项目             </w:t>
      </w:r>
    </w:p>
    <w:p w14:paraId="34E23418">
      <w:pPr>
        <w:adjustRightInd w:val="0"/>
        <w:snapToGrid w:val="0"/>
        <w:spacing w:line="336" w:lineRule="auto"/>
        <w:ind w:left="1964" w:leftChars="283" w:hanging="1285" w:hangingChars="400"/>
        <w:jc w:val="left"/>
        <w:rPr>
          <w:rFonts w:hint="default" w:ascii="Times New Roman" w:hAnsi="Times New Roman" w:eastAsia="仿宋_GB2312" w:cs="Times New Roman"/>
          <w:b/>
          <w:bCs/>
          <w:color w:val="auto"/>
          <w:sz w:val="32"/>
          <w:szCs w:val="32"/>
          <w:u w:val="single"/>
          <w:lang w:val="en-US" w:eastAsia="zh-CN"/>
        </w:rPr>
      </w:pPr>
      <w:r>
        <w:rPr>
          <w:rFonts w:hint="default" w:ascii="Times New Roman" w:hAnsi="Times New Roman" w:eastAsia="仿宋_GB2312" w:cs="Times New Roman"/>
          <w:b/>
          <w:bCs/>
          <w:color w:val="auto"/>
          <w:sz w:val="32"/>
          <w:szCs w:val="32"/>
          <w:u w:val="none"/>
        </w:rPr>
        <w:t>建设单位（盖章）：</w:t>
      </w:r>
      <w:r>
        <w:rPr>
          <w:rFonts w:hint="default" w:ascii="Times New Roman" w:hAnsi="Times New Roman" w:eastAsia="仿宋_GB2312" w:cs="Times New Roman"/>
          <w:b/>
          <w:bCs/>
          <w:color w:val="auto"/>
          <w:sz w:val="32"/>
          <w:szCs w:val="32"/>
          <w:u w:val="single"/>
          <w:lang w:eastAsia="zh-CN"/>
        </w:rPr>
        <w:t>新疆众革资源循环科技有限公司</w:t>
      </w:r>
      <w:r>
        <w:rPr>
          <w:rFonts w:hint="default" w:ascii="Times New Roman" w:hAnsi="Times New Roman" w:eastAsia="仿宋_GB2312" w:cs="Times New Roman"/>
          <w:b/>
          <w:bCs/>
          <w:color w:val="auto"/>
          <w:sz w:val="32"/>
          <w:szCs w:val="32"/>
          <w:u w:val="single"/>
          <w:lang w:val="en-US" w:eastAsia="zh-CN"/>
        </w:rPr>
        <w:t xml:space="preserve">  </w:t>
      </w:r>
      <w:r>
        <w:rPr>
          <w:rFonts w:hint="default" w:ascii="Times New Roman" w:hAnsi="Times New Roman" w:eastAsia="仿宋_GB2312" w:cs="Times New Roman"/>
          <w:b/>
          <w:bCs/>
          <w:color w:val="auto"/>
          <w:sz w:val="32"/>
          <w:szCs w:val="32"/>
          <w:u w:val="single"/>
        </w:rPr>
        <w:t xml:space="preserve">   </w:t>
      </w:r>
      <w:r>
        <w:rPr>
          <w:rFonts w:hint="default" w:ascii="Times New Roman" w:hAnsi="Times New Roman" w:eastAsia="仿宋_GB2312" w:cs="Times New Roman"/>
          <w:b/>
          <w:bCs/>
          <w:color w:val="auto"/>
          <w:sz w:val="32"/>
          <w:szCs w:val="32"/>
          <w:u w:val="single"/>
          <w:lang w:val="en-US" w:eastAsia="zh-CN"/>
        </w:rPr>
        <w:t xml:space="preserve">      </w:t>
      </w:r>
    </w:p>
    <w:p w14:paraId="34FAB53C">
      <w:pPr>
        <w:adjustRightInd w:val="0"/>
        <w:snapToGrid w:val="0"/>
        <w:spacing w:line="336" w:lineRule="auto"/>
        <w:ind w:left="1964" w:leftChars="283" w:hanging="1285" w:hangingChars="400"/>
        <w:jc w:val="left"/>
        <w:rPr>
          <w:rFonts w:hint="default" w:ascii="Times New Roman" w:hAnsi="Times New Roman" w:eastAsia="仿宋_GB2312" w:cs="Times New Roman"/>
          <w:b/>
          <w:bCs/>
          <w:color w:val="auto"/>
          <w:sz w:val="32"/>
          <w:szCs w:val="32"/>
          <w:u w:val="single"/>
          <w:lang w:val="en-US" w:eastAsia="zh-CN"/>
        </w:rPr>
      </w:pPr>
      <w:r>
        <w:rPr>
          <w:rFonts w:hint="default" w:ascii="Times New Roman" w:hAnsi="Times New Roman" w:eastAsia="仿宋_GB2312" w:cs="Times New Roman"/>
          <w:b/>
          <w:bCs/>
          <w:color w:val="auto"/>
          <w:sz w:val="32"/>
          <w:szCs w:val="32"/>
          <w:u w:val="none"/>
        </w:rPr>
        <w:t>编制日期：</w:t>
      </w:r>
      <w:r>
        <w:rPr>
          <w:rFonts w:hint="default" w:ascii="Times New Roman" w:hAnsi="Times New Roman" w:eastAsia="仿宋_GB2312" w:cs="Times New Roman"/>
          <w:b/>
          <w:bCs/>
          <w:color w:val="auto"/>
          <w:sz w:val="32"/>
          <w:szCs w:val="32"/>
          <w:u w:val="single"/>
        </w:rPr>
        <w:t xml:space="preserve">              202</w:t>
      </w:r>
      <w:r>
        <w:rPr>
          <w:rFonts w:hint="default" w:ascii="Times New Roman" w:hAnsi="Times New Roman" w:eastAsia="仿宋_GB2312" w:cs="Times New Roman"/>
          <w:b/>
          <w:bCs/>
          <w:color w:val="auto"/>
          <w:sz w:val="32"/>
          <w:szCs w:val="32"/>
          <w:u w:val="single"/>
          <w:lang w:val="en-US" w:eastAsia="zh-CN"/>
        </w:rPr>
        <w:t>5</w:t>
      </w:r>
      <w:r>
        <w:rPr>
          <w:rFonts w:hint="default" w:ascii="Times New Roman" w:hAnsi="Times New Roman" w:eastAsia="仿宋_GB2312" w:cs="Times New Roman"/>
          <w:b/>
          <w:bCs/>
          <w:color w:val="auto"/>
          <w:sz w:val="32"/>
          <w:szCs w:val="32"/>
          <w:u w:val="single"/>
        </w:rPr>
        <w:t>年</w:t>
      </w:r>
      <w:ins w:id="0" w:author="WPS_1562320662" w:date="2025-12-08T19:09:20Z">
        <w:r>
          <w:rPr>
            <w:rFonts w:hint="default" w:eastAsia="仿宋_GB2312" w:cs="Times New Roman"/>
            <w:b/>
            <w:bCs/>
            <w:color w:val="000000" w:themeColor="text1"/>
            <w:sz w:val="32"/>
            <w:szCs w:val="32"/>
            <w:u w:val="single"/>
            <w:lang w:val="en-US" w:eastAsia="zh-CN"/>
            <w14:textFill>
              <w14:solidFill>
                <w14:schemeClr w14:val="tx1"/>
              </w14:solidFill>
            </w14:textFill>
          </w:rPr>
          <w:t>11</w:t>
        </w:r>
      </w:ins>
      <w:r>
        <w:rPr>
          <w:rFonts w:hint="default" w:ascii="Times New Roman" w:hAnsi="Times New Roman" w:eastAsia="仿宋_GB2312" w:cs="Times New Roman"/>
          <w:b/>
          <w:bCs/>
          <w:color w:val="auto"/>
          <w:sz w:val="32"/>
          <w:szCs w:val="32"/>
          <w:u w:val="single"/>
        </w:rPr>
        <w:t xml:space="preserve">月        </w:t>
      </w:r>
      <w:r>
        <w:rPr>
          <w:rFonts w:hint="default" w:ascii="Times New Roman" w:hAnsi="Times New Roman" w:eastAsia="仿宋_GB2312" w:cs="Times New Roman"/>
          <w:b/>
          <w:bCs/>
          <w:color w:val="auto"/>
          <w:sz w:val="32"/>
          <w:szCs w:val="32"/>
          <w:u w:val="single"/>
          <w:lang w:val="en-US" w:eastAsia="zh-CN"/>
        </w:rPr>
        <w:t xml:space="preserve">          </w:t>
      </w:r>
    </w:p>
    <w:p w14:paraId="5255AB93">
      <w:pPr>
        <w:pStyle w:val="28"/>
        <w:ind w:left="480" w:firstLine="720"/>
        <w:rPr>
          <w:rFonts w:hint="default" w:ascii="Times New Roman" w:hAnsi="Times New Roman" w:eastAsia="楷体_GB2312" w:cs="Times New Roman"/>
          <w:color w:val="auto"/>
          <w:sz w:val="36"/>
          <w:szCs w:val="36"/>
          <w:highlight w:val="none"/>
        </w:rPr>
      </w:pPr>
    </w:p>
    <w:p w14:paraId="323BFEE4">
      <w:pPr>
        <w:pStyle w:val="28"/>
        <w:ind w:left="480" w:firstLine="720"/>
        <w:rPr>
          <w:rFonts w:hint="default" w:ascii="Times New Roman" w:hAnsi="Times New Roman" w:eastAsia="楷体_GB2312" w:cs="Times New Roman"/>
          <w:color w:val="auto"/>
          <w:sz w:val="36"/>
          <w:szCs w:val="36"/>
          <w:highlight w:val="none"/>
        </w:rPr>
      </w:pPr>
    </w:p>
    <w:p w14:paraId="33836CCB">
      <w:pPr>
        <w:adjustRightInd w:val="0"/>
        <w:snapToGrid w:val="0"/>
        <w:spacing w:line="288" w:lineRule="auto"/>
        <w:ind w:firstLine="720"/>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14:paraId="6C15C3AB">
      <w:pP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br w:type="page"/>
      </w:r>
    </w:p>
    <w:p w14:paraId="57836A86">
      <w:pPr>
        <w:pStyle w:val="2"/>
        <w:rPr>
          <w:rFonts w:hint="default" w:ascii="Times New Roman" w:hAnsi="Times New Roman" w:eastAsia="黑体" w:cs="Times New Roman"/>
          <w:lang w:eastAsia="zh-CN"/>
        </w:rPr>
      </w:pPr>
      <w:r>
        <w:rPr>
          <w:rFonts w:hint="default" w:ascii="Times New Roman" w:hAnsi="Times New Roman" w:eastAsia="黑体" w:cs="Times New Roman"/>
          <w:lang w:eastAsia="zh-CN"/>
        </w:rPr>
        <w:drawing>
          <wp:anchor distT="0" distB="0" distL="114300" distR="114300" simplePos="0" relativeHeight="251663360" behindDoc="1" locked="0" layoutInCell="1" allowOverlap="1">
            <wp:simplePos x="0" y="0"/>
            <wp:positionH relativeFrom="column">
              <wp:posOffset>6350</wp:posOffset>
            </wp:positionH>
            <wp:positionV relativeFrom="paragraph">
              <wp:posOffset>17145</wp:posOffset>
            </wp:positionV>
            <wp:extent cx="5778500" cy="8179435"/>
            <wp:effectExtent l="0" t="0" r="12700" b="12065"/>
            <wp:wrapNone/>
            <wp:docPr id="7" name="图片 7" descr="新疆众革资源循环科技有限公司年产4万吨_年干粉灭器报废回收循环利用示范化项目.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疆众革资源循环科技有限公司年产4万吨_年干粉灭器报废回收循环利用示范化项目. (1)_01"/>
                    <pic:cNvPicPr>
                      <a:picLocks noChangeAspect="1"/>
                    </pic:cNvPicPr>
                  </pic:nvPicPr>
                  <pic:blipFill>
                    <a:blip r:embed="rId15"/>
                    <a:stretch>
                      <a:fillRect/>
                    </a:stretch>
                  </pic:blipFill>
                  <pic:spPr>
                    <a:xfrm>
                      <a:off x="0" y="0"/>
                      <a:ext cx="5778500" cy="8179435"/>
                    </a:xfrm>
                    <a:prstGeom prst="rect">
                      <a:avLst/>
                    </a:prstGeom>
                  </pic:spPr>
                </pic:pic>
              </a:graphicData>
            </a:graphic>
          </wp:anchor>
        </w:drawing>
      </w:r>
    </w:p>
    <w:p w14:paraId="07270017">
      <w:pPr>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br w:type="page"/>
      </w:r>
    </w:p>
    <w:p w14:paraId="441FAE64">
      <w:pPr>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drawing>
          <wp:anchor distT="0" distB="0" distL="114300" distR="114300" simplePos="0" relativeHeight="251664384" behindDoc="1" locked="0" layoutInCell="1" allowOverlap="1">
            <wp:simplePos x="0" y="0"/>
            <wp:positionH relativeFrom="column">
              <wp:posOffset>-8890</wp:posOffset>
            </wp:positionH>
            <wp:positionV relativeFrom="paragraph">
              <wp:posOffset>73660</wp:posOffset>
            </wp:positionV>
            <wp:extent cx="5774690" cy="8168640"/>
            <wp:effectExtent l="0" t="0" r="16510" b="3810"/>
            <wp:wrapNone/>
            <wp:docPr id="13" name="图片 13" descr="建设项目环境影响报告书（表）编制情况承诺书 (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建设项目环境影响报告书（表）编制情况承诺书 (3)_01"/>
                    <pic:cNvPicPr>
                      <a:picLocks noChangeAspect="1"/>
                    </pic:cNvPicPr>
                  </pic:nvPicPr>
                  <pic:blipFill>
                    <a:blip r:embed="rId16"/>
                    <a:stretch>
                      <a:fillRect/>
                    </a:stretch>
                  </pic:blipFill>
                  <pic:spPr>
                    <a:xfrm>
                      <a:off x="0" y="0"/>
                      <a:ext cx="5774690" cy="8168640"/>
                    </a:xfrm>
                    <a:prstGeom prst="rect">
                      <a:avLst/>
                    </a:prstGeom>
                  </pic:spPr>
                </pic:pic>
              </a:graphicData>
            </a:graphic>
          </wp:anchor>
        </w:drawing>
      </w:r>
      <w:r>
        <w:rPr>
          <w:rFonts w:hint="default" w:ascii="Times New Roman" w:hAnsi="Times New Roman" w:eastAsia="仿宋_GB2312" w:cs="Times New Roman"/>
          <w:color w:val="auto"/>
          <w:sz w:val="36"/>
          <w:szCs w:val="36"/>
          <w:highlight w:val="none"/>
        </w:rPr>
        <w:br w:type="page"/>
      </w:r>
    </w:p>
    <w:p w14:paraId="7BC0EDE6">
      <w:pPr>
        <w:adjustRightInd w:val="0"/>
        <w:snapToGrid w:val="0"/>
        <w:spacing w:line="288" w:lineRule="auto"/>
        <w:jc w:val="center"/>
        <w:rPr>
          <w:rFonts w:hint="default" w:ascii="Times New Roman" w:hAnsi="Times New Roman" w:cs="Times New Roman"/>
          <w:b/>
          <w:bCs/>
          <w:sz w:val="24"/>
        </w:rPr>
      </w:pPr>
      <w:r>
        <w:rPr>
          <w:rFonts w:hint="default" w:ascii="Times New Roman" w:hAnsi="Times New Roman" w:cs="Times New Roman"/>
          <w:b/>
          <w:bCs/>
          <w:sz w:val="24"/>
        </w:rPr>
        <w:t>现状照片</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AE9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48EF3CD">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57150</wp:posOffset>
                  </wp:positionV>
                  <wp:extent cx="2564765" cy="1923415"/>
                  <wp:effectExtent l="9525" t="9525" r="16510" b="10160"/>
                  <wp:wrapNone/>
                  <wp:docPr id="1" name="图片 1"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
                          <pic:cNvPicPr>
                            <a:picLocks noChangeAspect="1"/>
                          </pic:cNvPicPr>
                        </pic:nvPicPr>
                        <pic:blipFill>
                          <a:blip r:embed="rId17"/>
                          <a:stretch>
                            <a:fillRect/>
                          </a:stretch>
                        </pic:blipFill>
                        <pic:spPr>
                          <a:xfrm>
                            <a:off x="0" y="0"/>
                            <a:ext cx="2564765" cy="1923415"/>
                          </a:xfrm>
                          <a:prstGeom prst="rect">
                            <a:avLst/>
                          </a:prstGeom>
                          <a:ln>
                            <a:solidFill>
                              <a:schemeClr val="tx1"/>
                            </a:solidFill>
                          </a:ln>
                        </pic:spPr>
                      </pic:pic>
                    </a:graphicData>
                  </a:graphic>
                </wp:anchor>
              </w:drawing>
            </w:r>
          </w:p>
          <w:p w14:paraId="28C51891">
            <w:pPr>
              <w:ind w:left="0" w:leftChars="0" w:firstLine="0" w:firstLineChars="0"/>
              <w:jc w:val="center"/>
              <w:rPr>
                <w:rFonts w:hint="default" w:ascii="Times New Roman" w:hAnsi="Times New Roman" w:cs="Times New Roman"/>
                <w:sz w:val="21"/>
                <w:szCs w:val="21"/>
              </w:rPr>
            </w:pPr>
          </w:p>
          <w:p w14:paraId="4D6BA69C">
            <w:pPr>
              <w:ind w:left="0" w:leftChars="0" w:firstLine="0" w:firstLineChars="0"/>
              <w:jc w:val="center"/>
              <w:rPr>
                <w:rFonts w:hint="default" w:ascii="Times New Roman" w:hAnsi="Times New Roman" w:cs="Times New Roman"/>
                <w:sz w:val="21"/>
                <w:szCs w:val="21"/>
              </w:rPr>
            </w:pPr>
          </w:p>
          <w:p w14:paraId="1D843E05">
            <w:pPr>
              <w:ind w:left="0" w:leftChars="0" w:firstLine="0" w:firstLineChars="0"/>
              <w:jc w:val="center"/>
              <w:rPr>
                <w:rFonts w:hint="default" w:ascii="Times New Roman" w:hAnsi="Times New Roman" w:cs="Times New Roman"/>
                <w:sz w:val="21"/>
                <w:szCs w:val="21"/>
              </w:rPr>
            </w:pPr>
          </w:p>
          <w:p w14:paraId="6592B260">
            <w:pPr>
              <w:ind w:left="0" w:leftChars="0" w:firstLine="0" w:firstLineChars="0"/>
              <w:jc w:val="center"/>
              <w:rPr>
                <w:rFonts w:hint="default" w:ascii="Times New Roman" w:hAnsi="Times New Roman" w:cs="Times New Roman"/>
                <w:sz w:val="21"/>
                <w:szCs w:val="21"/>
              </w:rPr>
            </w:pPr>
          </w:p>
          <w:p w14:paraId="1FAEA0B6">
            <w:pPr>
              <w:ind w:left="0" w:leftChars="0" w:firstLine="0" w:firstLineChars="0"/>
              <w:jc w:val="center"/>
              <w:rPr>
                <w:rFonts w:hint="default" w:ascii="Times New Roman" w:hAnsi="Times New Roman" w:cs="Times New Roman"/>
                <w:sz w:val="21"/>
                <w:szCs w:val="21"/>
              </w:rPr>
            </w:pPr>
          </w:p>
          <w:p w14:paraId="6485AFAF">
            <w:pPr>
              <w:ind w:left="0" w:leftChars="0" w:firstLine="0" w:firstLineChars="0"/>
              <w:jc w:val="center"/>
              <w:rPr>
                <w:rFonts w:hint="default" w:ascii="Times New Roman" w:hAnsi="Times New Roman" w:cs="Times New Roman"/>
                <w:sz w:val="21"/>
                <w:szCs w:val="21"/>
              </w:rPr>
            </w:pPr>
          </w:p>
          <w:p w14:paraId="5E529855">
            <w:pPr>
              <w:ind w:left="0" w:leftChars="0" w:firstLine="0" w:firstLineChars="0"/>
              <w:jc w:val="center"/>
              <w:rPr>
                <w:rFonts w:hint="default" w:ascii="Times New Roman" w:hAnsi="Times New Roman" w:cs="Times New Roman"/>
                <w:sz w:val="21"/>
                <w:szCs w:val="21"/>
              </w:rPr>
            </w:pPr>
          </w:p>
          <w:p w14:paraId="664D7097">
            <w:pPr>
              <w:ind w:left="0" w:leftChars="0" w:firstLine="0" w:firstLineChars="0"/>
              <w:jc w:val="center"/>
              <w:rPr>
                <w:rFonts w:hint="default" w:ascii="Times New Roman" w:hAnsi="Times New Roman" w:cs="Times New Roman"/>
                <w:sz w:val="21"/>
                <w:szCs w:val="21"/>
              </w:rPr>
            </w:pPr>
          </w:p>
          <w:p w14:paraId="3373818C">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4"/>
                <w:szCs w:val="24"/>
              </w:rPr>
              <w:t>项目北侧</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空地</w:t>
            </w:r>
            <w:r>
              <w:rPr>
                <w:rFonts w:hint="default" w:ascii="Times New Roman" w:hAnsi="Times New Roman" w:cs="Times New Roman"/>
                <w:sz w:val="24"/>
                <w:szCs w:val="24"/>
                <w:lang w:eastAsia="zh-CN"/>
              </w:rPr>
              <w:t>）</w:t>
            </w:r>
          </w:p>
        </w:tc>
        <w:tc>
          <w:tcPr>
            <w:tcW w:w="4261" w:type="dxa"/>
            <w:vAlign w:val="center"/>
          </w:tcPr>
          <w:p w14:paraId="479D3982">
            <w:pPr>
              <w:ind w:left="0" w:lef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9525</wp:posOffset>
                  </wp:positionH>
                  <wp:positionV relativeFrom="paragraph">
                    <wp:posOffset>38735</wp:posOffset>
                  </wp:positionV>
                  <wp:extent cx="2564765" cy="1923415"/>
                  <wp:effectExtent l="9525" t="9525" r="16510" b="10160"/>
                  <wp:wrapNone/>
                  <wp:docPr id="2" name="图片 2"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东"/>
                          <pic:cNvPicPr>
                            <a:picLocks noChangeAspect="1"/>
                          </pic:cNvPicPr>
                        </pic:nvPicPr>
                        <pic:blipFill>
                          <a:blip r:embed="rId18"/>
                          <a:stretch>
                            <a:fillRect/>
                          </a:stretch>
                        </pic:blipFill>
                        <pic:spPr>
                          <a:xfrm>
                            <a:off x="0" y="0"/>
                            <a:ext cx="2564765" cy="1923415"/>
                          </a:xfrm>
                          <a:prstGeom prst="rect">
                            <a:avLst/>
                          </a:prstGeom>
                          <a:ln>
                            <a:solidFill>
                              <a:schemeClr val="tx1"/>
                            </a:solidFill>
                          </a:ln>
                        </pic:spPr>
                      </pic:pic>
                    </a:graphicData>
                  </a:graphic>
                </wp:anchor>
              </w:drawing>
            </w:r>
          </w:p>
          <w:p w14:paraId="5FE0D85B">
            <w:pPr>
              <w:pStyle w:val="36"/>
              <w:rPr>
                <w:rFonts w:hint="default" w:ascii="Times New Roman" w:hAnsi="Times New Roman" w:eastAsia="宋体" w:cs="Times New Roman"/>
                <w:sz w:val="21"/>
                <w:szCs w:val="21"/>
                <w:lang w:eastAsia="zh-CN"/>
              </w:rPr>
            </w:pPr>
          </w:p>
          <w:p w14:paraId="75862BD5">
            <w:pPr>
              <w:pStyle w:val="23"/>
              <w:rPr>
                <w:rFonts w:hint="default" w:ascii="Times New Roman" w:hAnsi="Times New Roman" w:cs="Times New Roman"/>
                <w:sz w:val="21"/>
                <w:szCs w:val="21"/>
              </w:rPr>
            </w:pPr>
          </w:p>
          <w:p w14:paraId="1E1DB3C7">
            <w:pPr>
              <w:pStyle w:val="23"/>
              <w:rPr>
                <w:rFonts w:hint="default" w:ascii="Times New Roman" w:hAnsi="Times New Roman" w:cs="Times New Roman"/>
                <w:sz w:val="21"/>
                <w:szCs w:val="21"/>
              </w:rPr>
            </w:pPr>
          </w:p>
          <w:p w14:paraId="6C8EE9D8">
            <w:pPr>
              <w:pStyle w:val="23"/>
              <w:rPr>
                <w:rFonts w:hint="default" w:ascii="Times New Roman" w:hAnsi="Times New Roman" w:cs="Times New Roman"/>
                <w:sz w:val="21"/>
                <w:szCs w:val="21"/>
              </w:rPr>
            </w:pPr>
          </w:p>
          <w:p w14:paraId="4C800ED5">
            <w:pPr>
              <w:pStyle w:val="23"/>
              <w:rPr>
                <w:rFonts w:hint="default" w:ascii="Times New Roman" w:hAnsi="Times New Roman" w:cs="Times New Roman"/>
                <w:sz w:val="21"/>
                <w:szCs w:val="21"/>
              </w:rPr>
            </w:pPr>
          </w:p>
          <w:p w14:paraId="66587763">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4"/>
                <w:szCs w:val="24"/>
              </w:rPr>
              <w:t>项目东侧</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空地</w:t>
            </w:r>
            <w:r>
              <w:rPr>
                <w:rFonts w:hint="default" w:ascii="Times New Roman" w:hAnsi="Times New Roman" w:cs="Times New Roman"/>
                <w:sz w:val="24"/>
                <w:szCs w:val="24"/>
                <w:lang w:eastAsia="zh-CN"/>
              </w:rPr>
              <w:t>）</w:t>
            </w:r>
          </w:p>
        </w:tc>
      </w:tr>
      <w:tr w14:paraId="630F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D813637">
            <w:pPr>
              <w:ind w:left="0" w:lef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28575</wp:posOffset>
                  </wp:positionH>
                  <wp:positionV relativeFrom="paragraph">
                    <wp:posOffset>58420</wp:posOffset>
                  </wp:positionV>
                  <wp:extent cx="2564765" cy="1923415"/>
                  <wp:effectExtent l="9525" t="9525" r="16510" b="10160"/>
                  <wp:wrapNone/>
                  <wp:docPr id="5" name="图片 5" descr="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1"/>
                          <pic:cNvPicPr>
                            <a:picLocks noChangeAspect="1"/>
                          </pic:cNvPicPr>
                        </pic:nvPicPr>
                        <pic:blipFill>
                          <a:blip r:embed="rId19"/>
                          <a:stretch>
                            <a:fillRect/>
                          </a:stretch>
                        </pic:blipFill>
                        <pic:spPr>
                          <a:xfrm>
                            <a:off x="0" y="0"/>
                            <a:ext cx="2564765" cy="1923415"/>
                          </a:xfrm>
                          <a:prstGeom prst="rect">
                            <a:avLst/>
                          </a:prstGeom>
                          <a:ln>
                            <a:solidFill>
                              <a:schemeClr val="tx1"/>
                            </a:solidFill>
                          </a:ln>
                        </pic:spPr>
                      </pic:pic>
                    </a:graphicData>
                  </a:graphic>
                </wp:anchor>
              </w:drawing>
            </w:r>
          </w:p>
          <w:p w14:paraId="6963A4E0">
            <w:pPr>
              <w:ind w:left="0" w:leftChars="0" w:firstLine="0" w:firstLineChars="0"/>
              <w:jc w:val="center"/>
              <w:rPr>
                <w:rFonts w:hint="default" w:ascii="Times New Roman" w:hAnsi="Times New Roman" w:eastAsia="宋体" w:cs="Times New Roman"/>
                <w:sz w:val="21"/>
                <w:szCs w:val="21"/>
                <w:lang w:eastAsia="zh-CN"/>
              </w:rPr>
            </w:pPr>
          </w:p>
          <w:p w14:paraId="3DB9937B">
            <w:pPr>
              <w:ind w:left="0" w:leftChars="0" w:firstLine="0" w:firstLineChars="0"/>
              <w:jc w:val="center"/>
              <w:rPr>
                <w:rFonts w:hint="default" w:ascii="Times New Roman" w:hAnsi="Times New Roman" w:cs="Times New Roman"/>
                <w:sz w:val="21"/>
                <w:szCs w:val="21"/>
              </w:rPr>
            </w:pPr>
          </w:p>
          <w:p w14:paraId="28626B03">
            <w:pPr>
              <w:ind w:left="0" w:leftChars="0" w:firstLine="0" w:firstLineChars="0"/>
              <w:jc w:val="center"/>
              <w:rPr>
                <w:rFonts w:hint="default" w:ascii="Times New Roman" w:hAnsi="Times New Roman" w:cs="Times New Roman"/>
                <w:sz w:val="21"/>
                <w:szCs w:val="21"/>
              </w:rPr>
            </w:pPr>
          </w:p>
          <w:p w14:paraId="3B198968">
            <w:pPr>
              <w:ind w:left="0" w:leftChars="0" w:firstLine="0" w:firstLineChars="0"/>
              <w:jc w:val="center"/>
              <w:rPr>
                <w:rFonts w:hint="default" w:ascii="Times New Roman" w:hAnsi="Times New Roman" w:cs="Times New Roman"/>
                <w:sz w:val="21"/>
                <w:szCs w:val="21"/>
              </w:rPr>
            </w:pPr>
          </w:p>
          <w:p w14:paraId="5D583ADE">
            <w:pPr>
              <w:ind w:left="0" w:leftChars="0" w:firstLine="0" w:firstLineChars="0"/>
              <w:jc w:val="center"/>
              <w:rPr>
                <w:rFonts w:hint="default" w:ascii="Times New Roman" w:hAnsi="Times New Roman" w:cs="Times New Roman"/>
                <w:sz w:val="21"/>
                <w:szCs w:val="21"/>
              </w:rPr>
            </w:pPr>
          </w:p>
          <w:p w14:paraId="23DB5B2F">
            <w:pPr>
              <w:ind w:left="0" w:leftChars="0" w:firstLine="0" w:firstLineChars="0"/>
              <w:jc w:val="center"/>
              <w:rPr>
                <w:rFonts w:hint="default" w:ascii="Times New Roman" w:hAnsi="Times New Roman" w:cs="Times New Roman"/>
                <w:sz w:val="21"/>
                <w:szCs w:val="21"/>
              </w:rPr>
            </w:pPr>
          </w:p>
          <w:p w14:paraId="0C2E038A">
            <w:pPr>
              <w:ind w:left="0" w:leftChars="0" w:firstLine="0" w:firstLineChars="0"/>
              <w:jc w:val="center"/>
              <w:rPr>
                <w:rFonts w:hint="default" w:ascii="Times New Roman" w:hAnsi="Times New Roman" w:cs="Times New Roman"/>
                <w:sz w:val="21"/>
                <w:szCs w:val="21"/>
              </w:rPr>
            </w:pPr>
          </w:p>
          <w:p w14:paraId="4A96950D">
            <w:pPr>
              <w:ind w:left="0" w:leftChars="0" w:firstLine="0" w:firstLineChars="0"/>
              <w:jc w:val="center"/>
              <w:rPr>
                <w:rFonts w:hint="default" w:ascii="Times New Roman" w:hAnsi="Times New Roman" w:cs="Times New Roman"/>
                <w:sz w:val="21"/>
                <w:szCs w:val="21"/>
              </w:rPr>
            </w:pPr>
          </w:p>
          <w:p w14:paraId="76F93687">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4"/>
                <w:szCs w:val="24"/>
              </w:rPr>
              <w:t>项目南侧</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水泥制品厂</w:t>
            </w:r>
            <w:r>
              <w:rPr>
                <w:rFonts w:hint="default" w:ascii="Times New Roman" w:hAnsi="Times New Roman" w:cs="Times New Roman"/>
                <w:sz w:val="24"/>
                <w:szCs w:val="24"/>
                <w:lang w:eastAsia="zh-CN"/>
              </w:rPr>
              <w:t>）</w:t>
            </w:r>
          </w:p>
        </w:tc>
        <w:tc>
          <w:tcPr>
            <w:tcW w:w="4261" w:type="dxa"/>
            <w:vAlign w:val="center"/>
          </w:tcPr>
          <w:p w14:paraId="3043394B">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9525</wp:posOffset>
                  </wp:positionH>
                  <wp:positionV relativeFrom="paragraph">
                    <wp:posOffset>66675</wp:posOffset>
                  </wp:positionV>
                  <wp:extent cx="2564765" cy="1923415"/>
                  <wp:effectExtent l="0" t="0" r="6985" b="635"/>
                  <wp:wrapNone/>
                  <wp:docPr id="9" name="图片 9" descr="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1"/>
                          <pic:cNvPicPr>
                            <a:picLocks noChangeAspect="1"/>
                          </pic:cNvPicPr>
                        </pic:nvPicPr>
                        <pic:blipFill>
                          <a:blip r:embed="rId20"/>
                          <a:stretch>
                            <a:fillRect/>
                          </a:stretch>
                        </pic:blipFill>
                        <pic:spPr>
                          <a:xfrm>
                            <a:off x="0" y="0"/>
                            <a:ext cx="2564765" cy="1923415"/>
                          </a:xfrm>
                          <a:prstGeom prst="rect">
                            <a:avLst/>
                          </a:prstGeom>
                        </pic:spPr>
                      </pic:pic>
                    </a:graphicData>
                  </a:graphic>
                </wp:anchor>
              </w:drawing>
            </w:r>
          </w:p>
          <w:p w14:paraId="4697E6CB">
            <w:pPr>
              <w:ind w:left="0" w:leftChars="0" w:firstLine="0" w:firstLineChars="0"/>
              <w:jc w:val="center"/>
              <w:rPr>
                <w:rFonts w:hint="default" w:ascii="Times New Roman" w:hAnsi="Times New Roman" w:cs="Times New Roman"/>
                <w:sz w:val="21"/>
                <w:szCs w:val="21"/>
              </w:rPr>
            </w:pPr>
          </w:p>
          <w:p w14:paraId="1F4E42F9">
            <w:pPr>
              <w:ind w:left="0" w:leftChars="0" w:firstLine="0" w:firstLineChars="0"/>
              <w:jc w:val="center"/>
              <w:rPr>
                <w:rFonts w:hint="default" w:ascii="Times New Roman" w:hAnsi="Times New Roman" w:cs="Times New Roman"/>
                <w:sz w:val="21"/>
                <w:szCs w:val="21"/>
              </w:rPr>
            </w:pPr>
          </w:p>
          <w:p w14:paraId="60E8591D">
            <w:pPr>
              <w:ind w:left="0" w:leftChars="0" w:firstLine="0" w:firstLineChars="0"/>
              <w:jc w:val="center"/>
              <w:rPr>
                <w:rFonts w:hint="default" w:ascii="Times New Roman" w:hAnsi="Times New Roman" w:cs="Times New Roman"/>
                <w:sz w:val="21"/>
                <w:szCs w:val="21"/>
              </w:rPr>
            </w:pPr>
          </w:p>
          <w:p w14:paraId="7258C298">
            <w:pPr>
              <w:ind w:left="0" w:leftChars="0" w:firstLine="0" w:firstLineChars="0"/>
              <w:jc w:val="center"/>
              <w:rPr>
                <w:rFonts w:hint="default" w:ascii="Times New Roman" w:hAnsi="Times New Roman" w:cs="Times New Roman"/>
                <w:sz w:val="21"/>
                <w:szCs w:val="21"/>
              </w:rPr>
            </w:pPr>
          </w:p>
          <w:p w14:paraId="6CC630CD">
            <w:pPr>
              <w:ind w:left="0" w:leftChars="0" w:firstLine="0" w:firstLineChars="0"/>
              <w:jc w:val="center"/>
              <w:rPr>
                <w:rFonts w:hint="default" w:ascii="Times New Roman" w:hAnsi="Times New Roman" w:cs="Times New Roman"/>
                <w:sz w:val="21"/>
                <w:szCs w:val="21"/>
              </w:rPr>
            </w:pPr>
          </w:p>
          <w:p w14:paraId="6C6BFC84">
            <w:pPr>
              <w:ind w:left="0" w:leftChars="0" w:firstLine="0" w:firstLineChars="0"/>
              <w:jc w:val="center"/>
              <w:rPr>
                <w:rFonts w:hint="default" w:ascii="Times New Roman" w:hAnsi="Times New Roman" w:cs="Times New Roman"/>
                <w:sz w:val="21"/>
                <w:szCs w:val="21"/>
              </w:rPr>
            </w:pPr>
          </w:p>
          <w:p w14:paraId="2D405FC0">
            <w:pPr>
              <w:ind w:left="0" w:leftChars="0" w:firstLine="0" w:firstLineChars="0"/>
              <w:jc w:val="center"/>
              <w:rPr>
                <w:rFonts w:hint="default" w:ascii="Times New Roman" w:hAnsi="Times New Roman" w:cs="Times New Roman"/>
                <w:sz w:val="21"/>
                <w:szCs w:val="21"/>
              </w:rPr>
            </w:pPr>
          </w:p>
          <w:p w14:paraId="171342EE">
            <w:pPr>
              <w:ind w:left="0" w:leftChars="0" w:firstLine="0" w:firstLineChars="0"/>
              <w:jc w:val="center"/>
              <w:rPr>
                <w:rFonts w:hint="default" w:ascii="Times New Roman" w:hAnsi="Times New Roman" w:cs="Times New Roman"/>
                <w:sz w:val="21"/>
                <w:szCs w:val="21"/>
              </w:rPr>
            </w:pPr>
          </w:p>
          <w:p w14:paraId="13774E9A">
            <w:pPr>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4"/>
                <w:szCs w:val="24"/>
              </w:rPr>
              <w:t>项目西侧</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空地</w:t>
            </w:r>
            <w:r>
              <w:rPr>
                <w:rFonts w:hint="default" w:ascii="Times New Roman" w:hAnsi="Times New Roman" w:cs="Times New Roman"/>
                <w:sz w:val="24"/>
                <w:szCs w:val="24"/>
                <w:lang w:eastAsia="zh-CN"/>
              </w:rPr>
              <w:t>）</w:t>
            </w:r>
          </w:p>
        </w:tc>
      </w:tr>
      <w:tr w14:paraId="7A10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13489B6">
            <w:pPr>
              <w:ind w:left="0" w:lef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9525</wp:posOffset>
                  </wp:positionH>
                  <wp:positionV relativeFrom="paragraph">
                    <wp:posOffset>96520</wp:posOffset>
                  </wp:positionV>
                  <wp:extent cx="2564765" cy="1923415"/>
                  <wp:effectExtent l="0" t="0" r="6985" b="635"/>
                  <wp:wrapNone/>
                  <wp:docPr id="10" name="图片 10" descr="项目区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项目区内1"/>
                          <pic:cNvPicPr>
                            <a:picLocks noChangeAspect="1"/>
                          </pic:cNvPicPr>
                        </pic:nvPicPr>
                        <pic:blipFill>
                          <a:blip r:embed="rId21"/>
                          <a:stretch>
                            <a:fillRect/>
                          </a:stretch>
                        </pic:blipFill>
                        <pic:spPr>
                          <a:xfrm>
                            <a:off x="0" y="0"/>
                            <a:ext cx="2564765" cy="1923415"/>
                          </a:xfrm>
                          <a:prstGeom prst="rect">
                            <a:avLst/>
                          </a:prstGeom>
                        </pic:spPr>
                      </pic:pic>
                    </a:graphicData>
                  </a:graphic>
                </wp:anchor>
              </w:drawing>
            </w:r>
          </w:p>
          <w:p w14:paraId="1BAE887C">
            <w:pPr>
              <w:ind w:left="0" w:leftChars="0" w:firstLine="0" w:firstLineChars="0"/>
              <w:jc w:val="center"/>
              <w:rPr>
                <w:rFonts w:hint="default" w:ascii="Times New Roman" w:hAnsi="Times New Roman" w:eastAsia="宋体" w:cs="Times New Roman"/>
                <w:sz w:val="21"/>
                <w:szCs w:val="21"/>
                <w:lang w:eastAsia="zh-CN"/>
              </w:rPr>
            </w:pPr>
          </w:p>
          <w:p w14:paraId="4D66DF6B">
            <w:pPr>
              <w:ind w:left="0" w:leftChars="0" w:firstLine="0" w:firstLineChars="0"/>
              <w:jc w:val="center"/>
              <w:rPr>
                <w:rFonts w:hint="default" w:ascii="Times New Roman" w:hAnsi="Times New Roman" w:cs="Times New Roman"/>
                <w:sz w:val="21"/>
                <w:szCs w:val="21"/>
              </w:rPr>
            </w:pPr>
          </w:p>
          <w:p w14:paraId="6B75FDDF">
            <w:pPr>
              <w:ind w:left="0" w:leftChars="0" w:firstLine="0" w:firstLineChars="0"/>
              <w:jc w:val="center"/>
              <w:rPr>
                <w:rFonts w:hint="default" w:ascii="Times New Roman" w:hAnsi="Times New Roman" w:cs="Times New Roman"/>
                <w:sz w:val="21"/>
                <w:szCs w:val="21"/>
              </w:rPr>
            </w:pPr>
          </w:p>
          <w:p w14:paraId="63AA8590">
            <w:pPr>
              <w:ind w:left="0" w:leftChars="0" w:firstLine="0" w:firstLineChars="0"/>
              <w:jc w:val="center"/>
              <w:rPr>
                <w:rFonts w:hint="default" w:ascii="Times New Roman" w:hAnsi="Times New Roman" w:cs="Times New Roman"/>
                <w:sz w:val="21"/>
                <w:szCs w:val="21"/>
              </w:rPr>
            </w:pPr>
          </w:p>
          <w:p w14:paraId="654F9F1C">
            <w:pPr>
              <w:ind w:left="0" w:leftChars="0" w:firstLine="0" w:firstLineChars="0"/>
              <w:jc w:val="center"/>
              <w:rPr>
                <w:rFonts w:hint="default" w:ascii="Times New Roman" w:hAnsi="Times New Roman" w:cs="Times New Roman"/>
                <w:sz w:val="21"/>
                <w:szCs w:val="21"/>
              </w:rPr>
            </w:pPr>
          </w:p>
          <w:p w14:paraId="00B5CA22">
            <w:pPr>
              <w:ind w:left="0" w:leftChars="0" w:firstLine="0" w:firstLineChars="0"/>
              <w:jc w:val="center"/>
              <w:rPr>
                <w:rFonts w:hint="default" w:ascii="Times New Roman" w:hAnsi="Times New Roman" w:cs="Times New Roman"/>
                <w:sz w:val="21"/>
                <w:szCs w:val="21"/>
              </w:rPr>
            </w:pPr>
          </w:p>
          <w:p w14:paraId="73D346C6">
            <w:pPr>
              <w:ind w:left="0" w:leftChars="0" w:firstLine="0" w:firstLineChars="0"/>
              <w:jc w:val="center"/>
              <w:rPr>
                <w:rFonts w:hint="default" w:ascii="Times New Roman" w:hAnsi="Times New Roman" w:cs="Times New Roman"/>
                <w:sz w:val="21"/>
                <w:szCs w:val="21"/>
              </w:rPr>
            </w:pPr>
          </w:p>
          <w:p w14:paraId="3DE39310">
            <w:pPr>
              <w:ind w:left="0" w:leftChars="0" w:firstLine="0" w:firstLineChars="0"/>
              <w:jc w:val="center"/>
              <w:rPr>
                <w:rFonts w:hint="default" w:ascii="Times New Roman" w:hAnsi="Times New Roman" w:cs="Times New Roman"/>
                <w:sz w:val="21"/>
                <w:szCs w:val="21"/>
              </w:rPr>
            </w:pPr>
          </w:p>
          <w:p w14:paraId="626EBC39">
            <w:pPr>
              <w:ind w:left="0" w:leftChars="0" w:firstLine="0" w:firstLineChars="0"/>
              <w:jc w:val="center"/>
              <w:rPr>
                <w:rFonts w:hint="default" w:ascii="Times New Roman" w:hAnsi="Times New Roman" w:cs="Times New Roman"/>
                <w:sz w:val="21"/>
                <w:szCs w:val="21"/>
              </w:rPr>
            </w:pPr>
            <w:r>
              <w:rPr>
                <w:rFonts w:hint="default" w:ascii="Times New Roman" w:hAnsi="Times New Roman" w:cs="Times New Roman"/>
                <w:sz w:val="24"/>
                <w:szCs w:val="24"/>
              </w:rPr>
              <w:t>项目区现状</w:t>
            </w:r>
          </w:p>
        </w:tc>
        <w:tc>
          <w:tcPr>
            <w:tcW w:w="4261" w:type="dxa"/>
            <w:vAlign w:val="center"/>
          </w:tcPr>
          <w:p w14:paraId="5DD79A3F">
            <w:pPr>
              <w:ind w:left="0" w:lef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lang w:eastAsia="zh-CN"/>
              </w:rPr>
              <w:drawing>
                <wp:anchor distT="0" distB="0" distL="114300" distR="114300" simplePos="0" relativeHeight="251662336" behindDoc="1" locked="0" layoutInCell="1" allowOverlap="1">
                  <wp:simplePos x="0" y="0"/>
                  <wp:positionH relativeFrom="column">
                    <wp:posOffset>-9525</wp:posOffset>
                  </wp:positionH>
                  <wp:positionV relativeFrom="paragraph">
                    <wp:posOffset>97790</wp:posOffset>
                  </wp:positionV>
                  <wp:extent cx="2564765" cy="1923415"/>
                  <wp:effectExtent l="0" t="0" r="6985" b="635"/>
                  <wp:wrapNone/>
                  <wp:docPr id="11" name="图片 11" descr="项目区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项目区内2"/>
                          <pic:cNvPicPr>
                            <a:picLocks noChangeAspect="1"/>
                          </pic:cNvPicPr>
                        </pic:nvPicPr>
                        <pic:blipFill>
                          <a:blip r:embed="rId22"/>
                          <a:stretch>
                            <a:fillRect/>
                          </a:stretch>
                        </pic:blipFill>
                        <pic:spPr>
                          <a:xfrm>
                            <a:off x="0" y="0"/>
                            <a:ext cx="2564765" cy="1923415"/>
                          </a:xfrm>
                          <a:prstGeom prst="rect">
                            <a:avLst/>
                          </a:prstGeom>
                        </pic:spPr>
                      </pic:pic>
                    </a:graphicData>
                  </a:graphic>
                </wp:anchor>
              </w:drawing>
            </w:r>
          </w:p>
          <w:p w14:paraId="7706D9F3">
            <w:pPr>
              <w:ind w:left="0" w:leftChars="0" w:firstLine="0" w:firstLineChars="0"/>
              <w:jc w:val="center"/>
              <w:rPr>
                <w:rFonts w:hint="default" w:ascii="Times New Roman" w:hAnsi="Times New Roman" w:cs="Times New Roman"/>
                <w:sz w:val="21"/>
                <w:szCs w:val="21"/>
              </w:rPr>
            </w:pPr>
          </w:p>
          <w:p w14:paraId="690F2CDF">
            <w:pPr>
              <w:ind w:left="0" w:leftChars="0" w:firstLine="0" w:firstLineChars="0"/>
              <w:jc w:val="center"/>
              <w:rPr>
                <w:rFonts w:hint="default" w:ascii="Times New Roman" w:hAnsi="Times New Roman" w:eastAsia="宋体" w:cs="Times New Roman"/>
                <w:sz w:val="21"/>
                <w:szCs w:val="21"/>
                <w:lang w:eastAsia="zh-CN"/>
              </w:rPr>
            </w:pPr>
          </w:p>
          <w:p w14:paraId="731ED879">
            <w:pPr>
              <w:ind w:left="0" w:leftChars="0" w:firstLine="0" w:firstLineChars="0"/>
              <w:jc w:val="both"/>
              <w:rPr>
                <w:rFonts w:hint="default" w:ascii="Times New Roman" w:hAnsi="Times New Roman" w:cs="Times New Roman"/>
                <w:sz w:val="21"/>
                <w:szCs w:val="21"/>
              </w:rPr>
            </w:pPr>
          </w:p>
          <w:p w14:paraId="29AC4260">
            <w:pPr>
              <w:ind w:left="0" w:leftChars="0" w:firstLine="0" w:firstLineChars="0"/>
              <w:jc w:val="center"/>
              <w:rPr>
                <w:rFonts w:hint="default" w:ascii="Times New Roman" w:hAnsi="Times New Roman" w:cs="Times New Roman"/>
                <w:sz w:val="21"/>
                <w:szCs w:val="21"/>
              </w:rPr>
            </w:pPr>
          </w:p>
          <w:p w14:paraId="0B44B996">
            <w:pPr>
              <w:ind w:left="0" w:leftChars="0" w:firstLine="0" w:firstLineChars="0"/>
              <w:jc w:val="center"/>
              <w:rPr>
                <w:rFonts w:hint="default" w:ascii="Times New Roman" w:hAnsi="Times New Roman" w:cs="Times New Roman"/>
                <w:sz w:val="21"/>
                <w:szCs w:val="21"/>
              </w:rPr>
            </w:pPr>
          </w:p>
          <w:p w14:paraId="7E7F44BF">
            <w:pPr>
              <w:ind w:left="0" w:leftChars="0" w:firstLine="0" w:firstLineChars="0"/>
              <w:jc w:val="center"/>
              <w:rPr>
                <w:rFonts w:hint="default" w:ascii="Times New Roman" w:hAnsi="Times New Roman" w:cs="Times New Roman"/>
                <w:sz w:val="21"/>
                <w:szCs w:val="21"/>
              </w:rPr>
            </w:pPr>
          </w:p>
          <w:p w14:paraId="345DCF9A">
            <w:pPr>
              <w:ind w:left="0" w:leftChars="0" w:firstLine="0" w:firstLineChars="0"/>
              <w:jc w:val="center"/>
              <w:rPr>
                <w:rFonts w:hint="default" w:ascii="Times New Roman" w:hAnsi="Times New Roman" w:cs="Times New Roman"/>
                <w:sz w:val="21"/>
                <w:szCs w:val="21"/>
              </w:rPr>
            </w:pPr>
          </w:p>
          <w:p w14:paraId="52DFDB26">
            <w:pPr>
              <w:ind w:left="0" w:leftChars="0" w:firstLine="0" w:firstLineChars="0"/>
              <w:jc w:val="center"/>
              <w:rPr>
                <w:rFonts w:hint="default" w:ascii="Times New Roman" w:hAnsi="Times New Roman" w:cs="Times New Roman"/>
                <w:sz w:val="21"/>
                <w:szCs w:val="21"/>
              </w:rPr>
            </w:pPr>
          </w:p>
          <w:p w14:paraId="6F7F19DF">
            <w:pPr>
              <w:ind w:left="0" w:leftChars="0" w:firstLine="0" w:firstLineChars="0"/>
              <w:jc w:val="center"/>
              <w:rPr>
                <w:rFonts w:hint="default" w:ascii="Times New Roman" w:hAnsi="Times New Roman" w:cs="Times New Roman"/>
                <w:sz w:val="21"/>
                <w:szCs w:val="21"/>
              </w:rPr>
            </w:pPr>
            <w:r>
              <w:rPr>
                <w:rFonts w:hint="default" w:ascii="Times New Roman" w:hAnsi="Times New Roman" w:cs="Times New Roman"/>
                <w:sz w:val="24"/>
                <w:szCs w:val="24"/>
              </w:rPr>
              <w:t>项目区现状</w:t>
            </w:r>
          </w:p>
        </w:tc>
      </w:tr>
    </w:tbl>
    <w:p w14:paraId="0767CB03">
      <w:pPr>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 w:val="36"/>
          <w:szCs w:val="36"/>
          <w:highlight w:val="none"/>
        </w:rPr>
        <w:br w:type="page"/>
      </w:r>
    </w:p>
    <w:p w14:paraId="71E462EF">
      <w:pPr>
        <w:rPr>
          <w:rFonts w:hint="default" w:ascii="Times New Roman" w:hAnsi="Times New Roman" w:eastAsia="仿宋_GB2312" w:cs="Times New Roman"/>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274" w:bottom="1701" w:left="1531" w:header="851" w:footer="1077" w:gutter="0"/>
          <w:pgNumType w:fmt="numberInDash" w:start="3"/>
          <w:cols w:space="720" w:num="1"/>
          <w:docGrid w:linePitch="312" w:charSpace="0"/>
        </w:sectPr>
      </w:pPr>
    </w:p>
    <w:p w14:paraId="7CEEC5B3">
      <w:pPr>
        <w:jc w:val="center"/>
        <w:rPr>
          <w:rFonts w:hint="default" w:ascii="Times New Roman" w:hAnsi="Times New Roman" w:eastAsia="黑体" w:cs="Times New Roman"/>
          <w:snapToGrid w:val="0"/>
          <w:color w:val="auto"/>
          <w:sz w:val="30"/>
          <w:szCs w:val="30"/>
          <w:highlight w:val="none"/>
          <w:lang w:val="en-US" w:eastAsia="zh-CN"/>
        </w:rPr>
      </w:pPr>
    </w:p>
    <w:p w14:paraId="407AEA04">
      <w:pPr>
        <w:jc w:val="center"/>
        <w:rPr>
          <w:rFonts w:hint="default" w:ascii="Times New Roman" w:hAnsi="Times New Roman" w:eastAsia="黑体" w:cs="Times New Roman"/>
          <w:snapToGrid w:val="0"/>
          <w:color w:val="auto"/>
          <w:sz w:val="30"/>
          <w:szCs w:val="30"/>
          <w:highlight w:val="none"/>
          <w:lang w:val="en-US" w:eastAsia="zh-CN"/>
        </w:rPr>
      </w:pPr>
    </w:p>
    <w:p w14:paraId="28FD1F68">
      <w:pPr>
        <w:jc w:val="center"/>
        <w:rPr>
          <w:rFonts w:hint="default" w:ascii="Times New Roman" w:hAnsi="Times New Roman" w:eastAsia="黑体" w:cs="Times New Roman"/>
          <w:snapToGrid w:val="0"/>
          <w:color w:val="auto"/>
          <w:sz w:val="30"/>
          <w:szCs w:val="30"/>
          <w:highlight w:val="none"/>
          <w:lang w:val="en-US" w:eastAsia="zh-CN"/>
        </w:rPr>
      </w:pPr>
      <w:r>
        <w:rPr>
          <w:rFonts w:hint="default" w:ascii="Times New Roman" w:hAnsi="Times New Roman" w:eastAsia="黑体" w:cs="Times New Roman"/>
          <w:snapToGrid w:val="0"/>
          <w:color w:val="auto"/>
          <w:sz w:val="30"/>
          <w:szCs w:val="30"/>
          <w:highlight w:val="none"/>
          <w:lang w:val="en-US" w:eastAsia="zh-CN"/>
        </w:rPr>
        <w:t>目  录</w:t>
      </w:r>
    </w:p>
    <w:p w14:paraId="796AE7F4">
      <w:pPr>
        <w:pStyle w:val="37"/>
        <w:rPr>
          <w:rFonts w:hint="default" w:ascii="Times New Roman" w:hAnsi="Times New Roman" w:cs="Times New Roman"/>
          <w:lang w:val="en-US" w:eastAsia="zh-CN"/>
        </w:rPr>
      </w:pPr>
    </w:p>
    <w:p w14:paraId="2DE444F0">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 w:val="28"/>
          <w:szCs w:val="28"/>
          <w:highlight w:val="none"/>
        </w:rPr>
        <w:fldChar w:fldCharType="begin"/>
      </w:r>
      <w:r>
        <w:rPr>
          <w:rFonts w:hint="default" w:ascii="Times New Roman" w:hAnsi="Times New Roman" w:eastAsia="黑体" w:cs="Times New Roman"/>
          <w:snapToGrid w:val="0"/>
          <w:color w:val="auto"/>
          <w:sz w:val="28"/>
          <w:szCs w:val="28"/>
          <w:highlight w:val="none"/>
        </w:rPr>
        <w:instrText xml:space="preserve">TOC \o "1-1" \h \u </w:instrText>
      </w:r>
      <w:r>
        <w:rPr>
          <w:rFonts w:hint="default" w:ascii="Times New Roman" w:hAnsi="Times New Roman" w:eastAsia="黑体" w:cs="Times New Roman"/>
          <w:snapToGrid w:val="0"/>
          <w:color w:val="auto"/>
          <w:sz w:val="28"/>
          <w:szCs w:val="28"/>
          <w:highlight w:val="none"/>
        </w:rPr>
        <w:fldChar w:fldCharType="separate"/>
      </w: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_Toc30082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一、建设项目基本情况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_Toc30082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0572E39B">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_Toc6043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二、建设项目工程分析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_Toc6043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0F388F19">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_Toc2466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三、区域环境质量现状、环境保护目标及评价标准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_Toc2466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7611A7E4">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_Toc28034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四、主要环境影响和保护措施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_Toc28034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3C771C50">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_Toc2872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五、环境保护措施监督检查清单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_Toc2872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1632B5E5">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_Toc12425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六、结论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_Toc12425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3A9AB923">
      <w:pPr>
        <w:pStyle w:val="20"/>
        <w:tabs>
          <w:tab w:val="right" w:leader="dot" w:pos="8845"/>
        </w:tabs>
        <w:rPr>
          <w:rFonts w:hint="default" w:ascii="Times New Roman" w:hAnsi="Times New Roman" w:cs="Times New Roman"/>
        </w:rPr>
      </w:pPr>
      <w:r>
        <w:rPr>
          <w:rFonts w:hint="default" w:ascii="Times New Roman" w:hAnsi="Times New Roman" w:eastAsia="黑体" w:cs="Times New Roman"/>
          <w:snapToGrid w:val="0"/>
          <w:color w:val="auto"/>
          <w:szCs w:val="28"/>
          <w:highlight w:val="none"/>
        </w:rPr>
        <w:fldChar w:fldCharType="begin"/>
      </w:r>
      <w:r>
        <w:rPr>
          <w:rFonts w:hint="default" w:ascii="Times New Roman" w:hAnsi="Times New Roman" w:eastAsia="黑体" w:cs="Times New Roman"/>
          <w:snapToGrid w:val="0"/>
          <w:szCs w:val="28"/>
          <w:highlight w:val="none"/>
        </w:rPr>
        <w:instrText xml:space="preserve"> HYPERLINK \l _Toc30184 </w:instrText>
      </w:r>
      <w:r>
        <w:rPr>
          <w:rFonts w:hint="default" w:ascii="Times New Roman" w:hAnsi="Times New Roman" w:eastAsia="黑体" w:cs="Times New Roman"/>
          <w:snapToGrid w:val="0"/>
          <w:szCs w:val="28"/>
          <w:highlight w:val="none"/>
        </w:rPr>
        <w:fldChar w:fldCharType="separate"/>
      </w:r>
      <w:r>
        <w:rPr>
          <w:rFonts w:hint="default" w:ascii="Times New Roman" w:hAnsi="Times New Roman" w:eastAsia="黑体" w:cs="Times New Roman"/>
          <w:snapToGrid w:val="0"/>
          <w:szCs w:val="30"/>
          <w:highlight w:val="none"/>
        </w:rPr>
        <w:t>建设项目污染物排放量汇总表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_Toc30184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eastAsia="黑体" w:cs="Times New Roman"/>
          <w:snapToGrid w:val="0"/>
          <w:color w:val="auto"/>
          <w:szCs w:val="28"/>
          <w:highlight w:val="none"/>
        </w:rPr>
        <w:fldChar w:fldCharType="end"/>
      </w:r>
    </w:p>
    <w:p w14:paraId="3E6403D1">
      <w:pPr>
        <w:ind w:left="0" w:leftChars="0" w:firstLine="0" w:firstLineChars="0"/>
        <w:jc w:val="both"/>
        <w:rPr>
          <w:rFonts w:hint="default" w:ascii="Times New Roman" w:hAnsi="Times New Roman" w:cs="Times New Roman"/>
          <w:lang w:val="en-US" w:eastAsia="zh-CN"/>
        </w:rPr>
      </w:pPr>
      <w:r>
        <w:rPr>
          <w:rFonts w:hint="default" w:ascii="Times New Roman" w:hAnsi="Times New Roman" w:eastAsia="黑体" w:cs="Times New Roman"/>
          <w:snapToGrid w:val="0"/>
          <w:color w:val="auto"/>
          <w:szCs w:val="28"/>
          <w:highlight w:val="none"/>
        </w:rPr>
        <w:fldChar w:fldCharType="end"/>
      </w:r>
    </w:p>
    <w:p w14:paraId="19E0280F">
      <w:pPr>
        <w:pStyle w:val="37"/>
        <w:rPr>
          <w:rFonts w:hint="default" w:ascii="Times New Roman" w:hAnsi="Times New Roman" w:cs="Times New Roman"/>
          <w:lang w:val="en-US" w:eastAsia="zh-CN"/>
        </w:rPr>
      </w:pPr>
    </w:p>
    <w:p w14:paraId="6A652907">
      <w:pPr>
        <w:rPr>
          <w:rFonts w:hint="default" w:ascii="Times New Roman" w:hAnsi="Times New Roman" w:cs="Times New Roman"/>
          <w:lang w:val="en-US" w:eastAsia="zh-CN"/>
        </w:rPr>
      </w:pPr>
    </w:p>
    <w:p w14:paraId="27ECBABF">
      <w:pPr>
        <w:pStyle w:val="37"/>
        <w:rPr>
          <w:rFonts w:hint="default" w:ascii="Times New Roman" w:hAnsi="Times New Roman" w:cs="Times New Roman"/>
          <w:lang w:val="en-US" w:eastAsia="zh-CN"/>
        </w:rPr>
        <w:sectPr>
          <w:footerReference r:id="rId11" w:type="default"/>
          <w:pgSz w:w="11907" w:h="16840"/>
          <w:pgMar w:top="1276" w:right="1531" w:bottom="1702" w:left="1531" w:header="851" w:footer="596" w:gutter="0"/>
          <w:pgNumType w:fmt="numberInDash" w:start="1"/>
          <w:cols w:space="720" w:num="1"/>
          <w:docGrid w:linePitch="312" w:charSpace="0"/>
        </w:sectPr>
      </w:pPr>
    </w:p>
    <w:p w14:paraId="7A10A598">
      <w:pPr>
        <w:pStyle w:val="24"/>
        <w:keepNext w:val="0"/>
        <w:keepLines w:val="0"/>
        <w:pageBreakBefore/>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hint="default" w:ascii="Times New Roman" w:hAnsi="Times New Roman" w:eastAsia="黑体" w:cs="Times New Roman"/>
          <w:snapToGrid w:val="0"/>
          <w:color w:val="auto"/>
          <w:sz w:val="30"/>
          <w:szCs w:val="30"/>
          <w:highlight w:val="green"/>
        </w:rPr>
      </w:pPr>
      <w:bookmarkStart w:id="0" w:name="_Toc28656"/>
      <w:bookmarkStart w:id="1" w:name="_Toc30082"/>
      <w:bookmarkStart w:id="2" w:name="_Toc28536"/>
      <w:r>
        <w:rPr>
          <w:rFonts w:hint="default" w:ascii="Times New Roman" w:hAnsi="Times New Roman" w:eastAsia="黑体" w:cs="Times New Roman"/>
          <w:snapToGrid w:val="0"/>
          <w:color w:val="auto"/>
          <w:sz w:val="30"/>
          <w:szCs w:val="30"/>
          <w:highlight w:val="none"/>
        </w:rPr>
        <w:t>一、建设项目基本情况</w:t>
      </w:r>
      <w:bookmarkEnd w:id="0"/>
      <w:bookmarkEnd w:id="1"/>
      <w:bookmarkEnd w:id="2"/>
    </w:p>
    <w:tbl>
      <w:tblPr>
        <w:tblStyle w:val="29"/>
        <w:tblW w:w="91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5"/>
        <w:gridCol w:w="2254"/>
        <w:gridCol w:w="2212"/>
        <w:gridCol w:w="2884"/>
      </w:tblGrid>
      <w:tr w14:paraId="75415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754B6FD5">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7350" w:type="dxa"/>
            <w:gridSpan w:val="3"/>
            <w:vAlign w:val="center"/>
          </w:tcPr>
          <w:p w14:paraId="16872337">
            <w:pPr>
              <w:adjustRightInd w:val="0"/>
              <w:snapToGrid w:val="0"/>
              <w:spacing w:line="240" w:lineRule="auto"/>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新疆众革资源循环科技有限公司年产4万吨/年干粉灭火器报废回收循环利用示范化项目</w:t>
            </w:r>
          </w:p>
        </w:tc>
      </w:tr>
      <w:tr w14:paraId="5DE16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760F0AE2">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项目代码</w:t>
            </w:r>
          </w:p>
        </w:tc>
        <w:tc>
          <w:tcPr>
            <w:tcW w:w="7350" w:type="dxa"/>
            <w:gridSpan w:val="3"/>
            <w:vAlign w:val="center"/>
          </w:tcPr>
          <w:p w14:paraId="414BCA53">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r>
      <w:tr w14:paraId="73B3B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310050B8">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建设单位联系人</w:t>
            </w:r>
          </w:p>
        </w:tc>
        <w:tc>
          <w:tcPr>
            <w:tcW w:w="2254" w:type="dxa"/>
            <w:vAlign w:val="center"/>
          </w:tcPr>
          <w:p w14:paraId="7B8494A6">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2212" w:type="dxa"/>
            <w:vAlign w:val="center"/>
          </w:tcPr>
          <w:p w14:paraId="6FAEA790">
            <w:pPr>
              <w:adjustRightInd w:val="0"/>
              <w:snapToGrid w:val="0"/>
              <w:spacing w:line="240" w:lineRule="auto"/>
              <w:ind w:firstLine="0" w:firstLineChars="0"/>
              <w:jc w:val="center"/>
              <w:rPr>
                <w:rFonts w:hint="default" w:ascii="Times New Roman" w:hAnsi="Times New Roman" w:cs="Times New Roman"/>
                <w:color w:val="auto"/>
                <w:highlight w:val="none"/>
              </w:rPr>
            </w:pPr>
          </w:p>
        </w:tc>
        <w:tc>
          <w:tcPr>
            <w:tcW w:w="2884" w:type="dxa"/>
            <w:vAlign w:val="center"/>
          </w:tcPr>
          <w:p w14:paraId="4F67AA8C">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r>
      <w:tr w14:paraId="55B4F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77F4C9A5">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7350" w:type="dxa"/>
            <w:gridSpan w:val="3"/>
            <w:vAlign w:val="center"/>
          </w:tcPr>
          <w:p w14:paraId="71312F31">
            <w:pPr>
              <w:adjustRightInd w:val="0"/>
              <w:snapToGrid w:val="0"/>
              <w:spacing w:line="240" w:lineRule="auto"/>
              <w:ind w:firstLine="0" w:firstLineChars="0"/>
              <w:jc w:val="center"/>
              <w:rPr>
                <w:rFonts w:hint="default" w:ascii="Times New Roman" w:hAnsi="Times New Roman" w:cs="Times New Roman"/>
                <w:color w:val="auto"/>
                <w:highlight w:val="none"/>
                <w:lang w:val="en-US"/>
              </w:rPr>
            </w:pPr>
          </w:p>
        </w:tc>
      </w:tr>
      <w:tr w14:paraId="4F443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6DA31841">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7350" w:type="dxa"/>
            <w:gridSpan w:val="3"/>
            <w:vAlign w:val="center"/>
          </w:tcPr>
          <w:p w14:paraId="0F5A850C">
            <w:pPr>
              <w:adjustRightInd w:val="0"/>
              <w:snapToGrid w:val="0"/>
              <w:spacing w:line="240" w:lineRule="auto"/>
              <w:ind w:firstLine="0" w:firstLineChars="0"/>
              <w:jc w:val="center"/>
              <w:rPr>
                <w:rFonts w:hint="default" w:ascii="Times New Roman" w:hAnsi="Times New Roman" w:eastAsia="宋体" w:cs="Times New Roman"/>
                <w:color w:val="auto"/>
                <w:highlight w:val="none"/>
                <w:lang w:eastAsia="zh-CN"/>
              </w:rPr>
            </w:pPr>
          </w:p>
        </w:tc>
      </w:tr>
      <w:tr w14:paraId="7D8E0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1765" w:type="dxa"/>
            <w:tcMar>
              <w:top w:w="16" w:type="dxa"/>
              <w:left w:w="16" w:type="dxa"/>
              <w:right w:w="16" w:type="dxa"/>
            </w:tcMar>
            <w:vAlign w:val="center"/>
          </w:tcPr>
          <w:p w14:paraId="0C3A4AAB">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国民经济</w:t>
            </w:r>
          </w:p>
          <w:p w14:paraId="28612A12">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p>
        </w:tc>
        <w:tc>
          <w:tcPr>
            <w:tcW w:w="2254" w:type="dxa"/>
            <w:vAlign w:val="center"/>
          </w:tcPr>
          <w:p w14:paraId="1D4AD71B">
            <w:pPr>
              <w:adjustRightInd w:val="0"/>
              <w:snapToGrid w:val="0"/>
              <w:spacing w:line="240" w:lineRule="auto"/>
              <w:ind w:firstLine="0" w:firstLineChars="0"/>
              <w:jc w:val="center"/>
              <w:rPr>
                <w:rFonts w:hint="default" w:ascii="Times New Roman" w:hAnsi="Times New Roman" w:cs="Times New Roman"/>
                <w:color w:val="auto"/>
                <w:highlight w:val="none"/>
                <w:lang w:val="en-US"/>
              </w:rPr>
            </w:pPr>
            <w:r>
              <w:rPr>
                <w:rFonts w:hint="default" w:ascii="Times New Roman" w:hAnsi="Times New Roman" w:eastAsia="Times New Roman" w:cs="Times New Roman"/>
                <w:spacing w:val="-1"/>
              </w:rPr>
              <w:t>C</w:t>
            </w:r>
            <w:r>
              <w:rPr>
                <w:rFonts w:hint="default" w:ascii="Times New Roman" w:hAnsi="Times New Roman" w:cs="Times New Roman"/>
                <w:spacing w:val="-1"/>
                <w:lang w:val="en-US" w:eastAsia="zh-CN"/>
              </w:rPr>
              <w:t>4210金属废料和碎屑加工处理；4220非金属废料和碎屑加工处理</w:t>
            </w:r>
          </w:p>
        </w:tc>
        <w:tc>
          <w:tcPr>
            <w:tcW w:w="2212" w:type="dxa"/>
            <w:vAlign w:val="center"/>
          </w:tcPr>
          <w:p w14:paraId="2AC1B254">
            <w:pPr>
              <w:adjustRightInd w:val="0"/>
              <w:snapToGrid w:val="0"/>
              <w:spacing w:line="240" w:lineRule="auto"/>
              <w:ind w:firstLine="0" w:firstLineChars="0"/>
              <w:jc w:val="center"/>
              <w:rPr>
                <w:rFonts w:hint="default" w:ascii="Times New Roman" w:hAnsi="Times New Roman" w:cs="Times New Roman"/>
                <w:color w:val="auto"/>
                <w:highlight w:val="none"/>
              </w:rPr>
            </w:pPr>
            <w:bookmarkStart w:id="3" w:name="_Hlk49843745"/>
            <w:r>
              <w:rPr>
                <w:rFonts w:hint="default" w:ascii="Times New Roman" w:hAnsi="Times New Roman" w:cs="Times New Roman"/>
                <w:color w:val="auto"/>
                <w:highlight w:val="none"/>
              </w:rPr>
              <w:t>建设项目</w:t>
            </w:r>
          </w:p>
          <w:p w14:paraId="1BAC497E">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bookmarkEnd w:id="3"/>
          </w:p>
        </w:tc>
        <w:tc>
          <w:tcPr>
            <w:tcW w:w="2884" w:type="dxa"/>
            <w:vAlign w:val="center"/>
          </w:tcPr>
          <w:p w14:paraId="54E4C5D6">
            <w:pPr>
              <w:pStyle w:val="8"/>
              <w:adjustRightInd w:val="0"/>
              <w:snapToGrid w:val="0"/>
              <w:spacing w:line="240" w:lineRule="auto"/>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spacing w:val="-2"/>
                <w:lang w:val="en-US" w:eastAsia="zh-CN"/>
              </w:rPr>
              <w:t>三十九</w:t>
            </w:r>
            <w:r>
              <w:rPr>
                <w:rFonts w:hint="default" w:ascii="Times New Roman" w:hAnsi="Times New Roman" w:cs="Times New Roman"/>
                <w:spacing w:val="-2"/>
              </w:rPr>
              <w:t>、</w:t>
            </w:r>
            <w:bookmarkStart w:id="73" w:name="_GoBack"/>
            <w:bookmarkEnd w:id="73"/>
            <w:r>
              <w:rPr>
                <w:rFonts w:hint="default" w:ascii="Times New Roman" w:hAnsi="Times New Roman" w:cs="Times New Roman"/>
                <w:spacing w:val="-2"/>
                <w:lang w:val="en-US" w:eastAsia="zh-CN"/>
              </w:rPr>
              <w:t>废弃资源综合利用业</w:t>
            </w:r>
            <w:r>
              <w:rPr>
                <w:rFonts w:hint="default" w:ascii="Times New Roman" w:hAnsi="Times New Roman" w:cs="Times New Roman"/>
                <w:spacing w:val="2"/>
                <w:lang w:val="en-US" w:eastAsia="zh-CN"/>
              </w:rPr>
              <w:t>42-85</w:t>
            </w:r>
            <w:r>
              <w:rPr>
                <w:rFonts w:hint="default" w:ascii="Times New Roman" w:hAnsi="Times New Roman" w:eastAsia="宋体" w:cs="Times New Roman"/>
                <w:sz w:val="24"/>
                <w:szCs w:val="24"/>
              </w:rPr>
              <w:t>金属废料和碎屑加工处理421；非金属废料和碎屑加工处理422（421和422均不含原料为危险废物的，均不含仅分拣、破碎的）</w:t>
            </w:r>
            <w:r>
              <w:rPr>
                <w:rFonts w:hint="eastAsia" w:cs="Times New Roman"/>
                <w:sz w:val="24"/>
                <w:szCs w:val="24"/>
                <w:lang w:eastAsia="zh-CN"/>
              </w:rPr>
              <w:t>－</w:t>
            </w:r>
            <w:r>
              <w:rPr>
                <w:rFonts w:hint="default" w:ascii="Times New Roman" w:hAnsi="Times New Roman" w:eastAsia="宋体" w:cs="Times New Roman"/>
                <w:sz w:val="24"/>
                <w:szCs w:val="24"/>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14:paraId="67CDD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65" w:type="dxa"/>
            <w:tcMar>
              <w:top w:w="16" w:type="dxa"/>
              <w:left w:w="16" w:type="dxa"/>
              <w:right w:w="16" w:type="dxa"/>
            </w:tcMar>
            <w:vAlign w:val="center"/>
          </w:tcPr>
          <w:p w14:paraId="4027F2F0">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p>
        </w:tc>
        <w:tc>
          <w:tcPr>
            <w:tcW w:w="2254" w:type="dxa"/>
            <w:vAlign w:val="center"/>
          </w:tcPr>
          <w:p w14:paraId="689B24C6">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52"/>
            </w:r>
            <w:r>
              <w:rPr>
                <w:rFonts w:hint="default" w:ascii="Times New Roman" w:hAnsi="Times New Roman" w:cs="Times New Roman"/>
                <w:color w:val="auto"/>
                <w:highlight w:val="none"/>
              </w:rPr>
              <w:t>新建（迁建）</w:t>
            </w:r>
          </w:p>
          <w:p w14:paraId="09B3BE0D">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改建</w:t>
            </w:r>
          </w:p>
          <w:p w14:paraId="73D5A556">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扩建</w:t>
            </w:r>
          </w:p>
          <w:p w14:paraId="6E6663E1">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技术改造</w:t>
            </w:r>
          </w:p>
        </w:tc>
        <w:tc>
          <w:tcPr>
            <w:tcW w:w="2212" w:type="dxa"/>
            <w:vAlign w:val="center"/>
          </w:tcPr>
          <w:p w14:paraId="409675DB">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68AA0426">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申报情形</w:t>
            </w:r>
          </w:p>
        </w:tc>
        <w:tc>
          <w:tcPr>
            <w:tcW w:w="2884" w:type="dxa"/>
            <w:vAlign w:val="center"/>
          </w:tcPr>
          <w:p w14:paraId="5B6D2705">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52"/>
            </w:r>
            <w:r>
              <w:rPr>
                <w:rFonts w:hint="default" w:ascii="Times New Roman" w:hAnsi="Times New Roman" w:cs="Times New Roman"/>
                <w:color w:val="auto"/>
                <w:highlight w:val="none"/>
              </w:rPr>
              <w:t xml:space="preserve">首次申报项目             </w:t>
            </w:r>
          </w:p>
          <w:p w14:paraId="3EF5440D">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不予批准后再次申报项目</w:t>
            </w:r>
          </w:p>
          <w:p w14:paraId="27626295">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 xml:space="preserve">超五年重新审核项目     </w:t>
            </w:r>
          </w:p>
          <w:p w14:paraId="3550E814">
            <w:pPr>
              <w:adjustRightInd w:val="0"/>
              <w:snapToGrid w:val="0"/>
              <w:spacing w:line="240" w:lineRule="auto"/>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F0A3"/>
            </w:r>
            <w:r>
              <w:rPr>
                <w:rFonts w:hint="default" w:ascii="Times New Roman" w:hAnsi="Times New Roman" w:cs="Times New Roman"/>
                <w:color w:val="auto"/>
                <w:highlight w:val="none"/>
              </w:rPr>
              <w:t>重大变动重新报批项目</w:t>
            </w:r>
          </w:p>
        </w:tc>
      </w:tr>
      <w:tr w14:paraId="237A6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65" w:type="dxa"/>
            <w:tcMar>
              <w:top w:w="16" w:type="dxa"/>
              <w:left w:w="16" w:type="dxa"/>
              <w:right w:w="16" w:type="dxa"/>
            </w:tcMar>
            <w:vAlign w:val="center"/>
          </w:tcPr>
          <w:p w14:paraId="28972D54">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项目审批（核准/</w:t>
            </w:r>
          </w:p>
          <w:p w14:paraId="0DB8A5C7">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备案）部门（选填）</w:t>
            </w:r>
          </w:p>
        </w:tc>
        <w:tc>
          <w:tcPr>
            <w:tcW w:w="2254" w:type="dxa"/>
            <w:vAlign w:val="center"/>
          </w:tcPr>
          <w:p w14:paraId="5CF1E8E7">
            <w:pPr>
              <w:pStyle w:val="74"/>
              <w:spacing w:before="224" w:line="219" w:lineRule="auto"/>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val="0"/>
                <w:snapToGrid w:val="0"/>
                <w:color w:val="auto"/>
                <w:spacing w:val="0"/>
                <w:kern w:val="0"/>
                <w:sz w:val="24"/>
                <w:szCs w:val="24"/>
                <w:lang w:val="en-US" w:eastAsia="zh-CN"/>
              </w:rPr>
              <w:t>库尔勒市发展和改革委员会</w:t>
            </w:r>
          </w:p>
        </w:tc>
        <w:tc>
          <w:tcPr>
            <w:tcW w:w="2212" w:type="dxa"/>
            <w:vAlign w:val="center"/>
          </w:tcPr>
          <w:p w14:paraId="08CAE0DD">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项目审批（核准/</w:t>
            </w:r>
          </w:p>
          <w:p w14:paraId="1EE43B29">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备案）文号（选填）</w:t>
            </w:r>
          </w:p>
        </w:tc>
        <w:tc>
          <w:tcPr>
            <w:tcW w:w="2884" w:type="dxa"/>
            <w:vAlign w:val="center"/>
          </w:tcPr>
          <w:p w14:paraId="65950E38">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20250218</w:t>
            </w:r>
          </w:p>
        </w:tc>
      </w:tr>
      <w:tr w14:paraId="30170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3AA4D67D">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总投资（万元）</w:t>
            </w:r>
          </w:p>
        </w:tc>
        <w:tc>
          <w:tcPr>
            <w:tcW w:w="2254" w:type="dxa"/>
            <w:vAlign w:val="center"/>
          </w:tcPr>
          <w:p w14:paraId="4EA5CDCD">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11976</w:t>
            </w:r>
          </w:p>
        </w:tc>
        <w:tc>
          <w:tcPr>
            <w:tcW w:w="2212" w:type="dxa"/>
            <w:tcMar>
              <w:top w:w="16" w:type="dxa"/>
              <w:left w:w="16" w:type="dxa"/>
              <w:right w:w="16" w:type="dxa"/>
            </w:tcMar>
            <w:vAlign w:val="center"/>
          </w:tcPr>
          <w:p w14:paraId="1ACB0155">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环保投资（万元）</w:t>
            </w:r>
          </w:p>
        </w:tc>
        <w:tc>
          <w:tcPr>
            <w:tcW w:w="2884" w:type="dxa"/>
            <w:vAlign w:val="center"/>
          </w:tcPr>
          <w:p w14:paraId="4878D6A7">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108</w:t>
            </w:r>
          </w:p>
        </w:tc>
      </w:tr>
      <w:tr w14:paraId="3CE7F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65" w:type="dxa"/>
            <w:tcMar>
              <w:top w:w="16" w:type="dxa"/>
              <w:left w:w="16" w:type="dxa"/>
              <w:right w:w="16" w:type="dxa"/>
            </w:tcMar>
            <w:vAlign w:val="center"/>
          </w:tcPr>
          <w:p w14:paraId="31E95C1A">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环保投资占比（%）</w:t>
            </w:r>
          </w:p>
        </w:tc>
        <w:tc>
          <w:tcPr>
            <w:tcW w:w="2254" w:type="dxa"/>
            <w:vAlign w:val="center"/>
          </w:tcPr>
          <w:p w14:paraId="2394D69A">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0.9</w:t>
            </w:r>
          </w:p>
        </w:tc>
        <w:tc>
          <w:tcPr>
            <w:tcW w:w="2212" w:type="dxa"/>
            <w:tcMar>
              <w:top w:w="16" w:type="dxa"/>
              <w:left w:w="16" w:type="dxa"/>
              <w:right w:w="16" w:type="dxa"/>
            </w:tcMar>
            <w:vAlign w:val="center"/>
          </w:tcPr>
          <w:p w14:paraId="1112606B">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施工工期</w:t>
            </w:r>
          </w:p>
        </w:tc>
        <w:tc>
          <w:tcPr>
            <w:tcW w:w="2884" w:type="dxa"/>
            <w:vAlign w:val="center"/>
          </w:tcPr>
          <w:p w14:paraId="5D0BC884">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个月</w:t>
            </w:r>
          </w:p>
        </w:tc>
      </w:tr>
      <w:tr w14:paraId="79E62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65" w:type="dxa"/>
            <w:tcMar>
              <w:top w:w="16" w:type="dxa"/>
              <w:left w:w="16" w:type="dxa"/>
              <w:right w:w="16" w:type="dxa"/>
            </w:tcMar>
            <w:vAlign w:val="center"/>
          </w:tcPr>
          <w:p w14:paraId="7D0FD1F6">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是否开工建设</w:t>
            </w:r>
          </w:p>
        </w:tc>
        <w:tc>
          <w:tcPr>
            <w:tcW w:w="2254" w:type="dxa"/>
            <w:vAlign w:val="center"/>
          </w:tcPr>
          <w:p w14:paraId="118DE876">
            <w:pPr>
              <w:adjustRightInd w:val="0"/>
              <w:snapToGrid w:val="0"/>
              <w:spacing w:line="24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否</w:t>
            </w:r>
          </w:p>
          <w:p w14:paraId="633EA94E">
            <w:pPr>
              <w:adjustRightInd w:val="0"/>
              <w:snapToGrid w:val="0"/>
              <w:spacing w:line="24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是：</w:t>
            </w:r>
            <w:r>
              <w:rPr>
                <w:rFonts w:hint="default" w:ascii="Times New Roman" w:hAnsi="Times New Roman" w:cs="Times New Roman"/>
                <w:color w:val="auto"/>
                <w:highlight w:val="none"/>
                <w:u w:val="single"/>
              </w:rPr>
              <w:t xml:space="preserve">                   </w:t>
            </w:r>
          </w:p>
        </w:tc>
        <w:tc>
          <w:tcPr>
            <w:tcW w:w="2212" w:type="dxa"/>
            <w:tcMar>
              <w:top w:w="16" w:type="dxa"/>
              <w:left w:w="16" w:type="dxa"/>
              <w:right w:w="16" w:type="dxa"/>
            </w:tcMar>
            <w:vAlign w:val="center"/>
          </w:tcPr>
          <w:p w14:paraId="6BF71469">
            <w:pPr>
              <w:adjustRightInd w:val="0"/>
              <w:snapToGrid w:val="0"/>
              <w:spacing w:line="240" w:lineRule="auto"/>
              <w:ind w:firstLine="0" w:firstLineChars="0"/>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用地（用海）</w:t>
            </w:r>
          </w:p>
          <w:p w14:paraId="1EDB5A02">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面积（m</w:t>
            </w:r>
            <w:r>
              <w:rPr>
                <w:rFonts w:hint="default" w:ascii="Times New Roman" w:hAnsi="Times New Roman" w:cs="Times New Roman"/>
                <w:color w:val="auto"/>
                <w:spacing w:val="-6"/>
                <w:highlight w:val="none"/>
                <w:vertAlign w:val="superscript"/>
              </w:rPr>
              <w:t>2</w:t>
            </w:r>
            <w:r>
              <w:rPr>
                <w:rFonts w:hint="default" w:ascii="Times New Roman" w:hAnsi="Times New Roman" w:cs="Times New Roman"/>
                <w:color w:val="auto"/>
                <w:spacing w:val="-6"/>
                <w:highlight w:val="none"/>
              </w:rPr>
              <w:t>）</w:t>
            </w:r>
          </w:p>
        </w:tc>
        <w:tc>
          <w:tcPr>
            <w:tcW w:w="2884" w:type="dxa"/>
            <w:vAlign w:val="center"/>
          </w:tcPr>
          <w:p w14:paraId="4ACE2CCB">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占地101.46亩</w:t>
            </w:r>
          </w:p>
        </w:tc>
      </w:tr>
      <w:tr w14:paraId="06528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765" w:type="dxa"/>
            <w:vAlign w:val="center"/>
          </w:tcPr>
          <w:p w14:paraId="5EEC1A07">
            <w:pPr>
              <w:autoSpaceDE w:val="0"/>
              <w:autoSpaceDN w:val="0"/>
              <w:adjustRightInd w:val="0"/>
              <w:snapToGrid w:val="0"/>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专项评价设置情况</w:t>
            </w:r>
          </w:p>
        </w:tc>
        <w:tc>
          <w:tcPr>
            <w:tcW w:w="7350" w:type="dxa"/>
            <w:gridSpan w:val="3"/>
            <w:vAlign w:val="center"/>
          </w:tcPr>
          <w:p w14:paraId="583F312D">
            <w:pPr>
              <w:autoSpaceDE w:val="0"/>
              <w:autoSpaceDN w:val="0"/>
              <w:adjustRightInd w:val="0"/>
              <w:snapToGrid w:val="0"/>
              <w:spacing w:line="360" w:lineRule="auto"/>
              <w:ind w:firstLine="480" w:firstLineChars="200"/>
              <w:jc w:val="left"/>
              <w:rPr>
                <w:rFonts w:hint="default" w:ascii="Times New Roman" w:hAnsi="Times New Roman" w:cs="Times New Roman"/>
                <w:kern w:val="0"/>
                <w:sz w:val="24"/>
              </w:rPr>
            </w:pPr>
            <w:r>
              <w:rPr>
                <w:rFonts w:hint="default" w:ascii="Times New Roman" w:hAnsi="Times New Roman" w:cs="Times New Roman"/>
                <w:kern w:val="0"/>
                <w:sz w:val="24"/>
              </w:rPr>
              <w:t>根据《建设项目环境影响报告表编制技术指南（污染影响类）</w:t>
            </w:r>
            <w:r>
              <w:rPr>
                <w:rFonts w:hint="default" w:ascii="Times New Roman" w:hAnsi="Times New Roman" w:cs="Times New Roman"/>
                <w:kern w:val="0"/>
                <w:sz w:val="24"/>
                <w:lang w:eastAsia="zh-CN"/>
              </w:rPr>
              <w:t>（试行）》</w:t>
            </w:r>
            <w:r>
              <w:rPr>
                <w:rFonts w:hint="default" w:ascii="Times New Roman" w:hAnsi="Times New Roman" w:cs="Times New Roman"/>
                <w:kern w:val="0"/>
                <w:sz w:val="24"/>
              </w:rPr>
              <w:t>，土壤、声环境不开展专项评价，其余参照专项评价设置原则表，项目专项评价设置情况说明如下：</w:t>
            </w:r>
          </w:p>
          <w:p w14:paraId="0B4E7B4B">
            <w:pPr>
              <w:pStyle w:val="3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表1-1 </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专项评价设置原则表基本项目设置情况</w:t>
            </w:r>
          </w:p>
          <w:tbl>
            <w:tblPr>
              <w:tblStyle w:val="29"/>
              <w:tblpPr w:leftFromText="180" w:rightFromText="180" w:vertAnchor="text" w:tblpXSpec="center" w:tblpY="66"/>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746"/>
              <w:gridCol w:w="2646"/>
              <w:gridCol w:w="715"/>
            </w:tblGrid>
            <w:tr w14:paraId="1F8B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vAlign w:val="center"/>
                </w:tcPr>
                <w:p w14:paraId="5CDCADF5">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专项评价的类别</w:t>
                  </w:r>
                </w:p>
              </w:tc>
              <w:tc>
                <w:tcPr>
                  <w:tcW w:w="1927" w:type="pct"/>
                  <w:vAlign w:val="center"/>
                </w:tcPr>
                <w:p w14:paraId="190A754F">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设置原则</w:t>
                  </w:r>
                </w:p>
              </w:tc>
              <w:tc>
                <w:tcPr>
                  <w:tcW w:w="1857" w:type="pct"/>
                  <w:vAlign w:val="center"/>
                </w:tcPr>
                <w:p w14:paraId="4143215B">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w:t>
                  </w:r>
                </w:p>
              </w:tc>
              <w:tc>
                <w:tcPr>
                  <w:tcW w:w="501" w:type="pct"/>
                  <w:vAlign w:val="center"/>
                </w:tcPr>
                <w:p w14:paraId="476368BD">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是否</w:t>
                  </w:r>
                </w:p>
                <w:p w14:paraId="4BB5FBD7">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设置</w:t>
                  </w:r>
                </w:p>
              </w:tc>
            </w:tr>
            <w:tr w14:paraId="0BB1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vAlign w:val="center"/>
                </w:tcPr>
                <w:p w14:paraId="3FA88EA9">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大气</w:t>
                  </w:r>
                </w:p>
              </w:tc>
              <w:tc>
                <w:tcPr>
                  <w:tcW w:w="1927" w:type="pct"/>
                  <w:vAlign w:val="center"/>
                </w:tcPr>
                <w:p w14:paraId="4075B5F9">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排放废气含有毒有害污染物1、二噁英、苯并[a]芘、氰化物、氯气且厂界外500米范围内有环境空气保护目标的建设项目</w:t>
                  </w:r>
                </w:p>
              </w:tc>
              <w:tc>
                <w:tcPr>
                  <w:tcW w:w="1857" w:type="pct"/>
                  <w:vAlign w:val="center"/>
                </w:tcPr>
                <w:p w14:paraId="7ED2DD5B">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本项目排放废气不含二噁英、苯并[a]芘、氰化物、氯气等废气。</w:t>
                  </w:r>
                </w:p>
              </w:tc>
              <w:tc>
                <w:tcPr>
                  <w:tcW w:w="501" w:type="pct"/>
                  <w:vAlign w:val="center"/>
                </w:tcPr>
                <w:p w14:paraId="7A82EC55">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否</w:t>
                  </w:r>
                </w:p>
              </w:tc>
            </w:tr>
            <w:tr w14:paraId="3D8C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3" w:type="pct"/>
                  <w:vAlign w:val="center"/>
                </w:tcPr>
                <w:p w14:paraId="3250EE72">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地表水</w:t>
                  </w:r>
                </w:p>
              </w:tc>
              <w:tc>
                <w:tcPr>
                  <w:tcW w:w="1927" w:type="pct"/>
                  <w:vAlign w:val="center"/>
                </w:tcPr>
                <w:p w14:paraId="65D860FB">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新增工业废水直排建设项目（槽罐车外送污水处理厂的除外）；</w:t>
                  </w:r>
                </w:p>
                <w:p w14:paraId="390D67A8">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新增废水直排的污水集中处理厂</w:t>
                  </w:r>
                </w:p>
              </w:tc>
              <w:tc>
                <w:tcPr>
                  <w:tcW w:w="1857" w:type="pct"/>
                  <w:vAlign w:val="center"/>
                </w:tcPr>
                <w:p w14:paraId="524E7624">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本项目不属于新增工业废水直排建设项目，也不属于新增废水直排的污水集中处理厂，因此不需要设置</w:t>
                  </w:r>
                </w:p>
              </w:tc>
              <w:tc>
                <w:tcPr>
                  <w:tcW w:w="501" w:type="pct"/>
                  <w:vAlign w:val="center"/>
                </w:tcPr>
                <w:p w14:paraId="27172250">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否</w:t>
                  </w:r>
                </w:p>
              </w:tc>
            </w:tr>
            <w:tr w14:paraId="2C83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vAlign w:val="center"/>
                </w:tcPr>
                <w:p w14:paraId="45768883">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环境风险</w:t>
                  </w:r>
                </w:p>
              </w:tc>
              <w:tc>
                <w:tcPr>
                  <w:tcW w:w="1927" w:type="pct"/>
                  <w:vAlign w:val="center"/>
                </w:tcPr>
                <w:p w14:paraId="6F5FF2C9">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有毒有害和易燃易爆危险物质存储量超过临界量的建设项目</w:t>
                  </w:r>
                </w:p>
              </w:tc>
              <w:tc>
                <w:tcPr>
                  <w:tcW w:w="1857" w:type="pct"/>
                  <w:vAlign w:val="center"/>
                </w:tcPr>
                <w:p w14:paraId="4EF20A1F">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本项目不涉及有毒有害和易燃易爆危险物质，因此不需设置环境风险专项评价</w:t>
                  </w:r>
                </w:p>
              </w:tc>
              <w:tc>
                <w:tcPr>
                  <w:tcW w:w="501" w:type="pct"/>
                  <w:vAlign w:val="center"/>
                </w:tcPr>
                <w:p w14:paraId="367B1FE7">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否</w:t>
                  </w:r>
                </w:p>
              </w:tc>
            </w:tr>
            <w:tr w14:paraId="41F4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vAlign w:val="center"/>
                </w:tcPr>
                <w:p w14:paraId="53F11E09">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生态</w:t>
                  </w:r>
                </w:p>
              </w:tc>
              <w:tc>
                <w:tcPr>
                  <w:tcW w:w="1927" w:type="pct"/>
                  <w:vAlign w:val="center"/>
                </w:tcPr>
                <w:p w14:paraId="641A2DDD">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取水口下游500米范围内有重要水生生物的自然产卵场、索饵场、越冬场和洄游通道的新增河道取水的污染类建设项目</w:t>
                  </w:r>
                </w:p>
              </w:tc>
              <w:tc>
                <w:tcPr>
                  <w:tcW w:w="1857" w:type="pct"/>
                  <w:vAlign w:val="center"/>
                </w:tcPr>
                <w:p w14:paraId="5B5E5505">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本项目周围500米范围内无重要水生生物的自然产卵场、索饵场、越冬场和洄游通道等。不涉及河道取水，不需设置</w:t>
                  </w:r>
                </w:p>
              </w:tc>
              <w:tc>
                <w:tcPr>
                  <w:tcW w:w="501" w:type="pct"/>
                  <w:vAlign w:val="center"/>
                </w:tcPr>
                <w:p w14:paraId="4CF08392">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否</w:t>
                  </w:r>
                </w:p>
              </w:tc>
            </w:tr>
            <w:tr w14:paraId="62E4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pct"/>
                  <w:vAlign w:val="center"/>
                </w:tcPr>
                <w:p w14:paraId="57461BC5">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海洋</w:t>
                  </w:r>
                </w:p>
              </w:tc>
              <w:tc>
                <w:tcPr>
                  <w:tcW w:w="1927" w:type="pct"/>
                  <w:vAlign w:val="center"/>
                </w:tcPr>
                <w:p w14:paraId="37A42903">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直接向海排放污染物的海洋工程建设项目</w:t>
                  </w:r>
                </w:p>
              </w:tc>
              <w:tc>
                <w:tcPr>
                  <w:tcW w:w="1857" w:type="pct"/>
                  <w:vAlign w:val="center"/>
                </w:tcPr>
                <w:p w14:paraId="2FC626C4">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本项目不涉及海洋，不需设置</w:t>
                  </w:r>
                </w:p>
              </w:tc>
              <w:tc>
                <w:tcPr>
                  <w:tcW w:w="501" w:type="pct"/>
                  <w:vAlign w:val="center"/>
                </w:tcPr>
                <w:p w14:paraId="5FC9FC67">
                  <w:pPr>
                    <w:pStyle w:val="76"/>
                    <w:keepNext w:val="0"/>
                    <w:keepLines w:val="0"/>
                    <w:pageBreakBefore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val="0"/>
                      <w:color w:val="auto"/>
                      <w:spacing w:val="0"/>
                      <w:kern w:val="0"/>
                      <w:sz w:val="21"/>
                      <w:szCs w:val="21"/>
                      <w:highlight w:val="none"/>
                      <w:lang w:val="en-US" w:eastAsia="zh-CN"/>
                    </w:rPr>
                  </w:pPr>
                  <w:r>
                    <w:rPr>
                      <w:rFonts w:hint="default" w:ascii="Times New Roman" w:hAnsi="Times New Roman" w:eastAsia="宋体" w:cs="Times New Roman"/>
                      <w:bCs w:val="0"/>
                      <w:color w:val="auto"/>
                      <w:spacing w:val="0"/>
                      <w:kern w:val="0"/>
                      <w:sz w:val="21"/>
                      <w:szCs w:val="21"/>
                      <w:highlight w:val="none"/>
                      <w:lang w:val="en-US" w:eastAsia="zh-CN"/>
                    </w:rPr>
                    <w:t>否</w:t>
                  </w:r>
                </w:p>
              </w:tc>
            </w:tr>
            <w:tr w14:paraId="5457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5EC2056E">
                  <w:pPr>
                    <w:widowControl/>
                    <w:jc w:val="left"/>
                    <w:rPr>
                      <w:rFonts w:hint="default" w:ascii="Times New Roman" w:hAnsi="Times New Roman" w:cs="Times New Roman"/>
                      <w:szCs w:val="21"/>
                    </w:rPr>
                  </w:pPr>
                  <w:r>
                    <w:rPr>
                      <w:rFonts w:hint="default" w:ascii="Times New Roman" w:hAnsi="Times New Roman" w:eastAsia="宋体" w:cs="Times New Roman"/>
                      <w:color w:val="000000"/>
                      <w:kern w:val="2"/>
                      <w:sz w:val="24"/>
                      <w:szCs w:val="24"/>
                      <w:lang w:val="en-US" w:eastAsia="zh-CN" w:bidi="ar"/>
                    </w:rPr>
                    <w:t>综上，本次环评不设置专项评价。</w:t>
                  </w:r>
                </w:p>
              </w:tc>
            </w:tr>
          </w:tbl>
          <w:p w14:paraId="121CC91B">
            <w:pPr>
              <w:autoSpaceDE w:val="0"/>
              <w:autoSpaceDN w:val="0"/>
              <w:adjustRightInd w:val="0"/>
              <w:snapToGrid w:val="0"/>
              <w:ind w:firstLine="0" w:firstLineChars="0"/>
              <w:jc w:val="center"/>
              <w:rPr>
                <w:rFonts w:hint="default" w:ascii="Times New Roman" w:hAnsi="Times New Roman" w:cs="Times New Roman"/>
                <w:color w:val="auto"/>
                <w:kern w:val="0"/>
                <w:highlight w:val="none"/>
              </w:rPr>
            </w:pPr>
          </w:p>
        </w:tc>
      </w:tr>
      <w:tr w14:paraId="4AC23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5" w:type="dxa"/>
            <w:vAlign w:val="center"/>
          </w:tcPr>
          <w:p w14:paraId="4B065812">
            <w:pPr>
              <w:autoSpaceDE w:val="0"/>
              <w:autoSpaceDN w:val="0"/>
              <w:adjustRightInd w:val="0"/>
              <w:snapToGrid w:val="0"/>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规划情况</w:t>
            </w:r>
          </w:p>
        </w:tc>
        <w:tc>
          <w:tcPr>
            <w:tcW w:w="7350" w:type="dxa"/>
            <w:gridSpan w:val="3"/>
            <w:vAlign w:val="center"/>
          </w:tcPr>
          <w:p w14:paraId="5556F804">
            <w:pPr>
              <w:ind w:left="0" w:leftChars="0" w:firstLine="0" w:firstLineChars="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规划名称：《库尔勒上库高新技术产业开发区扩区</w:t>
            </w:r>
            <w:r>
              <w:rPr>
                <w:rFonts w:hint="default" w:ascii="Times New Roman" w:hAnsi="Times New Roman" w:cs="Times New Roman"/>
                <w:color w:val="auto"/>
                <w:kern w:val="0"/>
                <w:highlight w:val="none"/>
                <w:lang w:val="en-US" w:eastAsia="zh-CN"/>
              </w:rPr>
              <w:t>规划</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2022</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2035年</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kern w:val="0"/>
                <w:highlight w:val="none"/>
              </w:rPr>
              <w:t>》</w:t>
            </w:r>
          </w:p>
          <w:p w14:paraId="4D1057BD">
            <w:pPr>
              <w:ind w:left="0" w:leftChars="0" w:firstLine="0" w:firstLineChars="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审批机关：新疆维吾尔自治区人民政府</w:t>
            </w:r>
            <w:r>
              <w:rPr>
                <w:rFonts w:hint="default" w:ascii="Times New Roman" w:hAnsi="Times New Roman" w:cs="Times New Roman"/>
                <w:color w:val="auto"/>
                <w:kern w:val="0"/>
                <w:highlight w:val="none"/>
                <w:lang w:eastAsia="zh-CN"/>
              </w:rPr>
              <w:t>。</w:t>
            </w:r>
          </w:p>
          <w:p w14:paraId="37794C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0" w:firstLineChars="0"/>
              <w:jc w:val="left"/>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审批文件名称及文号：《</w:t>
            </w:r>
            <w:r>
              <w:rPr>
                <w:rFonts w:hint="default" w:ascii="Times New Roman" w:hAnsi="Times New Roman" w:cs="Times New Roman"/>
                <w:color w:val="auto"/>
                <w:kern w:val="0"/>
                <w:highlight w:val="none"/>
                <w:lang w:val="en-US" w:eastAsia="zh-CN"/>
              </w:rPr>
              <w:t>关于同意库尔勒上库高新技术产业开发区扩区的批复</w:t>
            </w:r>
            <w:r>
              <w:rPr>
                <w:rFonts w:hint="default" w:ascii="Times New Roman" w:hAnsi="Times New Roman" w:cs="Times New Roman"/>
                <w:color w:val="auto"/>
                <w:kern w:val="0"/>
                <w:highlight w:val="none"/>
              </w:rPr>
              <w:t>》（新政函〔20</w:t>
            </w:r>
            <w:r>
              <w:rPr>
                <w:rFonts w:hint="default" w:ascii="Times New Roman" w:hAnsi="Times New Roman" w:cs="Times New Roman"/>
                <w:color w:val="auto"/>
                <w:kern w:val="0"/>
                <w:highlight w:val="none"/>
                <w:lang w:val="en-US" w:eastAsia="zh-CN"/>
              </w:rPr>
              <w:t>23</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8</w:t>
            </w:r>
            <w:r>
              <w:rPr>
                <w:rFonts w:hint="default" w:ascii="Times New Roman" w:hAnsi="Times New Roman" w:cs="Times New Roman"/>
                <w:color w:val="auto"/>
                <w:kern w:val="0"/>
                <w:highlight w:val="none"/>
              </w:rPr>
              <w:t>号）</w:t>
            </w:r>
          </w:p>
        </w:tc>
      </w:tr>
      <w:tr w14:paraId="4F8B5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5" w:type="dxa"/>
            <w:vAlign w:val="center"/>
          </w:tcPr>
          <w:p w14:paraId="28BC0603">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规划环境影响</w:t>
            </w:r>
          </w:p>
          <w:p w14:paraId="0B18678B">
            <w:pPr>
              <w:adjustRightInd w:val="0"/>
              <w:snapToGrid w:val="0"/>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评价情况</w:t>
            </w:r>
          </w:p>
        </w:tc>
        <w:tc>
          <w:tcPr>
            <w:tcW w:w="7350" w:type="dxa"/>
            <w:gridSpan w:val="3"/>
            <w:vAlign w:val="center"/>
          </w:tcPr>
          <w:p w14:paraId="5530F042">
            <w:pPr>
              <w:ind w:left="0" w:leftChars="0" w:firstLine="0" w:firstLineChars="0"/>
              <w:rPr>
                <w:rFonts w:hint="default" w:ascii="Times New Roman" w:hAnsi="Times New Roman" w:cs="Times New Roman"/>
                <w:color w:val="auto"/>
                <w:szCs w:val="32"/>
                <w:highlight w:val="none"/>
              </w:rPr>
            </w:pPr>
            <w:r>
              <w:rPr>
                <w:rFonts w:hint="default" w:ascii="Times New Roman" w:hAnsi="Times New Roman" w:cs="Times New Roman"/>
                <w:color w:val="auto"/>
                <w:kern w:val="0"/>
                <w:highlight w:val="none"/>
              </w:rPr>
              <w:t>规划</w:t>
            </w:r>
            <w:r>
              <w:rPr>
                <w:rFonts w:hint="default" w:ascii="Times New Roman" w:hAnsi="Times New Roman" w:cs="Times New Roman"/>
                <w:color w:val="auto"/>
                <w:kern w:val="0"/>
                <w:highlight w:val="none"/>
                <w:lang w:val="en-US" w:eastAsia="zh-CN"/>
              </w:rPr>
              <w:t>环评</w:t>
            </w:r>
            <w:r>
              <w:rPr>
                <w:rFonts w:hint="default" w:ascii="Times New Roman" w:hAnsi="Times New Roman" w:cs="Times New Roman"/>
                <w:color w:val="auto"/>
                <w:kern w:val="0"/>
                <w:highlight w:val="none"/>
              </w:rPr>
              <w:t>名称：</w:t>
            </w:r>
            <w:r>
              <w:rPr>
                <w:rFonts w:hint="default" w:ascii="Times New Roman" w:hAnsi="Times New Roman" w:cs="Times New Roman"/>
                <w:color w:val="auto"/>
                <w:szCs w:val="32"/>
                <w:highlight w:val="none"/>
              </w:rPr>
              <w:t>《库尔勒上库高新技术产业开发区扩区规划</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2022</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2035年</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环境影响报告书》</w:t>
            </w:r>
          </w:p>
          <w:p w14:paraId="0C2A5BC6">
            <w:pPr>
              <w:ind w:left="0" w:leftChars="0" w:firstLine="0" w:firstLineChars="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审批机关：</w:t>
            </w:r>
            <w:r>
              <w:rPr>
                <w:rFonts w:hint="default" w:ascii="Times New Roman" w:hAnsi="Times New Roman" w:eastAsia="宋体" w:cs="Times New Roman"/>
                <w:color w:val="auto"/>
                <w:sz w:val="24"/>
                <w:szCs w:val="24"/>
                <w:highlight w:val="none"/>
              </w:rPr>
              <w:t>新疆维吾尔自治区生态环境厅</w:t>
            </w:r>
            <w:r>
              <w:rPr>
                <w:rFonts w:hint="default" w:ascii="Times New Roman" w:hAnsi="Times New Roman" w:cs="Times New Roman"/>
                <w:color w:val="auto"/>
                <w:kern w:val="0"/>
                <w:highlight w:val="none"/>
                <w:lang w:eastAsia="zh-CN"/>
              </w:rPr>
              <w:t>。</w:t>
            </w:r>
          </w:p>
          <w:p w14:paraId="378DFA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leftChars="0" w:right="0" w:firstLine="0" w:firstLineChars="0"/>
              <w:jc w:val="left"/>
              <w:textAlignment w:val="auto"/>
              <w:rPr>
                <w:rFonts w:hint="default" w:ascii="Times New Roman" w:hAnsi="Times New Roman" w:cs="Times New Roman"/>
                <w:color w:val="auto"/>
                <w:highlight w:val="red"/>
                <w:lang w:val="en-US" w:eastAsia="zh-CN"/>
              </w:rPr>
            </w:pPr>
            <w:r>
              <w:rPr>
                <w:rFonts w:hint="default" w:ascii="Times New Roman" w:hAnsi="Times New Roman" w:cs="Times New Roman"/>
                <w:color w:val="auto"/>
                <w:kern w:val="0"/>
                <w:highlight w:val="none"/>
              </w:rPr>
              <w:t>审批文件名称及文号：关于《库尔勒上库高新技术产业开发区扩区</w:t>
            </w:r>
            <w:r>
              <w:rPr>
                <w:rFonts w:hint="default" w:ascii="Times New Roman" w:hAnsi="Times New Roman" w:cs="Times New Roman"/>
                <w:color w:val="auto"/>
                <w:szCs w:val="32"/>
                <w:highlight w:val="none"/>
              </w:rPr>
              <w:t>规划</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2022</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2035年</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环境影响报告书</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的审查意见</w:t>
            </w:r>
            <w:r>
              <w:rPr>
                <w:rFonts w:hint="default" w:ascii="Times New Roman" w:hAnsi="Times New Roman" w:cs="Times New Roman"/>
                <w:color w:val="auto"/>
                <w:kern w:val="0"/>
                <w:highlight w:val="none"/>
              </w:rPr>
              <w:t>（新</w:t>
            </w:r>
            <w:r>
              <w:rPr>
                <w:rFonts w:hint="eastAsia" w:cs="Times New Roman"/>
                <w:color w:val="auto"/>
                <w:kern w:val="0"/>
                <w:highlight w:val="none"/>
                <w:lang w:val="en-US" w:eastAsia="zh-CN"/>
              </w:rPr>
              <w:t>环审</w:t>
            </w:r>
            <w:r>
              <w:rPr>
                <w:rFonts w:hint="default" w:ascii="Times New Roman" w:hAnsi="Times New Roman" w:cs="Times New Roman"/>
                <w:color w:val="auto"/>
                <w:kern w:val="0"/>
                <w:highlight w:val="none"/>
              </w:rPr>
              <w:t>〔2023〕</w:t>
            </w:r>
            <w:r>
              <w:rPr>
                <w:rFonts w:hint="default" w:ascii="Times New Roman" w:hAnsi="Times New Roman" w:cs="Times New Roman"/>
                <w:color w:val="auto"/>
                <w:kern w:val="0"/>
                <w:highlight w:val="none"/>
                <w:lang w:val="en-US" w:eastAsia="zh-CN"/>
              </w:rPr>
              <w:t>103</w:t>
            </w:r>
            <w:r>
              <w:rPr>
                <w:rFonts w:hint="default" w:ascii="Times New Roman" w:hAnsi="Times New Roman" w:cs="Times New Roman"/>
                <w:color w:val="auto"/>
                <w:kern w:val="0"/>
                <w:highlight w:val="none"/>
              </w:rPr>
              <w:t>号）</w:t>
            </w:r>
          </w:p>
        </w:tc>
      </w:tr>
      <w:tr w14:paraId="2D3B1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65" w:type="dxa"/>
            <w:vAlign w:val="center"/>
          </w:tcPr>
          <w:p w14:paraId="383A81F2">
            <w:pPr>
              <w:autoSpaceDE w:val="0"/>
              <w:autoSpaceDN w:val="0"/>
              <w:adjustRightInd w:val="0"/>
              <w:snapToGrid w:val="0"/>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规划及规划环境影响评价符合性分析</w:t>
            </w:r>
          </w:p>
        </w:tc>
        <w:tc>
          <w:tcPr>
            <w:tcW w:w="7350" w:type="dxa"/>
            <w:gridSpan w:val="3"/>
            <w:vAlign w:val="center"/>
          </w:tcPr>
          <w:p w14:paraId="33B69567">
            <w:pPr>
              <w:pStyle w:val="74"/>
              <w:spacing w:before="136" w:line="219" w:lineRule="auto"/>
              <w:ind w:left="0" w:leftChars="0"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spacing w:val="-4"/>
                <w:highlight w:val="none"/>
                <w:lang w:eastAsia="zh-CN"/>
              </w:rPr>
              <w:t>1.</w:t>
            </w:r>
            <w:r>
              <w:rPr>
                <w:rFonts w:hint="default" w:ascii="Times New Roman" w:hAnsi="Times New Roman" w:cs="Times New Roman"/>
                <w:b/>
                <w:bCs/>
                <w:spacing w:val="-4"/>
                <w:highlight w:val="none"/>
                <w:lang w:val="en-US" w:eastAsia="zh-CN"/>
              </w:rPr>
              <w:t>规划符合性分析</w:t>
            </w:r>
          </w:p>
          <w:p w14:paraId="4D69FD14">
            <w:pPr>
              <w:autoSpaceDE w:val="0"/>
              <w:autoSpaceDN w:val="0"/>
              <w:adjustRightInd w:val="0"/>
              <w:snapToGrid w:val="0"/>
              <w:ind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根据《库尔勒上库高新技术产业开发区扩区规划</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2022</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2035年</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环境影响报告书》，规划定位将上库大道以北，新源路以东，光华路以西的片区，以及园区东部划分为工业生产区，</w:t>
            </w:r>
            <w:r>
              <w:rPr>
                <w:rFonts w:hint="default" w:ascii="Times New Roman" w:hAnsi="Times New Roman" w:cs="Times New Roman"/>
                <w:color w:val="auto"/>
                <w:szCs w:val="32"/>
                <w:highlight w:val="none"/>
                <w:lang w:eastAsia="zh-CN"/>
              </w:rPr>
              <w:t>以布</w:t>
            </w:r>
            <w:r>
              <w:rPr>
                <w:rFonts w:hint="default" w:ascii="Times New Roman" w:hAnsi="Times New Roman" w:cs="Times New Roman"/>
                <w:color w:val="auto"/>
                <w:szCs w:val="32"/>
                <w:highlight w:val="none"/>
              </w:rPr>
              <w:t>置一类、二类工业用地为主。工业生产区包含装备制造、铸造加工、建筑新材料、农产品加工、食品加工、矿业加工、轻工、商贸物流、现代服务业等。</w:t>
            </w:r>
          </w:p>
          <w:p w14:paraId="67A8D612">
            <w:pPr>
              <w:ind w:left="0" w:leftChars="0" w:firstLine="480" w:firstLineChars="200"/>
              <w:outlineLvl w:val="9"/>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规划至2025年，上库高新技术产业开发区建设用地规模达到19.91km</w:t>
            </w:r>
            <w:r>
              <w:rPr>
                <w:rFonts w:hint="default" w:ascii="Times New Roman" w:hAnsi="Times New Roman" w:cs="Times New Roman"/>
                <w:color w:val="auto"/>
                <w:szCs w:val="32"/>
                <w:highlight w:val="none"/>
                <w:lang w:val="en-US" w:eastAsia="zh-CN"/>
              </w:rPr>
              <w:t>²</w:t>
            </w:r>
            <w:r>
              <w:rPr>
                <w:rFonts w:hint="default" w:ascii="Times New Roman" w:hAnsi="Times New Roman" w:cs="Times New Roman"/>
                <w:color w:val="auto"/>
                <w:szCs w:val="32"/>
                <w:highlight w:val="none"/>
              </w:rPr>
              <w:t>（其中上库综合产业园4.4</w:t>
            </w:r>
            <w:r>
              <w:rPr>
                <w:rFonts w:hint="default" w:ascii="Times New Roman" w:hAnsi="Times New Roman" w:eastAsia="宋体" w:cs="Times New Roman"/>
                <w:b w:val="0"/>
                <w:bCs w:val="0"/>
                <w:color w:val="auto"/>
                <w:sz w:val="24"/>
                <w:szCs w:val="24"/>
                <w:highlight w:val="none"/>
                <w:lang w:val="en-US" w:eastAsia="zh-CN"/>
              </w:rPr>
              <w:t>km²</w:t>
            </w:r>
            <w:r>
              <w:rPr>
                <w:rFonts w:hint="default" w:ascii="Times New Roman" w:hAnsi="Times New Roman" w:cs="Times New Roman"/>
                <w:color w:val="auto"/>
                <w:szCs w:val="32"/>
                <w:highlight w:val="none"/>
              </w:rPr>
              <w:t>，石油石化园15.51</w:t>
            </w:r>
            <w:r>
              <w:rPr>
                <w:rFonts w:hint="default" w:ascii="Times New Roman" w:hAnsi="Times New Roman" w:eastAsia="宋体" w:cs="Times New Roman"/>
                <w:b w:val="0"/>
                <w:bCs w:val="0"/>
                <w:color w:val="auto"/>
                <w:sz w:val="24"/>
                <w:szCs w:val="24"/>
                <w:highlight w:val="none"/>
                <w:lang w:val="en-US" w:eastAsia="zh-CN"/>
              </w:rPr>
              <w:t>km²</w:t>
            </w:r>
            <w:r>
              <w:rPr>
                <w:rFonts w:hint="default" w:ascii="Times New Roman" w:hAnsi="Times New Roman" w:cs="Times New Roman"/>
                <w:color w:val="auto"/>
                <w:szCs w:val="32"/>
                <w:highlight w:val="none"/>
              </w:rPr>
              <w:t>），园区主导产业为化工产业、装备制造业、新型材料和</w:t>
            </w:r>
            <w:r>
              <w:rPr>
                <w:rFonts w:hint="default" w:ascii="Times New Roman" w:hAnsi="Times New Roman" w:cs="Times New Roman"/>
                <w:color w:val="auto"/>
                <w:szCs w:val="32"/>
                <w:highlight w:val="none"/>
                <w:lang w:eastAsia="zh-CN"/>
              </w:rPr>
              <w:t>化学原料和化学制品制造</w:t>
            </w:r>
            <w:r>
              <w:rPr>
                <w:rFonts w:hint="default" w:ascii="Times New Roman" w:hAnsi="Times New Roman" w:cs="Times New Roman"/>
                <w:color w:val="auto"/>
                <w:szCs w:val="32"/>
                <w:highlight w:val="none"/>
              </w:rPr>
              <w:t>、轻工、高新技术产业；次主导产业为现代服务业、环保及资源综合利用、新能源、信息产业</w:t>
            </w:r>
            <w:r>
              <w:rPr>
                <w:rFonts w:hint="default" w:ascii="Times New Roman" w:hAnsi="Times New Roman" w:cs="Times New Roman"/>
                <w:color w:val="auto"/>
                <w:szCs w:val="32"/>
                <w:highlight w:val="none"/>
                <w:lang w:eastAsia="zh-CN"/>
              </w:rPr>
              <w:t>，</w:t>
            </w:r>
            <w:r>
              <w:rPr>
                <w:rFonts w:hint="default" w:ascii="Times New Roman" w:hAnsi="Times New Roman" w:eastAsia="宋体" w:cs="Times New Roman"/>
                <w:b w:val="0"/>
                <w:bCs w:val="0"/>
                <w:color w:val="auto"/>
                <w:sz w:val="24"/>
                <w:szCs w:val="24"/>
                <w:highlight w:val="none"/>
                <w:lang w:val="en-US" w:eastAsia="zh-CN"/>
              </w:rPr>
              <w:t>从土地利用的角度来看，本项目用地土地利用</w:t>
            </w:r>
            <w:r>
              <w:rPr>
                <w:rFonts w:hint="eastAsia" w:cs="Times New Roman"/>
                <w:b w:val="0"/>
                <w:bCs w:val="0"/>
                <w:color w:val="auto"/>
                <w:sz w:val="24"/>
                <w:szCs w:val="24"/>
                <w:highlight w:val="none"/>
                <w:lang w:val="en-US" w:eastAsia="zh-CN"/>
              </w:rPr>
              <w:t>性质与园区</w:t>
            </w:r>
            <w:r>
              <w:rPr>
                <w:rFonts w:hint="default" w:ascii="Times New Roman" w:hAnsi="Times New Roman" w:eastAsia="宋体" w:cs="Times New Roman"/>
                <w:b w:val="0"/>
                <w:bCs w:val="0"/>
                <w:color w:val="auto"/>
                <w:sz w:val="24"/>
                <w:szCs w:val="24"/>
                <w:highlight w:val="none"/>
                <w:lang w:val="en-US" w:eastAsia="zh-CN"/>
              </w:rPr>
              <w:t>性质的利用上是相符的，园区规划是结合园区现有化工企业位置及可集中利用土地的基础上进行布局，其中依托的上库综合产业园布局紧凑，成片规划及建设</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color w:val="auto"/>
                <w:szCs w:val="32"/>
                <w:highlight w:val="yellow"/>
              </w:rPr>
              <w:t>本项目是</w:t>
            </w:r>
            <w:r>
              <w:rPr>
                <w:rFonts w:hint="default" w:ascii="Times New Roman" w:hAnsi="Times New Roman" w:cs="Times New Roman"/>
                <w:spacing w:val="-2"/>
                <w:highlight w:val="yellow"/>
                <w:lang w:val="en-US" w:eastAsia="zh-CN"/>
              </w:rPr>
              <w:t>废弃资源综合利用业</w:t>
            </w:r>
            <w:r>
              <w:rPr>
                <w:rFonts w:hint="default" w:ascii="Times New Roman" w:hAnsi="Times New Roman" w:cs="Times New Roman"/>
                <w:color w:val="auto"/>
                <w:szCs w:val="32"/>
                <w:highlight w:val="yellow"/>
              </w:rPr>
              <w:t>，</w:t>
            </w:r>
            <w:r>
              <w:rPr>
                <w:rFonts w:hint="default" w:ascii="Times New Roman" w:hAnsi="Times New Roman" w:cs="Times New Roman"/>
                <w:color w:val="auto"/>
                <w:szCs w:val="32"/>
                <w:highlight w:val="yellow"/>
                <w:lang w:val="en-US" w:eastAsia="zh-CN"/>
              </w:rPr>
              <w:t>属于一</w:t>
            </w:r>
            <w:r>
              <w:rPr>
                <w:rFonts w:hint="default" w:ascii="Times New Roman" w:hAnsi="Times New Roman" w:cs="Times New Roman"/>
                <w:color w:val="auto"/>
                <w:szCs w:val="32"/>
                <w:highlight w:val="yellow"/>
              </w:rPr>
              <w:t>类工业用地</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lang w:val="en-US" w:eastAsia="zh-CN"/>
              </w:rPr>
              <w:t>本项目</w:t>
            </w:r>
            <w:r>
              <w:rPr>
                <w:rFonts w:hint="default" w:ascii="Times New Roman" w:hAnsi="Times New Roman" w:cs="Times New Roman"/>
                <w:color w:val="auto"/>
                <w:szCs w:val="32"/>
                <w:highlight w:val="none"/>
              </w:rPr>
              <w:t>位于上库综合产业园中</w:t>
            </w:r>
            <w:r>
              <w:rPr>
                <w:rFonts w:hint="default" w:ascii="Times New Roman" w:hAnsi="Times New Roman" w:cs="Times New Roman"/>
                <w:color w:val="auto"/>
                <w:szCs w:val="32"/>
                <w:highlight w:val="none"/>
                <w:lang w:val="en-US" w:eastAsia="zh-CN"/>
              </w:rPr>
              <w:t>的</w:t>
            </w:r>
            <w:r>
              <w:rPr>
                <w:rFonts w:hint="default" w:ascii="Times New Roman" w:hAnsi="Times New Roman" w:cs="Times New Roman"/>
                <w:color w:val="auto"/>
                <w:kern w:val="0"/>
                <w:sz w:val="24"/>
                <w:szCs w:val="24"/>
                <w:highlight w:val="none"/>
                <w:lang w:val="en-US" w:eastAsia="zh-CN" w:bidi="ar"/>
              </w:rPr>
              <w:t>中小企业创业园</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lang w:val="en-US" w:eastAsia="zh-CN"/>
              </w:rPr>
              <w:t>此处</w:t>
            </w:r>
            <w:r>
              <w:rPr>
                <w:rFonts w:hint="default" w:ascii="Times New Roman" w:hAnsi="Times New Roman" w:cs="Times New Roman"/>
                <w:color w:val="auto"/>
                <w:szCs w:val="32"/>
                <w:highlight w:val="none"/>
              </w:rPr>
              <w:t>为工业用地，与园区产业定位相符（详见附图</w:t>
            </w:r>
            <w:r>
              <w:rPr>
                <w:rFonts w:hint="default" w:ascii="Times New Roman" w:hAnsi="Times New Roman" w:cs="Times New Roman"/>
                <w:color w:val="auto"/>
                <w:szCs w:val="32"/>
                <w:highlight w:val="none"/>
                <w:lang w:val="en-US" w:eastAsia="zh-CN"/>
              </w:rPr>
              <w:t>4</w:t>
            </w:r>
            <w:r>
              <w:rPr>
                <w:rFonts w:hint="default" w:ascii="Times New Roman" w:hAnsi="Times New Roman" w:cs="Times New Roman"/>
                <w:color w:val="auto"/>
                <w:szCs w:val="32"/>
                <w:highlight w:val="none"/>
              </w:rPr>
              <w:t>）。</w:t>
            </w:r>
          </w:p>
          <w:p w14:paraId="2AF9BAC0">
            <w:pPr>
              <w:pStyle w:val="74"/>
              <w:spacing w:line="218" w:lineRule="auto"/>
              <w:ind w:left="0" w:leftChars="0" w:firstLine="0" w:firstLineChars="0"/>
              <w:rPr>
                <w:rFonts w:hint="default" w:ascii="Times New Roman" w:hAnsi="Times New Roman" w:cs="Times New Roman"/>
                <w:highlight w:val="none"/>
              </w:rPr>
            </w:pPr>
            <w:r>
              <w:rPr>
                <w:rFonts w:hint="default" w:ascii="Times New Roman" w:hAnsi="Times New Roman" w:cs="Times New Roman"/>
                <w:b/>
                <w:bCs/>
                <w:color w:val="auto"/>
                <w:kern w:val="44"/>
                <w:highlight w:val="none"/>
                <w:lang w:val="en-US" w:eastAsia="zh-CN"/>
              </w:rPr>
              <w:t>2</w:t>
            </w:r>
            <w:r>
              <w:rPr>
                <w:rFonts w:hint="default" w:ascii="Times New Roman" w:hAnsi="Times New Roman" w:eastAsia="宋体" w:cs="Times New Roman"/>
                <w:b/>
                <w:bCs/>
                <w:color w:val="auto"/>
                <w:kern w:val="44"/>
                <w:highlight w:val="none"/>
                <w:lang w:val="en-US" w:eastAsia="zh-CN"/>
              </w:rPr>
              <w:t>产业布局符合性</w:t>
            </w:r>
            <w:r>
              <w:rPr>
                <w:rFonts w:hint="default" w:ascii="Times New Roman" w:hAnsi="Times New Roman" w:cs="Times New Roman"/>
                <w:b/>
                <w:bCs/>
                <w:color w:val="auto"/>
                <w:kern w:val="44"/>
                <w:highlight w:val="none"/>
                <w:lang w:val="en-US" w:eastAsia="zh-CN"/>
              </w:rPr>
              <w:t>分析</w:t>
            </w:r>
          </w:p>
          <w:p w14:paraId="05481E9D">
            <w:pPr>
              <w:keepNext w:val="0"/>
              <w:keepLines w:val="0"/>
              <w:widowControl/>
              <w:suppressLineNumbers w:val="0"/>
              <w:jc w:val="left"/>
              <w:rPr>
                <w:rFonts w:hint="default" w:ascii="Times New Roman" w:hAnsi="Times New Roman" w:cs="Times New Roman"/>
                <w:color w:val="auto"/>
                <w:szCs w:val="32"/>
                <w:highlight w:val="none"/>
                <w:lang w:eastAsia="zh-CN"/>
              </w:rPr>
            </w:pPr>
            <w:r>
              <w:rPr>
                <w:rFonts w:hint="default" w:ascii="Times New Roman" w:hAnsi="Times New Roman" w:cs="Times New Roman"/>
                <w:color w:val="auto"/>
                <w:szCs w:val="32"/>
                <w:highlight w:val="none"/>
                <w:lang w:eastAsia="zh-CN"/>
              </w:rPr>
              <w:t>根据《库尔勒上库高新技术产业开发区扩区规划（2022—2035年）环境影响评价报告书》</w:t>
            </w:r>
            <w:r>
              <w:rPr>
                <w:rFonts w:hint="default" w:ascii="Times New Roman" w:hAnsi="Times New Roman" w:eastAsia="宋体" w:cs="Times New Roman"/>
                <w:color w:val="auto"/>
                <w:highlight w:val="none"/>
              </w:rPr>
              <w:t>及其审查意见符合性分析</w:t>
            </w:r>
            <w:r>
              <w:rPr>
                <w:rFonts w:hint="default" w:ascii="Times New Roman" w:hAnsi="Times New Roman" w:cs="Times New Roman"/>
                <w:color w:val="auto"/>
                <w:szCs w:val="32"/>
                <w:highlight w:val="none"/>
                <w:lang w:eastAsia="zh-CN"/>
              </w:rPr>
              <w:t>，</w:t>
            </w:r>
            <w:r>
              <w:rPr>
                <w:rFonts w:hint="default" w:ascii="Times New Roman" w:hAnsi="Times New Roman" w:eastAsia="宋体" w:cs="Times New Roman"/>
                <w:b w:val="0"/>
                <w:bCs w:val="0"/>
                <w:color w:val="auto"/>
                <w:sz w:val="24"/>
                <w:szCs w:val="24"/>
                <w:highlight w:val="none"/>
                <w:lang w:val="en-US" w:eastAsia="zh-CN"/>
              </w:rPr>
              <w:t>本次规划的上库高新技术产业开发区扩区后总用地面积24.88km²，规划范围不占用基本农田及其他生态红线，通过衔接新疆维吾尔自治区及巴州</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三线一单</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，可知上库高新技术产业开发区不在土地资源重点管控区范围内，位于一般区域。评价要求园区应该按照新疆</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三线一单</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土地资源一般区域的管控要求执行，即：对于开发利用效率低的工业园区应盘活存量建设用地，实施建设用地</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增存挂钩</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机制，加大闲置和批而未用土地处置力度。</w:t>
            </w:r>
            <w:r>
              <w:rPr>
                <w:rFonts w:hint="default" w:ascii="Times New Roman" w:hAnsi="Times New Roman" w:eastAsia="宋体" w:cs="Times New Roman"/>
                <w:b w:val="0"/>
                <w:bCs/>
                <w:color w:val="auto"/>
                <w:highlight w:val="none"/>
                <w:lang w:bidi="ar"/>
              </w:rPr>
              <w:t>本项目</w:t>
            </w:r>
            <w:r>
              <w:rPr>
                <w:rFonts w:hint="default" w:ascii="Times New Roman" w:hAnsi="Times New Roman" w:cs="Times New Roman"/>
                <w:b w:val="0"/>
                <w:bCs/>
                <w:color w:val="auto"/>
                <w:highlight w:val="none"/>
                <w:lang w:val="en-US" w:eastAsia="zh-CN" w:bidi="ar"/>
              </w:rPr>
              <w:t>用地为</w:t>
            </w:r>
            <w:r>
              <w:rPr>
                <w:rFonts w:hint="default" w:ascii="Times New Roman" w:hAnsi="Times New Roman" w:eastAsia="宋体" w:cs="Times New Roman"/>
                <w:b w:val="0"/>
                <w:bCs/>
                <w:color w:val="auto"/>
                <w:highlight w:val="none"/>
                <w:lang w:bidi="ar"/>
              </w:rPr>
              <w:t>园区内</w:t>
            </w:r>
            <w:r>
              <w:rPr>
                <w:rFonts w:hint="default" w:ascii="Times New Roman" w:hAnsi="Times New Roman" w:eastAsia="宋体" w:cs="Times New Roman"/>
                <w:b w:val="0"/>
                <w:bCs w:val="0"/>
                <w:color w:val="auto"/>
                <w:sz w:val="24"/>
                <w:szCs w:val="24"/>
                <w:highlight w:val="none"/>
                <w:lang w:val="en-US" w:eastAsia="zh-CN"/>
              </w:rPr>
              <w:t>批而未用土地</w:t>
            </w:r>
            <w:r>
              <w:rPr>
                <w:rFonts w:hint="default" w:ascii="Times New Roman" w:hAnsi="Times New Roman" w:cs="Times New Roman"/>
                <w:b w:val="0"/>
                <w:bCs/>
                <w:color w:val="auto"/>
                <w:highlight w:val="none"/>
                <w:lang w:val="en-US" w:eastAsia="zh-CN" w:bidi="ar"/>
              </w:rPr>
              <w:t>，该项目基本符合</w:t>
            </w:r>
            <w:r>
              <w:rPr>
                <w:rFonts w:hint="default" w:ascii="Times New Roman" w:hAnsi="Times New Roman" w:cs="Times New Roman"/>
                <w:color w:val="auto"/>
                <w:szCs w:val="32"/>
                <w:highlight w:val="none"/>
                <w:lang w:eastAsia="zh-CN"/>
              </w:rPr>
              <w:t>库尔勒上库高新技术产业开发区扩区规划</w:t>
            </w:r>
            <w:r>
              <w:rPr>
                <w:rFonts w:hint="default" w:ascii="Times New Roman" w:hAnsi="Times New Roman" w:cs="Times New Roman"/>
                <w:color w:val="auto"/>
                <w:szCs w:val="32"/>
                <w:highlight w:val="none"/>
                <w:lang w:val="en-US" w:eastAsia="zh-CN"/>
              </w:rPr>
              <w:t>内容</w:t>
            </w:r>
            <w:r>
              <w:rPr>
                <w:rFonts w:hint="default" w:ascii="Times New Roman" w:hAnsi="Times New Roman" w:cs="Times New Roman"/>
                <w:color w:val="auto"/>
                <w:szCs w:val="32"/>
                <w:highlight w:val="none"/>
                <w:lang w:eastAsia="zh-CN"/>
              </w:rPr>
              <w:t>。</w:t>
            </w:r>
          </w:p>
          <w:p w14:paraId="7CD3016D">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园区产业规划，规划形成上库高新技术产业开发区依托的综合园区以装备制造、铸造加工、建筑新材料、农产品加工、食品加工、矿业加工、轻工、现代服务业等为主导发展产业，石油石化产业园以石油天然气化工、化工新材料、医药和农药、化纤和电池光伏新能源材料为主导产业。</w:t>
            </w:r>
          </w:p>
          <w:p w14:paraId="0997C540">
            <w:pPr>
              <w:keepNext w:val="0"/>
              <w:keepLines w:val="0"/>
              <w:widowControl/>
              <w:suppressLineNumbers w:val="0"/>
              <w:jc w:val="left"/>
              <w:rPr>
                <w:rFonts w:hint="default" w:ascii="Times New Roman" w:hAnsi="Times New Roman" w:cs="Times New Roman"/>
                <w:b/>
                <w:bCs/>
                <w:color w:val="auto"/>
                <w:kern w:val="4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综合产业园</w:t>
            </w:r>
            <w:r>
              <w:rPr>
                <w:rFonts w:hint="default" w:ascii="Times New Roman" w:hAnsi="Times New Roman" w:cs="Times New Roman"/>
                <w:color w:val="auto"/>
                <w:kern w:val="0"/>
                <w:sz w:val="24"/>
                <w:szCs w:val="24"/>
                <w:highlight w:val="none"/>
                <w:lang w:val="en-US" w:eastAsia="zh-CN" w:bidi="ar"/>
              </w:rPr>
              <w:t>按照规划划分，</w:t>
            </w:r>
            <w:r>
              <w:rPr>
                <w:rFonts w:hint="default" w:ascii="Times New Roman" w:hAnsi="Times New Roman" w:eastAsia="宋体" w:cs="Times New Roman"/>
                <w:color w:val="auto"/>
                <w:kern w:val="0"/>
                <w:sz w:val="24"/>
                <w:szCs w:val="24"/>
                <w:highlight w:val="none"/>
                <w:lang w:val="en-US" w:eastAsia="zh-CN" w:bidi="ar"/>
              </w:rPr>
              <w:t>按照其功能</w:t>
            </w:r>
            <w:r>
              <w:rPr>
                <w:rFonts w:hint="eastAsia" w:cs="Times New Roman"/>
                <w:color w:val="auto"/>
                <w:kern w:val="0"/>
                <w:sz w:val="24"/>
                <w:szCs w:val="24"/>
                <w:highlight w:val="none"/>
                <w:lang w:val="en-US" w:eastAsia="zh-CN" w:bidi="ar"/>
              </w:rPr>
              <w:t>设置</w:t>
            </w:r>
            <w:r>
              <w:rPr>
                <w:rFonts w:hint="default" w:ascii="Times New Roman" w:hAnsi="Times New Roman" w:eastAsia="宋体" w:cs="Times New Roman"/>
                <w:color w:val="auto"/>
                <w:kern w:val="0"/>
                <w:sz w:val="24"/>
                <w:szCs w:val="24"/>
                <w:highlight w:val="none"/>
                <w:lang w:val="en-US" w:eastAsia="zh-CN" w:bidi="ar"/>
              </w:rPr>
              <w:t>2个功能区，分别为工业生产区、行政办公区以及生活配套区。工业生产区包含装备制造、铸造加工、建筑新材料、农产品加工、食品加工、矿业加工、轻工、商贸物流、现代服务业等；行政办公区以及生活配套区位于上库综合产业园南部，上库大道以南，苏中大道以北，光华路两侧的片区，集中布置为居住区，配套建设公共管理与公共服务设施，针对综合产业园，</w:t>
            </w:r>
            <w:r>
              <w:rPr>
                <w:rFonts w:hint="default" w:ascii="Times New Roman" w:hAnsi="Times New Roman" w:eastAsia="宋体" w:cs="Times New Roman"/>
                <w:color w:val="auto"/>
                <w:kern w:val="0"/>
                <w:sz w:val="24"/>
                <w:szCs w:val="24"/>
                <w:highlight w:val="yellow"/>
                <w:lang w:val="en-US" w:eastAsia="zh-CN" w:bidi="ar"/>
              </w:rPr>
              <w:t>本次规划不再进行九园分区，</w:t>
            </w:r>
            <w:r>
              <w:rPr>
                <w:rFonts w:hint="default" w:ascii="Times New Roman" w:hAnsi="Times New Roman" w:eastAsia="宋体" w:cs="Times New Roman"/>
                <w:color w:val="auto"/>
                <w:kern w:val="0"/>
                <w:sz w:val="24"/>
                <w:szCs w:val="24"/>
                <w:highlight w:val="none"/>
                <w:lang w:val="en-US" w:eastAsia="zh-CN" w:bidi="ar"/>
              </w:rPr>
              <w:t>按照功能划分为工业生产区、行政办公区和生活配套区，</w:t>
            </w:r>
            <w:r>
              <w:rPr>
                <w:rFonts w:hint="default" w:ascii="Times New Roman" w:hAnsi="Times New Roman" w:eastAsia="宋体" w:cs="Times New Roman"/>
                <w:color w:val="auto"/>
                <w:highlight w:val="none"/>
              </w:rPr>
              <w:t>本项目位于</w:t>
            </w:r>
            <w:r>
              <w:rPr>
                <w:rFonts w:hint="default" w:ascii="Times New Roman" w:hAnsi="Times New Roman" w:cs="Times New Roman"/>
                <w:color w:val="auto"/>
                <w:kern w:val="0"/>
                <w:sz w:val="24"/>
                <w:szCs w:val="24"/>
                <w:highlight w:val="none"/>
                <w:lang w:val="en-US" w:eastAsia="zh-CN" w:bidi="ar"/>
              </w:rPr>
              <w:t>一类工业用地区，属于</w:t>
            </w:r>
            <w:r>
              <w:rPr>
                <w:rFonts w:hint="default" w:ascii="Times New Roman" w:hAnsi="Times New Roman" w:cs="Times New Roman"/>
                <w:lang w:val="en-US" w:eastAsia="zh-CN"/>
              </w:rPr>
              <w:t>中小企业产业园，中小企业产业园优先支持装备制造、新型材料、高新技术、农副产品加工、商贸物流等。本项目为</w:t>
            </w:r>
            <w:r>
              <w:rPr>
                <w:rFonts w:hint="eastAsia" w:cs="Times New Roman"/>
                <w:lang w:val="en-US" w:eastAsia="zh-CN"/>
              </w:rPr>
              <w:t>回收利用废弃灭火器</w:t>
            </w:r>
            <w:r>
              <w:rPr>
                <w:rFonts w:hint="default" w:ascii="Times New Roman" w:hAnsi="Times New Roman" w:cs="Times New Roman"/>
                <w:lang w:val="en-US" w:eastAsia="zh-CN"/>
              </w:rPr>
              <w:t>，属于循环经济符合国家政策支持，属于新型材料产业的方向，符合</w:t>
            </w:r>
            <w:r>
              <w:rPr>
                <w:rFonts w:hint="eastAsia" w:cs="Times New Roman"/>
                <w:highlight w:val="yellow"/>
                <w:lang w:val="en-US" w:eastAsia="zh-CN"/>
              </w:rPr>
              <w:t>上库</w:t>
            </w:r>
            <w:r>
              <w:rPr>
                <w:rFonts w:hint="default" w:ascii="Times New Roman" w:hAnsi="Times New Roman" w:cs="Times New Roman"/>
                <w:lang w:val="en-US" w:eastAsia="zh-CN"/>
              </w:rPr>
              <w:t>工业园区的产业定位</w:t>
            </w:r>
            <w:r>
              <w:rPr>
                <w:rFonts w:hint="default" w:ascii="Times New Roman" w:hAnsi="Times New Roman" w:cs="Times New Roman"/>
                <w:color w:val="auto"/>
                <w:szCs w:val="32"/>
                <w:highlight w:val="none"/>
              </w:rPr>
              <w:t>（详见附图</w:t>
            </w:r>
            <w:r>
              <w:rPr>
                <w:rFonts w:hint="default" w:ascii="Times New Roman" w:hAnsi="Times New Roman" w:cs="Times New Roman"/>
                <w:color w:val="auto"/>
                <w:szCs w:val="32"/>
                <w:highlight w:val="none"/>
                <w:lang w:val="en-US" w:eastAsia="zh-CN"/>
              </w:rPr>
              <w:t>3</w:t>
            </w:r>
            <w:r>
              <w:rPr>
                <w:rFonts w:hint="default" w:ascii="Times New Roman" w:hAnsi="Times New Roman" w:cs="Times New Roman"/>
                <w:color w:val="auto"/>
                <w:szCs w:val="32"/>
                <w:highlight w:val="none"/>
              </w:rPr>
              <w:t>）</w:t>
            </w:r>
            <w:r>
              <w:rPr>
                <w:rFonts w:hint="default" w:ascii="Times New Roman" w:hAnsi="Times New Roman" w:cs="Times New Roman"/>
                <w:spacing w:val="-1"/>
                <w:highlight w:val="none"/>
              </w:rPr>
              <w:t>。</w:t>
            </w:r>
          </w:p>
          <w:p w14:paraId="5E6DC3F6">
            <w:pPr>
              <w:ind w:left="0" w:leftChars="0" w:firstLine="0" w:firstLineChars="0"/>
              <w:outlineLvl w:val="9"/>
              <w:rPr>
                <w:rFonts w:hint="default" w:ascii="Times New Roman" w:hAnsi="Times New Roman" w:eastAsia="宋体" w:cs="Times New Roman"/>
                <w:b/>
                <w:bCs/>
                <w:color w:val="auto"/>
                <w:kern w:val="44"/>
                <w:highlight w:val="none"/>
              </w:rPr>
            </w:pPr>
            <w:r>
              <w:rPr>
                <w:rFonts w:hint="default" w:ascii="Times New Roman" w:hAnsi="Times New Roman" w:cs="Times New Roman"/>
                <w:b/>
                <w:bCs/>
                <w:color w:val="auto"/>
                <w:kern w:val="44"/>
                <w:highlight w:val="none"/>
                <w:lang w:val="en-US" w:eastAsia="zh-CN"/>
              </w:rPr>
              <w:t>3</w:t>
            </w:r>
            <w:r>
              <w:rPr>
                <w:rFonts w:hint="default" w:ascii="Times New Roman" w:hAnsi="Times New Roman" w:eastAsia="宋体" w:cs="Times New Roman"/>
                <w:b/>
                <w:bCs/>
                <w:color w:val="auto"/>
                <w:kern w:val="44"/>
                <w:highlight w:val="none"/>
              </w:rPr>
              <w:t>规划环评符合性分析</w:t>
            </w:r>
          </w:p>
          <w:p w14:paraId="7320C21D">
            <w:pPr>
              <w:widowControl/>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与《库尔勒上库高新技术产业开发区扩区规划</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2022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2035年</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环境影响评价报告书》及其审查意见符合性分析。</w:t>
            </w:r>
          </w:p>
          <w:p w14:paraId="26CB066D">
            <w:pPr>
              <w:pStyle w:val="8"/>
              <w:rPr>
                <w:rFonts w:hint="default" w:ascii="Times New Roman" w:hAnsi="Times New Roman" w:cs="Times New Roman"/>
                <w:b w:val="0"/>
                <w:bCs w:val="0"/>
                <w:snapToGrid w:val="0"/>
                <w:color w:val="auto"/>
                <w:spacing w:val="0"/>
                <w:kern w:val="0"/>
                <w:sz w:val="24"/>
                <w:szCs w:val="24"/>
                <w:highlight w:val="none"/>
                <w:lang w:val="en-US" w:eastAsia="zh-CN"/>
              </w:rPr>
            </w:pPr>
            <w:r>
              <w:rPr>
                <w:rFonts w:hint="default" w:ascii="Times New Roman" w:hAnsi="Times New Roman" w:eastAsia="宋体" w:cs="Times New Roman"/>
                <w:color w:val="auto"/>
                <w:highlight w:val="none"/>
              </w:rPr>
              <w:t>根据《库尔勒上库高新技术产业开发区扩区规划</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2022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2035年</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环境影响评价报告书》及《关于</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库尔勒上库高新技术产业开发区扩区规划</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2022</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2035年</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环境影响报告书</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的审查意见》（新环审〔2023〕103号），</w:t>
            </w:r>
            <w:r>
              <w:rPr>
                <w:rFonts w:hint="default" w:ascii="Times New Roman" w:hAnsi="Times New Roman" w:eastAsia="宋体" w:cs="Times New Roman"/>
                <w:color w:val="auto"/>
                <w:kern w:val="0"/>
                <w:sz w:val="24"/>
                <w:szCs w:val="24"/>
                <w:highlight w:val="none"/>
                <w:lang w:val="en-US" w:eastAsia="zh-CN" w:bidi="ar"/>
              </w:rPr>
              <w:t>根据园区产业规划，规划形成上库高新技术产业开发区依托的综合园区以装备制造、铸造加工、建筑新材料、农产品加工、食品加工、矿业加工、轻工、现代服务业等为主导发展产业，石油石化产业园以石油天然气化工、化工新材料、医药和农药、化纤和电池光伏新能源材料为主导产业，针对综合产业园，本次规划不再进行九园分区，按照功能划分为工业生产区、行政办公区和生活配套区，</w:t>
            </w:r>
            <w:r>
              <w:rPr>
                <w:rFonts w:hint="default" w:ascii="Times New Roman" w:hAnsi="Times New Roman" w:eastAsia="宋体" w:cs="Times New Roman"/>
                <w:color w:val="auto"/>
                <w:highlight w:val="none"/>
              </w:rPr>
              <w:t>本项目属于</w:t>
            </w:r>
            <w:r>
              <w:rPr>
                <w:rFonts w:hint="default" w:ascii="Times New Roman" w:hAnsi="Times New Roman" w:eastAsia="宋体" w:cs="Times New Roman"/>
                <w:color w:val="auto"/>
                <w:highlight w:val="none"/>
                <w:lang w:eastAsia="zh-CN"/>
              </w:rPr>
              <w:t>建材行业</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4"/>
                <w:szCs w:val="24"/>
                <w:highlight w:val="none"/>
                <w:lang w:val="en-US" w:eastAsia="zh-CN" w:bidi="ar"/>
              </w:rPr>
              <w:t>工业生产区</w:t>
            </w:r>
            <w:r>
              <w:rPr>
                <w:rFonts w:hint="default" w:ascii="Times New Roman" w:hAnsi="Times New Roman" w:eastAsia="宋体" w:cs="Times New Roman"/>
                <w:color w:val="auto"/>
                <w:highlight w:val="none"/>
              </w:rPr>
              <w:t>，项目建设符合园区产业定位，具体符合性分析见下表1</w:t>
            </w:r>
            <w:r>
              <w:rPr>
                <w:rFonts w:hint="default" w:ascii="Times New Roman" w:hAnsi="Times New Roman" w:cs="Times New Roman"/>
                <w:color w:val="auto"/>
                <w:highlight w:val="none"/>
                <w:lang w:val="en-US" w:eastAsia="zh-CN"/>
              </w:rPr>
              <w:t>-1</w:t>
            </w:r>
            <w:r>
              <w:rPr>
                <w:rFonts w:hint="default" w:ascii="Times New Roman" w:hAnsi="Times New Roman" w:cs="Times New Roman"/>
                <w:b w:val="0"/>
                <w:bCs w:val="0"/>
                <w:snapToGrid w:val="0"/>
                <w:color w:val="auto"/>
                <w:spacing w:val="0"/>
                <w:kern w:val="0"/>
                <w:sz w:val="24"/>
                <w:szCs w:val="24"/>
                <w:highlight w:val="none"/>
                <w:lang w:val="en-US" w:eastAsia="zh-CN"/>
              </w:rPr>
              <w:t>。</w:t>
            </w:r>
          </w:p>
          <w:p w14:paraId="02AF1113">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表1-1   《库尔勒上库高新技术产业开发区扩区规划</w:t>
            </w:r>
            <w:r>
              <w:rPr>
                <w:rFonts w:hint="default" w:ascii="Times New Roman" w:hAnsi="Times New Roman" w:cs="Times New Roman"/>
                <w:b/>
                <w:bCs w:val="0"/>
                <w:snapToGrid w:val="0"/>
                <w:color w:val="auto"/>
                <w:kern w:val="0"/>
                <w:sz w:val="21"/>
                <w:szCs w:val="21"/>
                <w:lang w:val="en-US" w:eastAsia="zh-CN"/>
              </w:rPr>
              <w:t>（</w:t>
            </w:r>
            <w:r>
              <w:rPr>
                <w:rFonts w:hint="default" w:ascii="Times New Roman" w:hAnsi="Times New Roman" w:eastAsia="宋体" w:cs="Times New Roman"/>
                <w:b/>
                <w:bCs w:val="0"/>
                <w:snapToGrid w:val="0"/>
                <w:color w:val="auto"/>
                <w:kern w:val="0"/>
                <w:sz w:val="21"/>
                <w:szCs w:val="21"/>
                <w:lang w:val="en-US" w:eastAsia="zh-CN"/>
              </w:rPr>
              <w:t>2022</w:t>
            </w:r>
            <w:r>
              <w:rPr>
                <w:rFonts w:hint="default" w:ascii="Times New Roman" w:hAnsi="Times New Roman" w:cs="Times New Roman"/>
                <w:b/>
                <w:bCs w:val="0"/>
                <w:snapToGrid w:val="0"/>
                <w:color w:val="auto"/>
                <w:kern w:val="0"/>
                <w:sz w:val="21"/>
                <w:szCs w:val="21"/>
                <w:lang w:val="en-US" w:eastAsia="zh-CN"/>
              </w:rPr>
              <w:t>—</w:t>
            </w:r>
            <w:r>
              <w:rPr>
                <w:rFonts w:hint="default" w:ascii="Times New Roman" w:hAnsi="Times New Roman" w:eastAsia="宋体" w:cs="Times New Roman"/>
                <w:b/>
                <w:bCs w:val="0"/>
                <w:snapToGrid w:val="0"/>
                <w:color w:val="auto"/>
                <w:kern w:val="0"/>
                <w:sz w:val="21"/>
                <w:szCs w:val="21"/>
                <w:lang w:val="en-US" w:eastAsia="zh-CN"/>
              </w:rPr>
              <w:t>2035年</w:t>
            </w:r>
            <w:r>
              <w:rPr>
                <w:rFonts w:hint="default" w:ascii="Times New Roman" w:hAnsi="Times New Roman" w:cs="Times New Roman"/>
                <w:b/>
                <w:bCs w:val="0"/>
                <w:snapToGrid w:val="0"/>
                <w:color w:val="auto"/>
                <w:kern w:val="0"/>
                <w:sz w:val="21"/>
                <w:szCs w:val="21"/>
                <w:lang w:val="en-US" w:eastAsia="zh-CN"/>
              </w:rPr>
              <w:t>）</w:t>
            </w:r>
            <w:r>
              <w:rPr>
                <w:rFonts w:hint="default" w:ascii="Times New Roman" w:hAnsi="Times New Roman" w:eastAsia="宋体" w:cs="Times New Roman"/>
                <w:b/>
                <w:bCs w:val="0"/>
                <w:snapToGrid w:val="0"/>
                <w:color w:val="auto"/>
                <w:kern w:val="0"/>
                <w:sz w:val="21"/>
                <w:szCs w:val="21"/>
                <w:lang w:val="en-US" w:eastAsia="zh-CN"/>
              </w:rPr>
              <w:t>环境影响评价报告书》相符性分析</w:t>
            </w:r>
          </w:p>
          <w:tbl>
            <w:tblPr>
              <w:tblStyle w:val="29"/>
              <w:tblW w:w="7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2423"/>
              <w:gridCol w:w="906"/>
            </w:tblGrid>
            <w:tr w14:paraId="7CB3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3" w:type="dxa"/>
                  <w:shd w:val="clear" w:color="auto" w:fill="auto"/>
                  <w:vAlign w:val="center"/>
                </w:tcPr>
                <w:p w14:paraId="48F187B9">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规划环评审查意见</w:t>
                  </w:r>
                </w:p>
              </w:tc>
              <w:tc>
                <w:tcPr>
                  <w:tcW w:w="2423" w:type="dxa"/>
                  <w:shd w:val="clear" w:color="auto" w:fill="auto"/>
                  <w:vAlign w:val="center"/>
                </w:tcPr>
                <w:p w14:paraId="5BD2AEB4">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906" w:type="dxa"/>
                  <w:vAlign w:val="center"/>
                </w:tcPr>
                <w:p w14:paraId="362D36CC">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相符性分析</w:t>
                  </w:r>
                </w:p>
              </w:tc>
            </w:tr>
            <w:tr w14:paraId="4978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3" w:type="dxa"/>
                  <w:shd w:val="clear" w:color="auto" w:fill="auto"/>
                  <w:vAlign w:val="center"/>
                </w:tcPr>
                <w:p w14:paraId="6E0F716D">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坚持实行入园企业环保准入审核制度，与产业定位方向不符的项目一律不得入园，对于入园的建设项目必须开展建设项目环境影响评价，并严格执行建设项目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环境管理制度</w:t>
                  </w:r>
                </w:p>
              </w:tc>
              <w:tc>
                <w:tcPr>
                  <w:tcW w:w="2423" w:type="dxa"/>
                  <w:shd w:val="clear" w:color="auto" w:fill="auto"/>
                  <w:vAlign w:val="center"/>
                </w:tcPr>
                <w:p w14:paraId="21A6B6C4">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w:t>
                  </w:r>
                  <w:r>
                    <w:rPr>
                      <w:rFonts w:hint="default" w:ascii="Times New Roman" w:hAnsi="Times New Roman" w:cs="Times New Roman"/>
                      <w:spacing w:val="-2"/>
                      <w:lang w:val="en-US" w:eastAsia="zh-CN"/>
                    </w:rPr>
                    <w:t>废弃资源综合利用业</w:t>
                  </w:r>
                  <w:r>
                    <w:rPr>
                      <w:rFonts w:hint="default" w:ascii="Times New Roman" w:hAnsi="Times New Roman" w:cs="Times New Roman"/>
                      <w:color w:val="auto"/>
                      <w:highlight w:val="none"/>
                    </w:rPr>
                    <w:t>，符合园区产业定位，项目尚未建设生产，正在进行环境影响评价工作，本环评要求，项目严格执行建设项目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环境管理制度</w:t>
                  </w:r>
                </w:p>
              </w:tc>
              <w:tc>
                <w:tcPr>
                  <w:tcW w:w="906" w:type="dxa"/>
                  <w:vAlign w:val="center"/>
                </w:tcPr>
                <w:p w14:paraId="3BEDD2F0">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68D3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3" w:type="dxa"/>
                  <w:shd w:val="clear" w:color="auto" w:fill="auto"/>
                  <w:vAlign w:val="center"/>
                </w:tcPr>
                <w:p w14:paraId="0E50BC58">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加快基础设施建设，优先建设集中供热、污水处理和固体废物处置设施；企业生活、生产废水需经处理达到相应标准后，方可排入园区污水处理厂</w:t>
                  </w:r>
                </w:p>
              </w:tc>
              <w:tc>
                <w:tcPr>
                  <w:tcW w:w="2423" w:type="dxa"/>
                  <w:shd w:val="clear" w:color="auto" w:fill="auto"/>
                  <w:vAlign w:val="center"/>
                </w:tcPr>
                <w:p w14:paraId="39DF8098">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本项目生产废水</w:t>
                  </w:r>
                  <w:r>
                    <w:rPr>
                      <w:rFonts w:hint="default" w:ascii="Times New Roman" w:hAnsi="Times New Roman" w:cs="Times New Roman"/>
                      <w:snapToGrid w:val="0"/>
                      <w:color w:val="auto"/>
                      <w:kern w:val="0"/>
                      <w:highlight w:val="none"/>
                    </w:rPr>
                    <w:t>重复利用</w:t>
                  </w:r>
                  <w:r>
                    <w:rPr>
                      <w:rFonts w:hint="default" w:ascii="Times New Roman" w:hAnsi="Times New Roman" w:cs="Times New Roman"/>
                      <w:color w:val="auto"/>
                      <w:highlight w:val="none"/>
                    </w:rPr>
                    <w:t>，不外排；</w:t>
                  </w:r>
                  <w:r>
                    <w:rPr>
                      <w:rFonts w:hint="default" w:ascii="Times New Roman" w:hAnsi="Times New Roman" w:cs="Times New Roman"/>
                      <w:color w:val="auto"/>
                      <w:highlight w:val="none"/>
                      <w:lang w:val="en-US" w:eastAsia="zh-CN"/>
                    </w:rPr>
                    <w:t>废铜、钢渣、废布袋外售废品回收单位；布袋除尘器收集的粉尘回收利用</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生活污水经隔油池处理后，排入园区下水管网，最终进入铁门关市污水处理厂进行处置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生活垃圾集中至生活垃圾收集点后由环卫部门定期清运；危险废物交由有资质的单位处置</w:t>
                  </w:r>
                </w:p>
              </w:tc>
              <w:tc>
                <w:tcPr>
                  <w:tcW w:w="906" w:type="dxa"/>
                  <w:vAlign w:val="center"/>
                </w:tcPr>
                <w:p w14:paraId="3A0E63CA">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A92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3" w:type="dxa"/>
                  <w:shd w:val="clear" w:color="auto" w:fill="auto"/>
                  <w:vAlign w:val="center"/>
                </w:tcPr>
                <w:p w14:paraId="7B0AFB0C">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建立健全环境管理机构，完善各种环境管理制度、环境风险防控体系、污染防治制度和环境监控体系，确保环境安全。在园区基础设施和企业建设项目运营管理中需制定并落实事故风险防范措施和应急预案，配套完善的运行管理设施，防止污染事故的发生</w:t>
                  </w:r>
                </w:p>
              </w:tc>
              <w:tc>
                <w:tcPr>
                  <w:tcW w:w="2423" w:type="dxa"/>
                  <w:shd w:val="clear" w:color="auto" w:fill="auto"/>
                  <w:vAlign w:val="center"/>
                </w:tcPr>
                <w:p w14:paraId="0A5545FB">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建成后按照相关规定编制突发环境事件应急预案、配备应急物资，采取风险应急措施，实施自行监测工作等</w:t>
                  </w:r>
                </w:p>
              </w:tc>
              <w:tc>
                <w:tcPr>
                  <w:tcW w:w="906" w:type="dxa"/>
                  <w:vAlign w:val="center"/>
                </w:tcPr>
                <w:p w14:paraId="65FD9454">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5651C817">
            <w:pPr>
              <w:pStyle w:val="10"/>
              <w:numPr>
                <w:ilvl w:val="0"/>
                <w:numId w:val="0"/>
              </w:numPr>
              <w:ind w:firstLine="472" w:firstLineChars="200"/>
              <w:rPr>
                <w:rFonts w:hint="default" w:ascii="Times New Roman" w:hAnsi="Times New Roman" w:cs="Times New Roman"/>
                <w:spacing w:val="-2"/>
                <w:highlight w:val="none"/>
              </w:rPr>
            </w:pPr>
          </w:p>
        </w:tc>
      </w:tr>
      <w:tr w14:paraId="25BAD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5" w:type="dxa"/>
            <w:vAlign w:val="center"/>
          </w:tcPr>
          <w:p w14:paraId="57502FD6">
            <w:pPr>
              <w:autoSpaceDE w:val="0"/>
              <w:autoSpaceDN w:val="0"/>
              <w:adjustRightInd w:val="0"/>
              <w:snapToGrid w:val="0"/>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szCs w:val="32"/>
                <w:highlight w:val="none"/>
              </w:rPr>
              <w:t>其他符合性分析</w:t>
            </w:r>
          </w:p>
        </w:tc>
        <w:tc>
          <w:tcPr>
            <w:tcW w:w="7350" w:type="dxa"/>
            <w:gridSpan w:val="3"/>
            <w:vAlign w:val="center"/>
          </w:tcPr>
          <w:p w14:paraId="47A74A82">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eastAsia="zh-CN"/>
              </w:rPr>
              <w:t>1.</w:t>
            </w:r>
            <w:r>
              <w:rPr>
                <w:rFonts w:hint="default" w:ascii="Times New Roman" w:hAnsi="Times New Roman" w:cs="Times New Roman"/>
                <w:b/>
                <w:color w:val="auto"/>
                <w:highlight w:val="none"/>
              </w:rPr>
              <w:t>产业政策符合性</w:t>
            </w:r>
          </w:p>
          <w:p w14:paraId="555296C6">
            <w:pPr>
              <w:ind w:firstLine="480" w:firstLineChars="200"/>
              <w:rPr>
                <w:rFonts w:hint="default" w:ascii="Times New Roman" w:hAnsi="Times New Roman" w:cs="Times New Roman"/>
                <w:color w:val="auto"/>
                <w:szCs w:val="32"/>
                <w:highlight w:val="none"/>
                <w:lang w:eastAsia="zh-CN"/>
              </w:rPr>
            </w:pPr>
            <w:r>
              <w:rPr>
                <w:rFonts w:hint="default" w:ascii="Times New Roman" w:hAnsi="Times New Roman" w:cs="Times New Roman"/>
                <w:color w:val="auto"/>
                <w:szCs w:val="32"/>
                <w:highlight w:val="none"/>
              </w:rPr>
              <w:t>根据《国民经济行业分类》（GB/T4754-2017）划分，本项目属于</w:t>
            </w:r>
            <w:r>
              <w:rPr>
                <w:rFonts w:hint="default" w:ascii="Times New Roman" w:hAnsi="Times New Roman" w:cs="Times New Roman"/>
                <w:color w:val="auto"/>
                <w:szCs w:val="32"/>
                <w:highlight w:val="none"/>
                <w:lang w:eastAsia="zh-CN"/>
              </w:rPr>
              <w:t>C</w:t>
            </w:r>
            <w:r>
              <w:rPr>
                <w:rFonts w:hint="default" w:ascii="Times New Roman" w:hAnsi="Times New Roman" w:cs="Times New Roman"/>
                <w:color w:val="auto"/>
                <w:szCs w:val="32"/>
                <w:highlight w:val="none"/>
                <w:lang w:val="en-US" w:eastAsia="zh-CN"/>
              </w:rPr>
              <w:t>2624</w:t>
            </w:r>
            <w:r>
              <w:rPr>
                <w:rFonts w:hint="default" w:ascii="Times New Roman" w:hAnsi="Times New Roman" w:cs="Times New Roman"/>
                <w:spacing w:val="-1"/>
                <w:lang w:val="en-US" w:eastAsia="zh-CN"/>
              </w:rPr>
              <w:t>复混肥料制造</w:t>
            </w:r>
            <w:r>
              <w:rPr>
                <w:rFonts w:hint="default" w:ascii="Times New Roman" w:hAnsi="Times New Roman" w:cs="Times New Roman"/>
                <w:color w:val="auto"/>
                <w:szCs w:val="32"/>
                <w:highlight w:val="none"/>
              </w:rPr>
              <w:t>，按照《产业结构</w:t>
            </w:r>
            <w:r>
              <w:rPr>
                <w:rFonts w:hint="default" w:ascii="Times New Roman" w:hAnsi="Times New Roman" w:cs="Times New Roman"/>
                <w:color w:val="auto"/>
                <w:szCs w:val="32"/>
                <w:highlight w:val="none"/>
                <w:lang w:eastAsia="zh-CN"/>
              </w:rPr>
              <w:t>调整</w:t>
            </w:r>
            <w:r>
              <w:rPr>
                <w:rFonts w:hint="default" w:ascii="Times New Roman" w:hAnsi="Times New Roman" w:cs="Times New Roman"/>
                <w:color w:val="auto"/>
                <w:szCs w:val="32"/>
                <w:highlight w:val="none"/>
              </w:rPr>
              <w:t>指导目录（2024年本）》（国家发展改革委2024年第29号令）进行分析，本项目不属于产业政策指导目录中淘汰及限制类项目，为允许类项目，项目生产中未使用国家明令禁止的淘汰类和限制类的工艺和设备，因此本</w:t>
            </w:r>
            <w:r>
              <w:rPr>
                <w:rFonts w:hint="default" w:ascii="Times New Roman" w:hAnsi="Times New Roman" w:cs="Times New Roman"/>
                <w:color w:val="auto"/>
                <w:szCs w:val="32"/>
                <w:highlight w:val="none"/>
                <w:lang w:eastAsia="zh-CN"/>
              </w:rPr>
              <w:t>项目</w:t>
            </w:r>
            <w:r>
              <w:rPr>
                <w:rFonts w:hint="default" w:ascii="Times New Roman" w:hAnsi="Times New Roman" w:cs="Times New Roman"/>
                <w:color w:val="auto"/>
                <w:szCs w:val="32"/>
                <w:highlight w:val="none"/>
              </w:rPr>
              <w:t>符合国家产业政策要求</w:t>
            </w:r>
            <w:r>
              <w:rPr>
                <w:rFonts w:hint="default" w:ascii="Times New Roman" w:hAnsi="Times New Roman" w:cs="Times New Roman"/>
                <w:color w:val="auto"/>
                <w:szCs w:val="32"/>
                <w:highlight w:val="none"/>
                <w:lang w:eastAsia="zh-CN"/>
              </w:rPr>
              <w:t>。</w:t>
            </w:r>
          </w:p>
          <w:p w14:paraId="691406C3">
            <w:pPr>
              <w:pStyle w:val="6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与生态环境分区管控符合性分析</w:t>
            </w:r>
          </w:p>
          <w:p w14:paraId="77EB3566">
            <w:pPr>
              <w:pStyle w:val="8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（1）与《新疆维吾尔自治区生态环境分区管控动态更新成果》（新环环发〔2024〕157号）的符合性分析</w:t>
            </w:r>
          </w:p>
          <w:p w14:paraId="072AD2D3">
            <w:pPr>
              <w:pStyle w:val="82"/>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根据《关于以改善环境质量为核心加强环境影响评价管理的通知》（环环评〔2016〕150号）和《新疆维吾尔自治区生态环境分区管控动态更新成果》（新环环发〔2024〕157号）要求，落实</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空间布局约束、污染物排放管控、环境风险防控和资源利用要求</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（简称</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三线一单</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）约束，更好地发挥环评制度从源头防范环境污染和生态破坏的作用，加快推进改善环境质量。本项目建设与新疆维吾尔自治区</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三线一单</w:t>
            </w:r>
            <w:r>
              <w:rPr>
                <w:rFonts w:hint="default" w:ascii="Times New Roman" w:hAnsi="Times New Roman"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的符合性分析见表1-1。</w:t>
            </w:r>
          </w:p>
          <w:p w14:paraId="6D48E68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表1-1   新疆维吾尔自治区生态环境分区管控动态更新成果符合性分析一览表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74"/>
              <w:gridCol w:w="3179"/>
              <w:gridCol w:w="2112"/>
              <w:gridCol w:w="483"/>
            </w:tblGrid>
            <w:tr w14:paraId="7BED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8" w:type="pct"/>
                  <w:gridSpan w:val="3"/>
                  <w:vAlign w:val="center"/>
                </w:tcPr>
                <w:p w14:paraId="0FA29CD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内容</w:t>
                  </w:r>
                </w:p>
              </w:tc>
              <w:tc>
                <w:tcPr>
                  <w:tcW w:w="1482" w:type="pct"/>
                  <w:vAlign w:val="center"/>
                </w:tcPr>
                <w:p w14:paraId="0BEBDB4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拟建工程</w:t>
                  </w:r>
                </w:p>
              </w:tc>
              <w:tc>
                <w:tcPr>
                  <w:tcW w:w="339" w:type="pct"/>
                  <w:vAlign w:val="center"/>
                </w:tcPr>
                <w:p w14:paraId="07EE1B1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符合性</w:t>
                  </w:r>
                </w:p>
              </w:tc>
            </w:tr>
            <w:tr w14:paraId="143B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restart"/>
                  <w:shd w:val="clear" w:color="auto" w:fill="auto"/>
                  <w:vAlign w:val="center"/>
                </w:tcPr>
                <w:p w14:paraId="739AE9B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A1空间布局约束</w:t>
                  </w:r>
                </w:p>
              </w:tc>
              <w:tc>
                <w:tcPr>
                  <w:tcW w:w="473" w:type="pct"/>
                  <w:vMerge w:val="restart"/>
                  <w:shd w:val="clear" w:color="auto" w:fill="auto"/>
                  <w:vAlign w:val="center"/>
                </w:tcPr>
                <w:p w14:paraId="36B9CED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A1.1禁止开发建设的活动</w:t>
                  </w:r>
                </w:p>
              </w:tc>
              <w:tc>
                <w:tcPr>
                  <w:tcW w:w="2231" w:type="pct"/>
                  <w:shd w:val="clear" w:color="auto" w:fill="auto"/>
                  <w:vAlign w:val="center"/>
                </w:tcPr>
                <w:p w14:paraId="75691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〔A1.1-1〕禁止新建、扩建《产业结构调整指导目录</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2024年本</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》中淘汰类项目。禁止引入《市场准入负面清单</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202</w:t>
                  </w: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en-US" w:bidi="ar"/>
                    </w:rPr>
                    <w:t>年版</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》禁止准入类事项。</w:t>
                  </w:r>
                </w:p>
              </w:tc>
              <w:tc>
                <w:tcPr>
                  <w:tcW w:w="1482" w:type="pct"/>
                  <w:shd w:val="clear" w:color="auto" w:fill="auto"/>
                  <w:vAlign w:val="center"/>
                </w:tcPr>
                <w:p w14:paraId="66C65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en-US" w:bidi="ar"/>
                    </w:rPr>
                    <w:t>本项目不属于《产业结构调整指导目录</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2024年本</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》中淘汰类项目。</w:t>
                  </w:r>
                  <w:r>
                    <w:rPr>
                      <w:rFonts w:hint="default" w:ascii="Times New Roman" w:hAnsi="Times New Roman" w:cs="Times New Roman"/>
                      <w:color w:val="auto"/>
                      <w:kern w:val="0"/>
                      <w:sz w:val="21"/>
                      <w:szCs w:val="21"/>
                      <w:highlight w:val="none"/>
                      <w:lang w:val="en-US" w:eastAsia="zh-CN" w:bidi="ar"/>
                    </w:rPr>
                    <w:t>不属于</w:t>
                  </w:r>
                  <w:r>
                    <w:rPr>
                      <w:rFonts w:hint="eastAsia" w:cs="Times New Roman"/>
                      <w:color w:val="auto"/>
                      <w:kern w:val="0"/>
                      <w:sz w:val="21"/>
                      <w:szCs w:val="21"/>
                      <w:highlight w:val="none"/>
                      <w:lang w:val="en-US" w:eastAsia="zh-CN" w:bidi="ar"/>
                    </w:rPr>
                    <w:t>《市场准入负面清单（2025年版）》</w:t>
                  </w:r>
                  <w:r>
                    <w:rPr>
                      <w:rFonts w:hint="default" w:ascii="Times New Roman" w:hAnsi="Times New Roman" w:cs="Times New Roman"/>
                      <w:color w:val="auto"/>
                      <w:kern w:val="0"/>
                      <w:sz w:val="21"/>
                      <w:szCs w:val="21"/>
                      <w:highlight w:val="none"/>
                      <w:lang w:val="en-US" w:eastAsia="zh-CN" w:bidi="ar"/>
                    </w:rPr>
                    <w:t>内项目。</w:t>
                  </w:r>
                </w:p>
              </w:tc>
              <w:tc>
                <w:tcPr>
                  <w:tcW w:w="339" w:type="pct"/>
                  <w:vAlign w:val="center"/>
                </w:tcPr>
                <w:p w14:paraId="633AD48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0964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continue"/>
                  <w:shd w:val="clear" w:color="auto" w:fill="auto"/>
                  <w:vAlign w:val="center"/>
                </w:tcPr>
                <w:p w14:paraId="5813D7A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473" w:type="pct"/>
                  <w:vMerge w:val="continue"/>
                  <w:shd w:val="clear" w:color="auto" w:fill="auto"/>
                  <w:vAlign w:val="center"/>
                </w:tcPr>
                <w:p w14:paraId="5B02CCA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2231" w:type="pct"/>
                  <w:shd w:val="clear" w:color="auto" w:fill="auto"/>
                  <w:vAlign w:val="center"/>
                </w:tcPr>
                <w:p w14:paraId="073FB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〔A1.1-2〕禁止建设不符合国家和自治区环境保护标准的项目。</w:t>
                  </w:r>
                </w:p>
              </w:tc>
              <w:tc>
                <w:tcPr>
                  <w:tcW w:w="1482" w:type="pct"/>
                  <w:shd w:val="clear" w:color="auto" w:fill="auto"/>
                  <w:vAlign w:val="center"/>
                </w:tcPr>
                <w:p w14:paraId="5F3CB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en-US" w:bidi="ar"/>
                    </w:rPr>
                    <w:t>本项目符合国家和自治区环境保护标准</w:t>
                  </w:r>
                  <w:r>
                    <w:rPr>
                      <w:rFonts w:hint="default" w:ascii="Times New Roman" w:hAnsi="Times New Roman" w:cs="Times New Roman"/>
                      <w:color w:val="auto"/>
                      <w:kern w:val="0"/>
                      <w:sz w:val="21"/>
                      <w:szCs w:val="21"/>
                      <w:highlight w:val="none"/>
                      <w:lang w:val="en-US" w:eastAsia="zh-CN" w:bidi="ar"/>
                    </w:rPr>
                    <w:t>。</w:t>
                  </w:r>
                </w:p>
              </w:tc>
              <w:tc>
                <w:tcPr>
                  <w:tcW w:w="339" w:type="pct"/>
                  <w:vAlign w:val="center"/>
                </w:tcPr>
                <w:p w14:paraId="52CC3FE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1A01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continue"/>
                  <w:shd w:val="clear" w:color="auto" w:fill="auto"/>
                  <w:vAlign w:val="center"/>
                </w:tcPr>
                <w:p w14:paraId="5E0884C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473" w:type="pct"/>
                  <w:vMerge w:val="continue"/>
                  <w:shd w:val="clear" w:color="auto" w:fill="auto"/>
                  <w:vAlign w:val="center"/>
                </w:tcPr>
                <w:p w14:paraId="5B3D0FD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2231" w:type="pct"/>
                  <w:shd w:val="clear" w:color="auto" w:fill="auto"/>
                  <w:vAlign w:val="center"/>
                </w:tcPr>
                <w:p w14:paraId="630C17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禁止在饮用水水源保护区、风景名胜区、自然保护区的核心区和缓冲区、城镇居民区、文化教育科学研究区等人口集中区域以及法律、法规规定的其他禁止养殖区域建设畜禽养殖场、养殖小区。</w:t>
                  </w:r>
                </w:p>
              </w:tc>
              <w:tc>
                <w:tcPr>
                  <w:tcW w:w="1482" w:type="pct"/>
                  <w:shd w:val="clear" w:color="auto" w:fill="auto"/>
                  <w:vAlign w:val="center"/>
                </w:tcPr>
                <w:p w14:paraId="34C71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项目位于</w:t>
                  </w:r>
                  <w:r>
                    <w:rPr>
                      <w:rFonts w:hint="default" w:ascii="Times New Roman" w:hAnsi="Times New Roman" w:eastAsia="宋体" w:cs="Times New Roman"/>
                      <w:color w:val="auto"/>
                      <w:kern w:val="0"/>
                      <w:sz w:val="21"/>
                      <w:szCs w:val="21"/>
                      <w:highlight w:val="none"/>
                      <w:lang w:val="en-US" w:eastAsia="zh-CN" w:bidi="ar"/>
                    </w:rPr>
                    <w:t>新疆巴州库尔勒上库综合产业园区</w:t>
                  </w:r>
                  <w:r>
                    <w:rPr>
                      <w:rFonts w:hint="default" w:ascii="Times New Roman" w:hAnsi="Times New Roman" w:eastAsia="宋体" w:cs="Times New Roman"/>
                      <w:color w:val="auto"/>
                      <w:kern w:val="0"/>
                      <w:sz w:val="21"/>
                      <w:szCs w:val="21"/>
                      <w:highlight w:val="none"/>
                      <w:lang w:val="en-US" w:eastAsia="en-US" w:bidi="ar"/>
                    </w:rPr>
                    <w:t>，占地不涉及自然保护区、森林公园、风景名胜区、世界文化自然遗产、地质公园、饮用水源保护区等禁止开发的区域。</w:t>
                  </w:r>
                </w:p>
              </w:tc>
              <w:tc>
                <w:tcPr>
                  <w:tcW w:w="339" w:type="pct"/>
                  <w:vAlign w:val="center"/>
                </w:tcPr>
                <w:p w14:paraId="03A5B2E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23C6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continue"/>
                  <w:shd w:val="clear" w:color="auto" w:fill="auto"/>
                  <w:vAlign w:val="center"/>
                </w:tcPr>
                <w:p w14:paraId="7D7829C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473" w:type="pct"/>
                  <w:vMerge w:val="continue"/>
                  <w:shd w:val="clear" w:color="auto" w:fill="auto"/>
                  <w:vAlign w:val="center"/>
                </w:tcPr>
                <w:p w14:paraId="129D284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p>
              </w:tc>
              <w:tc>
                <w:tcPr>
                  <w:tcW w:w="2231" w:type="pct"/>
                  <w:shd w:val="clear" w:color="auto" w:fill="auto"/>
                  <w:vAlign w:val="center"/>
                </w:tcPr>
                <w:p w14:paraId="56EA9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〔A1.1-8〕严格执行危险化学品</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禁限控</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目录，新建危险化学品生产项目必须进入一般或较低安全风险的化工园区</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与其他行业生产装置配套建设的项目除外</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引导其他石化化工项目在化工园区发展。</w:t>
                  </w:r>
                </w:p>
              </w:tc>
              <w:tc>
                <w:tcPr>
                  <w:tcW w:w="1482" w:type="pct"/>
                  <w:shd w:val="clear" w:color="auto" w:fill="auto"/>
                  <w:vAlign w:val="center"/>
                </w:tcPr>
                <w:p w14:paraId="211B9A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en-US" w:bidi="ar"/>
                    </w:rPr>
                    <w:t>本项目不属于危险化学品</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禁限控</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目录内项目</w:t>
                  </w:r>
                  <w:r>
                    <w:rPr>
                      <w:rFonts w:hint="default" w:ascii="Times New Roman" w:hAnsi="Times New Roman" w:cs="Times New Roman"/>
                      <w:color w:val="auto"/>
                      <w:kern w:val="0"/>
                      <w:sz w:val="21"/>
                      <w:szCs w:val="21"/>
                      <w:highlight w:val="none"/>
                      <w:lang w:val="en-US" w:eastAsia="zh-CN" w:bidi="ar"/>
                    </w:rPr>
                    <w:t>；本项目为危废储存，不涉及处理，不属于化工项目。</w:t>
                  </w:r>
                </w:p>
              </w:tc>
              <w:tc>
                <w:tcPr>
                  <w:tcW w:w="339" w:type="pct"/>
                  <w:vAlign w:val="center"/>
                </w:tcPr>
                <w:p w14:paraId="375522D4">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0439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shd w:val="clear" w:color="auto" w:fill="auto"/>
                  <w:vAlign w:val="center"/>
                </w:tcPr>
                <w:p w14:paraId="25C6081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A2污染物排放管控</w:t>
                  </w:r>
                </w:p>
              </w:tc>
              <w:tc>
                <w:tcPr>
                  <w:tcW w:w="473" w:type="pct"/>
                  <w:shd w:val="clear" w:color="auto" w:fill="auto"/>
                  <w:vAlign w:val="center"/>
                </w:tcPr>
                <w:p w14:paraId="1174F3C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A2.1污染物消减/替代要求</w:t>
                  </w:r>
                </w:p>
              </w:tc>
              <w:tc>
                <w:tcPr>
                  <w:tcW w:w="2231" w:type="pct"/>
                  <w:shd w:val="clear" w:color="auto" w:fill="auto"/>
                  <w:vAlign w:val="center"/>
                </w:tcPr>
                <w:p w14:paraId="6DAD90A2">
                  <w:pPr>
                    <w:keepNext w:val="0"/>
                    <w:keepLines w:val="0"/>
                    <w:widowControl/>
                    <w:suppressLineNumbers w:val="0"/>
                    <w:spacing w:before="0" w:beforeAutospacing="0" w:after="0" w:afterAutospacing="0" w:line="240" w:lineRule="auto"/>
                    <w:ind w:left="0" w:right="0" w:firstLine="0" w:firstLineChars="0"/>
                    <w:jc w:val="both"/>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〔A2.1-1〕新、改、扩建重点行业建设项目应符合</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三线一单</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、产业政策、区域环评、规划环评和行业环境准入管控要求。重点区域的新、改、扩建重点行业建设项目应遵循重点重金属污染物排放</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减量替代</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原则。</w:t>
                  </w:r>
                </w:p>
              </w:tc>
              <w:tc>
                <w:tcPr>
                  <w:tcW w:w="1482" w:type="pct"/>
                  <w:shd w:val="clear" w:color="auto" w:fill="auto"/>
                  <w:vAlign w:val="center"/>
                </w:tcPr>
                <w:p w14:paraId="57FEA2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en-US" w:bidi="ar"/>
                    </w:rPr>
                    <w:t>本项目符合</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三线一单</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、产业政策和行业环境准入管控要求</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本项目位于库尔勒市建设用地范围内，且无重金属污染物排放。</w:t>
                  </w:r>
                </w:p>
              </w:tc>
              <w:tc>
                <w:tcPr>
                  <w:tcW w:w="339" w:type="pct"/>
                  <w:vAlign w:val="center"/>
                </w:tcPr>
                <w:p w14:paraId="4AE23D68">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101A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shd w:val="clear" w:color="auto" w:fill="auto"/>
                  <w:vAlign w:val="center"/>
                </w:tcPr>
                <w:p w14:paraId="644B39A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A3环境风险防控</w:t>
                  </w:r>
                </w:p>
              </w:tc>
              <w:tc>
                <w:tcPr>
                  <w:tcW w:w="473" w:type="pct"/>
                  <w:shd w:val="clear" w:color="auto" w:fill="auto"/>
                  <w:vAlign w:val="center"/>
                </w:tcPr>
                <w:p w14:paraId="3DC5579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A3.2联防控要求</w:t>
                  </w:r>
                </w:p>
              </w:tc>
              <w:tc>
                <w:tcPr>
                  <w:tcW w:w="2231" w:type="pct"/>
                  <w:shd w:val="clear" w:color="auto" w:fill="auto"/>
                  <w:vAlign w:val="center"/>
                </w:tcPr>
                <w:p w14:paraId="7BAE1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482" w:type="pct"/>
                  <w:shd w:val="clear" w:color="auto" w:fill="auto"/>
                  <w:vAlign w:val="center"/>
                </w:tcPr>
                <w:p w14:paraId="3FE61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zh-CN" w:bidi="ar"/>
                    </w:rPr>
                    <w:t>本次评价进行了风险分析及预测，提出了风险防控措施和应急救援措施，制定了风险应急预案，并要求建设单位严格落实</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三同时</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制度，并按要求进行风险应急演练。</w:t>
                  </w:r>
                </w:p>
              </w:tc>
              <w:tc>
                <w:tcPr>
                  <w:tcW w:w="339" w:type="pct"/>
                  <w:vAlign w:val="center"/>
                </w:tcPr>
                <w:p w14:paraId="77B0095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r w14:paraId="0F36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shd w:val="clear" w:color="auto" w:fill="auto"/>
                  <w:vAlign w:val="center"/>
                </w:tcPr>
                <w:p w14:paraId="7CD86A3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A4资源利用要求</w:t>
                  </w:r>
                </w:p>
              </w:tc>
              <w:tc>
                <w:tcPr>
                  <w:tcW w:w="473" w:type="pct"/>
                  <w:shd w:val="clear" w:color="auto" w:fill="auto"/>
                  <w:vAlign w:val="center"/>
                </w:tcPr>
                <w:p w14:paraId="6E16802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A4.5资源综合利用</w:t>
                  </w:r>
                </w:p>
              </w:tc>
              <w:tc>
                <w:tcPr>
                  <w:tcW w:w="2231" w:type="pct"/>
                  <w:shd w:val="clear" w:color="auto" w:fill="auto"/>
                  <w:vAlign w:val="center"/>
                </w:tcPr>
                <w:p w14:paraId="64B1A6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逆向回收</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等模式。以尾矿和共伴生矿、煤矸石、炉渣、粉煤灰、脱硫石膏、冶炼渣、建筑垃圾等为重点，持续推进固体废物综合利用和环境整治不断提高大宗固体废物资源化利用水平。推行生活垃圾分类，加快建设县</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市</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en-US" w:bidi="ar"/>
                    </w:rPr>
                    <w:t>生活垃圾处理设施，到2025年，全疆城市生活垃圾无害化处理率达到99%以上。</w:t>
                  </w:r>
                </w:p>
              </w:tc>
              <w:tc>
                <w:tcPr>
                  <w:tcW w:w="1482" w:type="pct"/>
                  <w:shd w:val="clear" w:color="auto" w:fill="auto"/>
                  <w:vAlign w:val="center"/>
                </w:tcPr>
                <w:p w14:paraId="2C960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0"/>
                      <w:sz w:val="21"/>
                      <w:szCs w:val="21"/>
                      <w:highlight w:val="none"/>
                      <w:lang w:val="en-US" w:eastAsia="en-US" w:bidi="ar"/>
                    </w:rPr>
                  </w:pPr>
                  <w:r>
                    <w:rPr>
                      <w:rFonts w:hint="default" w:ascii="Times New Roman" w:hAnsi="Times New Roman" w:eastAsia="宋体" w:cs="Times New Roman"/>
                      <w:color w:val="auto"/>
                      <w:kern w:val="0"/>
                      <w:sz w:val="21"/>
                      <w:szCs w:val="21"/>
                      <w:highlight w:val="none"/>
                      <w:lang w:val="en-US" w:eastAsia="en-US" w:bidi="ar"/>
                    </w:rPr>
                    <w:t>本项目</w:t>
                  </w:r>
                  <w:r>
                    <w:rPr>
                      <w:rFonts w:hint="default" w:ascii="Times New Roman" w:hAnsi="Times New Roman" w:cs="Times New Roman"/>
                      <w:color w:val="auto"/>
                      <w:sz w:val="21"/>
                      <w:szCs w:val="21"/>
                      <w:lang w:eastAsia="zh-CN"/>
                    </w:rPr>
                    <w:t>运行</w:t>
                  </w:r>
                  <w:r>
                    <w:rPr>
                      <w:rFonts w:hint="default" w:ascii="Times New Roman" w:hAnsi="Times New Roman" w:cs="Times New Roman"/>
                      <w:color w:val="auto"/>
                      <w:sz w:val="21"/>
                      <w:szCs w:val="21"/>
                      <w:lang w:val="en-US" w:eastAsia="zh-CN"/>
                    </w:rPr>
                    <w:t>时产生的生活垃圾集中收集于垃圾箱、产生的危险废物集中收集于危险废物贮存设施由</w:t>
                  </w:r>
                  <w:r>
                    <w:rPr>
                      <w:rFonts w:hint="default" w:ascii="Times New Roman" w:hAnsi="Times New Roman" w:eastAsia="宋体" w:cs="Times New Roman"/>
                      <w:color w:val="auto"/>
                      <w:sz w:val="21"/>
                      <w:szCs w:val="21"/>
                      <w:highlight w:val="none"/>
                    </w:rPr>
                    <w:t>有资质的单位清运处置</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废铜、钢渣、废布袋外售废品回收单位；布袋除尘器收集的粉尘回收利用。</w:t>
                  </w:r>
                </w:p>
              </w:tc>
              <w:tc>
                <w:tcPr>
                  <w:tcW w:w="339" w:type="pct"/>
                  <w:vAlign w:val="center"/>
                </w:tcPr>
                <w:p w14:paraId="756F77C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符合</w:t>
                  </w:r>
                </w:p>
              </w:tc>
            </w:tr>
          </w:tbl>
          <w:p w14:paraId="0BEFCC05">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表1-2   新疆维吾尔自治区七大片区“三线一单”生态环境分区管控要求</w:t>
            </w:r>
          </w:p>
          <w:tbl>
            <w:tblPr>
              <w:tblStyle w:val="30"/>
              <w:tblW w:w="7143"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540"/>
              <w:gridCol w:w="2893"/>
            </w:tblGrid>
            <w:tr w14:paraId="7B0D4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91" w:type="dxa"/>
                  <w:tcBorders>
                    <w:tl2br w:val="nil"/>
                    <w:tr2bl w:val="nil"/>
                  </w:tcBorders>
                  <w:noWrap w:val="0"/>
                  <w:vAlign w:val="center"/>
                </w:tcPr>
                <w:p w14:paraId="3A476A57">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管控类别</w:t>
                  </w:r>
                </w:p>
              </w:tc>
              <w:tc>
                <w:tcPr>
                  <w:tcW w:w="4092" w:type="dxa"/>
                  <w:tcBorders>
                    <w:tl2br w:val="nil"/>
                    <w:tr2bl w:val="nil"/>
                  </w:tcBorders>
                  <w:noWrap w:val="0"/>
                  <w:vAlign w:val="center"/>
                </w:tcPr>
                <w:p w14:paraId="75DA5785">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管控要求</w:t>
                  </w:r>
                </w:p>
              </w:tc>
              <w:tc>
                <w:tcPr>
                  <w:tcW w:w="3337" w:type="dxa"/>
                  <w:tcBorders>
                    <w:tl2br w:val="nil"/>
                    <w:tr2bl w:val="nil"/>
                  </w:tcBorders>
                  <w:noWrap w:val="0"/>
                  <w:vAlign w:val="center"/>
                </w:tcPr>
                <w:p w14:paraId="68A79BD3">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符合性分析</w:t>
                  </w:r>
                </w:p>
              </w:tc>
            </w:tr>
            <w:tr w14:paraId="79204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restart"/>
                  <w:tcBorders>
                    <w:tl2br w:val="nil"/>
                    <w:tr2bl w:val="nil"/>
                  </w:tcBorders>
                  <w:noWrap w:val="0"/>
                  <w:vAlign w:val="center"/>
                </w:tcPr>
                <w:p w14:paraId="1BFC345C">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空间布局约束污染物排放管控</w:t>
                  </w:r>
                </w:p>
                <w:p w14:paraId="7792C58C">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31A3F082">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2"/>
                      <w:sz w:val="21"/>
                      <w:szCs w:val="21"/>
                      <w:highlight w:val="none"/>
                      <w:vertAlign w:val="baseline"/>
                      <w:lang w:val="en-US" w:eastAsia="zh-CN" w:bidi="ar-SA"/>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严格执行国家、自治区产业政策和环境准入要求，严禁</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三高</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项目进新疆，坚决遏制</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两高</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项目盲目发展。</w:t>
                  </w:r>
                </w:p>
              </w:tc>
              <w:tc>
                <w:tcPr>
                  <w:tcW w:w="3337" w:type="dxa"/>
                  <w:tcBorders>
                    <w:tl2br w:val="nil"/>
                    <w:tr2bl w:val="nil"/>
                  </w:tcBorders>
                  <w:noWrap w:val="0"/>
                  <w:vAlign w:val="center"/>
                </w:tcPr>
                <w:p w14:paraId="62AA6AAD">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r>
                    <w:rPr>
                      <w:rFonts w:hint="default" w:ascii="Times New Roman" w:hAnsi="Times New Roman" w:eastAsia="宋体" w:cs="Times New Roman"/>
                      <w:b w:val="0"/>
                      <w:color w:val="000000" w:themeColor="text1"/>
                      <w:lang w:val="en-US" w:eastAsia="zh-CN"/>
                      <w14:textFill>
                        <w14:solidFill>
                          <w14:schemeClr w14:val="tx1"/>
                        </w14:solidFill>
                      </w14:textFill>
                    </w:rPr>
                    <w:t>符合，本项目属于</w:t>
                  </w:r>
                  <w:r>
                    <w:rPr>
                      <w:rFonts w:hint="eastAsia" w:eastAsia="宋体" w:cs="Times New Roman"/>
                      <w:b w:val="0"/>
                      <w:color w:val="000000" w:themeColor="text1"/>
                      <w:lang w:val="en-US" w:eastAsia="zh-CN"/>
                      <w14:textFill>
                        <w14:solidFill>
                          <w14:schemeClr w14:val="tx1"/>
                        </w14:solidFill>
                      </w14:textFill>
                    </w:rPr>
                    <w:t>《产业结构调整指导目录（2024年本）》</w:t>
                  </w:r>
                  <w:r>
                    <w:rPr>
                      <w:rFonts w:hint="default" w:ascii="Times New Roman" w:hAnsi="Times New Roman" w:eastAsia="宋体" w:cs="Times New Roman"/>
                      <w:b w:val="0"/>
                      <w:color w:val="000000" w:themeColor="text1"/>
                      <w:lang w:val="en-US" w:eastAsia="zh-CN"/>
                      <w14:textFill>
                        <w14:solidFill>
                          <w14:schemeClr w14:val="tx1"/>
                        </w14:solidFill>
                      </w14:textFill>
                    </w:rPr>
                    <w:t>允许类项目，不属于《市场准入负面清单（2025年版）》禁止准入事项，不属于“三高”项目。</w:t>
                  </w:r>
                </w:p>
              </w:tc>
            </w:tr>
            <w:tr w14:paraId="24AD6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continue"/>
                  <w:tcBorders>
                    <w:tl2br w:val="nil"/>
                    <w:tr2bl w:val="nil"/>
                  </w:tcBorders>
                  <w:noWrap w:val="0"/>
                  <w:vAlign w:val="center"/>
                </w:tcPr>
                <w:p w14:paraId="71E002A4">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06AF4DC6">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不得在水源涵养区、饮用水水源保护区内和河流、湖泊、水库周围建设重化工、涉重金属等工业污染项目。</w:t>
                  </w:r>
                </w:p>
              </w:tc>
              <w:tc>
                <w:tcPr>
                  <w:tcW w:w="3337" w:type="dxa"/>
                  <w:tcBorders>
                    <w:tl2br w:val="nil"/>
                    <w:tr2bl w:val="nil"/>
                  </w:tcBorders>
                  <w:noWrap w:val="0"/>
                  <w:vAlign w:val="center"/>
                </w:tcPr>
                <w:p w14:paraId="00396E64">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r>
                    <w:rPr>
                      <w:rFonts w:hint="default" w:ascii="Times New Roman" w:hAnsi="Times New Roman" w:eastAsia="宋体" w:cs="Times New Roman"/>
                      <w:b w:val="0"/>
                      <w:color w:val="000000" w:themeColor="text1"/>
                      <w:lang w:val="en-US" w:eastAsia="zh-CN"/>
                      <w14:textFill>
                        <w14:solidFill>
                          <w14:schemeClr w14:val="tx1"/>
                        </w14:solidFill>
                      </w14:textFill>
                    </w:rPr>
                    <w:t>符合，本项目不属于</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重化工、涉重金属等工业污染项目</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p>
              </w:tc>
            </w:tr>
            <w:tr w14:paraId="3AA4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continue"/>
                  <w:tcBorders>
                    <w:tl2br w:val="nil"/>
                    <w:tr2bl w:val="nil"/>
                  </w:tcBorders>
                  <w:noWrap w:val="0"/>
                  <w:vAlign w:val="center"/>
                </w:tcPr>
                <w:p w14:paraId="2B1E986E">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14C9ADA7">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深化行业污染源头治理，深入开展火电行业减排，全力推进钢铁行业超低排放改造，有序推进石化行业</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泄漏检测与修复</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技术改造。强化煤化工、石化、有机化工、表面涂装、包装印刷等重点行业挥发性有机物控制。深入开展燃煤锅炉污染综合整治，深化工业炉窑综合治理。加强</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散乱污</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企业综合整治。优化区域交通运输结构，加快货物运输绿色转型，做好车油联合管控。</w:t>
                  </w:r>
                </w:p>
              </w:tc>
              <w:tc>
                <w:tcPr>
                  <w:tcW w:w="3337" w:type="dxa"/>
                  <w:tcBorders>
                    <w:tl2br w:val="nil"/>
                    <w:tr2bl w:val="nil"/>
                  </w:tcBorders>
                  <w:noWrap w:val="0"/>
                  <w:vAlign w:val="center"/>
                </w:tcPr>
                <w:p w14:paraId="1BD47FDB">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lang w:val="en-US" w:eastAsia="zh-CN"/>
                      <w14:textFill>
                        <w14:solidFill>
                          <w14:schemeClr w14:val="tx1"/>
                        </w14:solidFill>
                      </w14:textFill>
                    </w:rPr>
                    <w:t>符合，本项目为</w:t>
                  </w:r>
                  <w:r>
                    <w:rPr>
                      <w:rFonts w:hint="default" w:ascii="Times New Roman" w:hAnsi="Times New Roman" w:cs="Times New Roman"/>
                      <w:spacing w:val="-2"/>
                      <w:lang w:val="en-US" w:eastAsia="zh-CN"/>
                    </w:rPr>
                    <w:t>废弃资源综合利用业</w:t>
                  </w:r>
                  <w:r>
                    <w:rPr>
                      <w:rFonts w:hint="default" w:ascii="Times New Roman" w:hAnsi="Times New Roman" w:cs="Times New Roman"/>
                      <w:b w:val="0"/>
                      <w:color w:val="000000" w:themeColor="text1"/>
                      <w:lang w:val="en-US" w:eastAsia="zh-CN"/>
                      <w14:textFill>
                        <w14:solidFill>
                          <w14:schemeClr w14:val="tx1"/>
                        </w14:solidFill>
                      </w14:textFill>
                    </w:rPr>
                    <w:t>。</w:t>
                  </w:r>
                </w:p>
              </w:tc>
            </w:tr>
            <w:tr w14:paraId="5B531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791" w:type="dxa"/>
                  <w:vMerge w:val="continue"/>
                  <w:tcBorders>
                    <w:tl2br w:val="nil"/>
                    <w:tr2bl w:val="nil"/>
                  </w:tcBorders>
                  <w:noWrap w:val="0"/>
                  <w:vAlign w:val="center"/>
                </w:tcPr>
                <w:p w14:paraId="0C3A4860">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04190F18">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以改善流域水环境质量为核心，强化源头控制，</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一河（湖）一策</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精准施治，减少水污染物排放，持续改善水环境质量。强化园区（工业集聚区</w:t>
                  </w: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水污染防治，不断提高工业用水重复利用率。加快实施城镇污水处理设施提质增效，补齐生活污水收集和处理设施短板，提高再生水回用比例。持续推进农业农村污染防治。</w:t>
                  </w:r>
                </w:p>
              </w:tc>
              <w:tc>
                <w:tcPr>
                  <w:tcW w:w="3337" w:type="dxa"/>
                  <w:tcBorders>
                    <w:tl2br w:val="nil"/>
                    <w:tr2bl w:val="nil"/>
                  </w:tcBorders>
                  <w:noWrap w:val="0"/>
                  <w:vAlign w:val="top"/>
                </w:tcPr>
                <w:p w14:paraId="77680D1F">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val="0"/>
                      <w:color w:val="FF0000"/>
                      <w:kern w:val="0"/>
                      <w:sz w:val="21"/>
                      <w:szCs w:val="21"/>
                      <w:vertAlign w:val="baseline"/>
                      <w:lang w:val="en-US" w:eastAsia="zh-CN" w:bidi="ar-SA"/>
                    </w:rPr>
                  </w:pPr>
                  <w:r>
                    <w:rPr>
                      <w:rFonts w:hint="default" w:ascii="Times New Roman" w:hAnsi="Times New Roman" w:eastAsia="宋体" w:cs="Times New Roman"/>
                      <w:b w:val="0"/>
                      <w:bCs/>
                      <w:color w:val="000000" w:themeColor="text1"/>
                      <w:kern w:val="0"/>
                      <w:sz w:val="21"/>
                      <w:szCs w:val="28"/>
                      <w:lang w:val="en-US" w:eastAsia="zh-CN" w:bidi="ar-SA"/>
                      <w14:textFill>
                        <w14:solidFill>
                          <w14:schemeClr w14:val="tx1"/>
                        </w14:solidFill>
                      </w14:textFill>
                    </w:rPr>
                    <w:t>符合，项目运行期间产生的废水循环使用，不外排，生活污水经防渗隔油池，排入市政排水管网，最终进入铁门关市污水处理厂深度处理。</w:t>
                  </w:r>
                </w:p>
              </w:tc>
            </w:tr>
            <w:tr w14:paraId="55875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restart"/>
                  <w:tcBorders>
                    <w:tl2br w:val="nil"/>
                    <w:tr2bl w:val="nil"/>
                  </w:tcBorders>
                  <w:noWrap w:val="0"/>
                  <w:vAlign w:val="center"/>
                </w:tcPr>
                <w:p w14:paraId="2F84932E">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环境风险防控</w:t>
                  </w:r>
                </w:p>
              </w:tc>
              <w:tc>
                <w:tcPr>
                  <w:tcW w:w="4092" w:type="dxa"/>
                  <w:tcBorders>
                    <w:tl2br w:val="nil"/>
                    <w:tr2bl w:val="nil"/>
                  </w:tcBorders>
                  <w:noWrap w:val="0"/>
                  <w:vAlign w:val="center"/>
                </w:tcPr>
                <w:p w14:paraId="44938AFD">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提升土壤环境监管能力，加强污染地块安全利用监管。强化工矿用地管理，严格建设用地土壤环境风险管控。加强农用地土壤污染源头控制，科学施用化肥农药，提高农膜回收率。</w:t>
                  </w:r>
                </w:p>
              </w:tc>
              <w:tc>
                <w:tcPr>
                  <w:tcW w:w="3337" w:type="dxa"/>
                  <w:tcBorders>
                    <w:tl2br w:val="nil"/>
                    <w:tr2bl w:val="nil"/>
                  </w:tcBorders>
                  <w:noWrap w:val="0"/>
                  <w:vAlign w:val="center"/>
                </w:tcPr>
                <w:p w14:paraId="2963F7A7">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rightChars="0" w:firstLine="0" w:firstLineChars="0"/>
                    <w:jc w:val="center"/>
                    <w:textAlignment w:val="center"/>
                    <w:rPr>
                      <w:rFonts w:hint="default" w:ascii="Times New Roman" w:hAnsi="Times New Roman" w:eastAsia="宋体" w:cs="Times New Roman"/>
                      <w:b w:val="0"/>
                      <w:color w:val="FF0000"/>
                      <w:kern w:val="0"/>
                      <w:sz w:val="21"/>
                      <w:szCs w:val="18"/>
                      <w:lang w:val="en-US" w:eastAsia="zh-CN" w:bidi="ar-SA"/>
                    </w:rPr>
                  </w:pPr>
                  <w:r>
                    <w:rPr>
                      <w:rFonts w:hint="default" w:ascii="Times New Roman" w:hAnsi="Times New Roman" w:eastAsia="宋体" w:cs="Times New Roman"/>
                      <w:b w:val="0"/>
                      <w:color w:val="000000" w:themeColor="text1"/>
                      <w:lang w:val="en-US" w:eastAsia="zh-CN"/>
                      <w14:textFill>
                        <w14:solidFill>
                          <w14:schemeClr w14:val="tx1"/>
                        </w14:solidFill>
                      </w14:textFill>
                    </w:rPr>
                    <w:t>符合，本项目</w:t>
                  </w:r>
                  <w:r>
                    <w:rPr>
                      <w:rFonts w:hint="default" w:ascii="Times New Roman" w:hAnsi="Times New Roman" w:cs="Times New Roman"/>
                      <w:b w:val="0"/>
                      <w:color w:val="000000" w:themeColor="text1"/>
                      <w:lang w:val="en-US" w:eastAsia="zh-CN"/>
                      <w14:textFill>
                        <w14:solidFill>
                          <w14:schemeClr w14:val="tx1"/>
                        </w14:solidFill>
                      </w14:textFill>
                    </w:rPr>
                    <w:t>区内严格按照要求进行防渗工作</w:t>
                  </w:r>
                  <w:r>
                    <w:rPr>
                      <w:rFonts w:hint="default" w:ascii="Times New Roman" w:hAnsi="Times New Roman" w:eastAsia="宋体" w:cs="Times New Roman"/>
                      <w:b w:val="0"/>
                      <w:color w:val="000000" w:themeColor="text1"/>
                      <w:lang w:val="en-US" w:eastAsia="zh-CN"/>
                      <w14:textFill>
                        <w14:solidFill>
                          <w14:schemeClr w14:val="tx1"/>
                        </w14:solidFill>
                      </w14:textFill>
                    </w:rPr>
                    <w:t>，加强了土壤环境的监管，</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严格建设用地土壤环境风险管控。</w:t>
                  </w:r>
                </w:p>
              </w:tc>
            </w:tr>
            <w:tr w14:paraId="62F6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continue"/>
                  <w:tcBorders>
                    <w:tl2br w:val="nil"/>
                    <w:tr2bl w:val="nil"/>
                  </w:tcBorders>
                  <w:noWrap w:val="0"/>
                  <w:vAlign w:val="center"/>
                </w:tcPr>
                <w:p w14:paraId="6C6B2300">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p>
              </w:tc>
              <w:tc>
                <w:tcPr>
                  <w:tcW w:w="4092" w:type="dxa"/>
                  <w:tcBorders>
                    <w:tl2br w:val="nil"/>
                    <w:tr2bl w:val="nil"/>
                  </w:tcBorders>
                  <w:noWrap w:val="0"/>
                  <w:vAlign w:val="center"/>
                </w:tcPr>
                <w:p w14:paraId="73CB0973">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禁止在化工园区外新建、扩建危险化学品生产项目。严格落实危险废物处置相关要求。加强重点流域水环境风险管控，保障水环境安全。</w:t>
                  </w:r>
                </w:p>
              </w:tc>
              <w:tc>
                <w:tcPr>
                  <w:tcW w:w="3337" w:type="dxa"/>
                  <w:tcBorders>
                    <w:tl2br w:val="nil"/>
                    <w:tr2bl w:val="nil"/>
                  </w:tcBorders>
                  <w:noWrap w:val="0"/>
                  <w:vAlign w:val="center"/>
                </w:tcPr>
                <w:p w14:paraId="16FAE670">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r>
                    <w:rPr>
                      <w:rFonts w:hint="default" w:ascii="Times New Roman" w:hAnsi="Times New Roman" w:eastAsia="宋体" w:cs="Times New Roman"/>
                      <w:b w:val="0"/>
                      <w:color w:val="000000" w:themeColor="text1"/>
                      <w:lang w:val="en-US" w:eastAsia="zh-CN"/>
                      <w14:textFill>
                        <w14:solidFill>
                          <w14:schemeClr w14:val="tx1"/>
                        </w14:solidFill>
                      </w14:textFill>
                    </w:rPr>
                    <w:t>符合，本项目不属于危险化学品生产项目</w:t>
                  </w:r>
                  <w:r>
                    <w:rPr>
                      <w:rFonts w:hint="default" w:ascii="Times New Roman" w:hAnsi="Times New Roman" w:cs="Times New Roman"/>
                      <w:b w:val="0"/>
                      <w:color w:val="000000" w:themeColor="text1"/>
                      <w:lang w:val="en-US" w:eastAsia="zh-CN"/>
                      <w14:textFill>
                        <w14:solidFill>
                          <w14:schemeClr w14:val="tx1"/>
                        </w14:solidFill>
                      </w14:textFill>
                    </w:rPr>
                    <w:t>。</w:t>
                  </w:r>
                </w:p>
              </w:tc>
            </w:tr>
            <w:tr w14:paraId="483D0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tcBorders>
                    <w:tl2br w:val="nil"/>
                    <w:tr2bl w:val="nil"/>
                  </w:tcBorders>
                  <w:noWrap w:val="0"/>
                  <w:vAlign w:val="center"/>
                </w:tcPr>
                <w:p w14:paraId="03DC2F56">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资源利用效率</w:t>
                  </w:r>
                </w:p>
              </w:tc>
              <w:tc>
                <w:tcPr>
                  <w:tcW w:w="4092" w:type="dxa"/>
                  <w:tcBorders>
                    <w:tl2br w:val="nil"/>
                    <w:tr2bl w:val="nil"/>
                  </w:tcBorders>
                  <w:noWrap w:val="0"/>
                  <w:vAlign w:val="center"/>
                </w:tcPr>
                <w:p w14:paraId="22BEE286">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优化能源结构，控制煤炭等化石能源使用量，鼓励使用清洁能源，协同推进减污降碳。全面实施节水工程，合理开发利用水资源，提升水资源利用效率，保障生态用水，严防地下水超采。</w:t>
                  </w:r>
                </w:p>
              </w:tc>
              <w:tc>
                <w:tcPr>
                  <w:tcW w:w="3337" w:type="dxa"/>
                  <w:tcBorders>
                    <w:tl2br w:val="nil"/>
                    <w:tr2bl w:val="nil"/>
                  </w:tcBorders>
                  <w:noWrap w:val="0"/>
                  <w:vAlign w:val="center"/>
                </w:tcPr>
                <w:p w14:paraId="067B7788">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rightChars="0" w:firstLine="0" w:firstLineChars="0"/>
                    <w:jc w:val="center"/>
                    <w:textAlignment w:val="center"/>
                    <w:rPr>
                      <w:rFonts w:hint="default" w:ascii="Times New Roman" w:hAnsi="Times New Roman" w:eastAsia="宋体" w:cs="Times New Roman"/>
                      <w:b w:val="0"/>
                      <w:color w:val="FF0000"/>
                      <w:kern w:val="0"/>
                      <w:sz w:val="21"/>
                      <w:szCs w:val="18"/>
                      <w:lang w:val="en-US" w:eastAsia="zh-CN" w:bidi="ar-SA"/>
                    </w:rPr>
                  </w:pPr>
                  <w:r>
                    <w:rPr>
                      <w:rFonts w:hint="default" w:ascii="Times New Roman" w:hAnsi="Times New Roman" w:eastAsia="宋体" w:cs="Times New Roman"/>
                      <w:b w:val="0"/>
                      <w:bCs/>
                      <w:snapToGrid w:val="0"/>
                      <w:color w:val="auto"/>
                      <w:kern w:val="0"/>
                      <w:sz w:val="21"/>
                      <w:szCs w:val="21"/>
                      <w:vertAlign w:val="baseline"/>
                      <w:lang w:val="en-US" w:eastAsia="zh-CN"/>
                    </w:rPr>
                    <w:t>符合，本项目运营期</w:t>
                  </w:r>
                  <w:r>
                    <w:rPr>
                      <w:rFonts w:hint="default" w:ascii="Times New Roman" w:hAnsi="Times New Roman" w:cs="Times New Roman"/>
                      <w:b w:val="0"/>
                      <w:bCs/>
                      <w:snapToGrid w:val="0"/>
                      <w:color w:val="auto"/>
                      <w:kern w:val="0"/>
                      <w:sz w:val="21"/>
                      <w:szCs w:val="21"/>
                      <w:vertAlign w:val="baseline"/>
                      <w:lang w:val="en-US" w:eastAsia="zh-CN"/>
                    </w:rPr>
                    <w:t>使用清洁能源，</w:t>
                  </w:r>
                  <w:r>
                    <w:rPr>
                      <w:rFonts w:hint="default" w:ascii="Times New Roman" w:hAnsi="Times New Roman" w:eastAsia="宋体" w:cs="Times New Roman"/>
                      <w:color w:val="auto"/>
                      <w:sz w:val="21"/>
                      <w:szCs w:val="21"/>
                      <w:lang w:val="en-US" w:eastAsia="zh-CN"/>
                    </w:rPr>
                    <w:t>运行期间产生的废水为循环使用不外排</w:t>
                  </w:r>
                  <w:r>
                    <w:rPr>
                      <w:rFonts w:hint="default" w:ascii="Times New Roman" w:hAnsi="Times New Roman" w:cs="Times New Roman"/>
                      <w:color w:val="auto"/>
                      <w:sz w:val="21"/>
                      <w:szCs w:val="21"/>
                      <w:lang w:val="en-US" w:eastAsia="zh-CN"/>
                    </w:rPr>
                    <w:t>，</w:t>
                  </w:r>
                  <w:r>
                    <w:rPr>
                      <w:rFonts w:hint="default" w:ascii="Times New Roman" w:hAnsi="Times New Roman" w:cs="Times New Roman"/>
                      <w:snapToGrid w:val="0"/>
                      <w:color w:val="auto"/>
                      <w:kern w:val="0"/>
                      <w:lang w:eastAsia="zh-CN"/>
                    </w:rPr>
                    <w:t>生活污水经防渗</w:t>
                  </w:r>
                  <w:r>
                    <w:rPr>
                      <w:rFonts w:hint="default" w:ascii="Times New Roman" w:hAnsi="Times New Roman" w:cs="Times New Roman"/>
                      <w:snapToGrid w:val="0"/>
                      <w:color w:val="auto"/>
                      <w:kern w:val="0"/>
                      <w:lang w:val="en-US" w:eastAsia="zh-CN"/>
                    </w:rPr>
                    <w:t>隔油</w:t>
                  </w:r>
                  <w:r>
                    <w:rPr>
                      <w:rFonts w:hint="default" w:ascii="Times New Roman" w:hAnsi="Times New Roman" w:cs="Times New Roman"/>
                      <w:snapToGrid w:val="0"/>
                      <w:color w:val="auto"/>
                      <w:kern w:val="0"/>
                      <w:lang w:eastAsia="zh-CN"/>
                    </w:rPr>
                    <w:t>池预处理后，排入市政排水管网，最终进入铁门关市污水处理厂深度处理</w:t>
                  </w:r>
                  <w:r>
                    <w:rPr>
                      <w:rFonts w:hint="default" w:ascii="Times New Roman" w:hAnsi="Times New Roman" w:eastAsia="宋体" w:cs="Times New Roman"/>
                      <w:color w:val="auto"/>
                      <w:sz w:val="21"/>
                      <w:szCs w:val="21"/>
                      <w:lang w:val="en-US" w:eastAsia="zh-CN"/>
                    </w:rPr>
                    <w:t>。</w:t>
                  </w:r>
                </w:p>
              </w:tc>
            </w:tr>
            <w:tr w14:paraId="5606B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restart"/>
                  <w:tcBorders>
                    <w:tl2br w:val="nil"/>
                    <w:tr2bl w:val="nil"/>
                  </w:tcBorders>
                  <w:noWrap w:val="0"/>
                  <w:vAlign w:val="center"/>
                </w:tcPr>
                <w:p w14:paraId="0CFC261D">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天山南坡片区</w:t>
                  </w:r>
                </w:p>
              </w:tc>
              <w:tc>
                <w:tcPr>
                  <w:tcW w:w="4092" w:type="dxa"/>
                  <w:tcBorders>
                    <w:tl2br w:val="nil"/>
                    <w:tr2bl w:val="nil"/>
                  </w:tcBorders>
                  <w:noWrap w:val="0"/>
                  <w:vAlign w:val="center"/>
                </w:tcPr>
                <w:p w14:paraId="4C657630">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3337" w:type="dxa"/>
                  <w:tcBorders>
                    <w:tl2br w:val="nil"/>
                    <w:tr2bl w:val="nil"/>
                  </w:tcBorders>
                  <w:noWrap w:val="0"/>
                  <w:vAlign w:val="center"/>
                </w:tcPr>
                <w:p w14:paraId="591FF065">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cs="Times New Roman"/>
                      <w:b w:val="0"/>
                      <w:bCs/>
                      <w:color w:val="000000" w:themeColor="text1"/>
                      <w:sz w:val="21"/>
                      <w:szCs w:val="21"/>
                      <w:highlight w:val="none"/>
                      <w:vertAlign w:val="baseline"/>
                      <w:lang w:val="en-US" w:eastAsia="zh-CN"/>
                      <w14:textFill>
                        <w14:solidFill>
                          <w14:schemeClr w14:val="tx1"/>
                        </w14:solidFill>
                      </w14:textFill>
                    </w:rPr>
                    <w:t>符合，不涉及生态保护区。</w:t>
                  </w:r>
                </w:p>
              </w:tc>
            </w:tr>
            <w:tr w14:paraId="15800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continue"/>
                  <w:tcBorders>
                    <w:tl2br w:val="nil"/>
                    <w:tr2bl w:val="nil"/>
                  </w:tcBorders>
                  <w:noWrap w:val="0"/>
                  <w:vAlign w:val="top"/>
                </w:tcPr>
                <w:p w14:paraId="26F628B8">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5F7D2085">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推进塔里木河流域用水结构调整，维护塔里木河、博斯腾湖基本生态用水。加强塔里木河流域水环境风险管控。加大博斯腾湖污染源头达标排放治理和监督力度，实施博斯腾湖综合治理。</w:t>
                  </w:r>
                </w:p>
              </w:tc>
              <w:tc>
                <w:tcPr>
                  <w:tcW w:w="3337" w:type="dxa"/>
                  <w:tcBorders>
                    <w:tl2br w:val="nil"/>
                    <w:tr2bl w:val="nil"/>
                  </w:tcBorders>
                  <w:noWrap w:val="0"/>
                  <w:vAlign w:val="center"/>
                </w:tcPr>
                <w:p w14:paraId="6D167ADD">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FF0000"/>
                      <w:kern w:val="0"/>
                      <w:sz w:val="21"/>
                      <w:szCs w:val="21"/>
                      <w:highlight w:val="none"/>
                      <w:vertAlign w:val="baseline"/>
                      <w:lang w:val="en-US" w:eastAsia="zh-CN" w:bidi="ar"/>
                    </w:rPr>
                  </w:pPr>
                  <w:r>
                    <w:rPr>
                      <w:rFonts w:hint="default" w:ascii="Times New Roman" w:hAnsi="Times New Roman" w:eastAsia="宋体" w:cs="Times New Roman"/>
                      <w:b w:val="0"/>
                      <w:bCs/>
                      <w:snapToGrid w:val="0"/>
                      <w:color w:val="auto"/>
                      <w:kern w:val="0"/>
                      <w:sz w:val="21"/>
                      <w:szCs w:val="21"/>
                      <w:vertAlign w:val="baseline"/>
                      <w:lang w:val="en-US" w:eastAsia="zh-CN"/>
                    </w:rPr>
                    <w:t>符合，本项目运营期</w:t>
                  </w:r>
                  <w:r>
                    <w:rPr>
                      <w:rFonts w:hint="default" w:ascii="Times New Roman" w:hAnsi="Times New Roman" w:cs="Times New Roman"/>
                      <w:b w:val="0"/>
                      <w:bCs/>
                      <w:snapToGrid w:val="0"/>
                      <w:color w:val="auto"/>
                      <w:kern w:val="0"/>
                      <w:sz w:val="21"/>
                      <w:szCs w:val="21"/>
                      <w:vertAlign w:val="baseline"/>
                      <w:lang w:val="en-US" w:eastAsia="zh-CN"/>
                    </w:rPr>
                    <w:t>使用清洁能源，</w:t>
                  </w:r>
                  <w:r>
                    <w:rPr>
                      <w:rFonts w:hint="default" w:ascii="Times New Roman" w:hAnsi="Times New Roman" w:eastAsia="宋体" w:cs="Times New Roman"/>
                      <w:color w:val="auto"/>
                      <w:sz w:val="21"/>
                      <w:szCs w:val="21"/>
                      <w:lang w:val="en-US" w:eastAsia="zh-CN"/>
                    </w:rPr>
                    <w:t>运行期间产生的废水为循环使用不外排，生活污水经防渗隔油池预处理后，排入市政排水管网，最终进入铁门关市污水处理厂深度处理。</w:t>
                  </w:r>
                </w:p>
              </w:tc>
            </w:tr>
            <w:tr w14:paraId="096F0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1" w:type="dxa"/>
                  <w:vMerge w:val="continue"/>
                  <w:tcBorders>
                    <w:tl2br w:val="nil"/>
                    <w:tr2bl w:val="nil"/>
                  </w:tcBorders>
                  <w:noWrap w:val="0"/>
                  <w:vAlign w:val="top"/>
                </w:tcPr>
                <w:p w14:paraId="6DE6CCB7">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FF0000"/>
                      <w:lang w:val="en-US" w:eastAsia="zh-CN"/>
                    </w:rPr>
                  </w:pPr>
                </w:p>
              </w:tc>
              <w:tc>
                <w:tcPr>
                  <w:tcW w:w="4092" w:type="dxa"/>
                  <w:tcBorders>
                    <w:tl2br w:val="nil"/>
                    <w:tr2bl w:val="nil"/>
                  </w:tcBorders>
                  <w:noWrap w:val="0"/>
                  <w:vAlign w:val="center"/>
                </w:tcPr>
                <w:p w14:paraId="2612348C">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加强油（气）资源开发区土壤环境污染综合整治。强化涉重金属行业污染防控与工业废物处理处置。</w:t>
                  </w:r>
                </w:p>
              </w:tc>
              <w:tc>
                <w:tcPr>
                  <w:tcW w:w="3337" w:type="dxa"/>
                  <w:tcBorders>
                    <w:tl2br w:val="nil"/>
                    <w:tr2bl w:val="nil"/>
                  </w:tcBorders>
                  <w:noWrap w:val="0"/>
                  <w:vAlign w:val="center"/>
                </w:tcPr>
                <w:p w14:paraId="2C8A96F6">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
                      <w14:textFill>
                        <w14:solidFill>
                          <w14:schemeClr w14:val="tx1"/>
                        </w14:solidFill>
                      </w14:textFill>
                    </w:rPr>
                    <w:t>符合，本项目不属于油气资源开发区域。</w:t>
                  </w:r>
                </w:p>
              </w:tc>
            </w:tr>
          </w:tbl>
          <w:p w14:paraId="6E4BAABD">
            <w:pPr>
              <w:pStyle w:val="82"/>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综上所述，项目符合</w:t>
            </w:r>
            <w:r>
              <w:rPr>
                <w:rFonts w:hint="default" w:ascii="Times New Roman" w:hAnsi="Times New Roman" w:cs="Times New Roman"/>
                <w:color w:val="auto"/>
                <w:szCs w:val="24"/>
                <w:highlight w:val="none"/>
              </w:rPr>
              <w:t>《新疆维吾尔自治区生态环境分区管控动态更新成果》（新环环发〔2024〕157号）</w:t>
            </w:r>
            <w:r>
              <w:rPr>
                <w:rFonts w:hint="default" w:ascii="Times New Roman" w:hAnsi="Times New Roman" w:cs="Times New Roman"/>
                <w:color w:val="auto"/>
                <w:highlight w:val="none"/>
              </w:rPr>
              <w:t>和《自治区生态环境分区管控方案和七大片区管控要求》的要求</w:t>
            </w:r>
          </w:p>
          <w:p w14:paraId="1983B768">
            <w:pPr>
              <w:pStyle w:val="6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巴音郭楞蒙古自治州</w:t>
            </w:r>
            <w:r>
              <w:rPr>
                <w:rFonts w:hint="default" w:ascii="Times New Roman" w:hAnsi="Times New Roman"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三线一单</w:t>
            </w:r>
            <w:r>
              <w:rPr>
                <w:rFonts w:hint="default" w:ascii="Times New Roman" w:hAnsi="Times New Roman" w:cs="Times New Roman"/>
                <w:b/>
                <w:bCs/>
                <w:color w:val="auto"/>
                <w:sz w:val="24"/>
                <w:szCs w:val="24"/>
                <w:lang w:val="en-US" w:eastAsia="zh-CN"/>
              </w:rPr>
              <w:t>”</w:t>
            </w:r>
          </w:p>
          <w:p w14:paraId="1F6541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snapToGrid w:val="0"/>
                <w:color w:val="auto"/>
                <w:spacing w:val="0"/>
                <w:kern w:val="0"/>
                <w:sz w:val="24"/>
                <w:szCs w:val="24"/>
                <w:highlight w:val="none"/>
                <w:lang w:val="en-US" w:eastAsia="zh-CN"/>
              </w:rPr>
            </w:pPr>
            <w:r>
              <w:rPr>
                <w:rFonts w:hint="default" w:ascii="Times New Roman" w:hAnsi="Times New Roman" w:cs="Times New Roman"/>
                <w:b w:val="0"/>
                <w:snapToGrid w:val="0"/>
                <w:color w:val="auto"/>
                <w:spacing w:val="0"/>
                <w:kern w:val="0"/>
                <w:sz w:val="24"/>
                <w:szCs w:val="24"/>
                <w:highlight w:val="none"/>
                <w:lang w:val="en-US" w:eastAsia="zh-CN"/>
              </w:rPr>
              <w:t>2024年12月9日</w:t>
            </w:r>
            <w:r>
              <w:rPr>
                <w:rFonts w:hint="default" w:ascii="Times New Roman" w:hAnsi="Times New Roman" w:eastAsia="宋体" w:cs="Times New Roman"/>
                <w:b w:val="0"/>
                <w:snapToGrid w:val="0"/>
                <w:color w:val="auto"/>
                <w:spacing w:val="0"/>
                <w:kern w:val="0"/>
                <w:sz w:val="24"/>
                <w:szCs w:val="24"/>
                <w:highlight w:val="none"/>
                <w:lang w:val="en-US" w:eastAsia="zh-CN"/>
              </w:rPr>
              <w:t>，巴音郭楞蒙古自治州人民政府办公室发布了关于印发《巴音郭楞蒙古自治州</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三线一单</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生态环境分区管控动态更新成果（2023年）的通知》（巴政办发〔2024〕32号）；根据生态环境部（原环境保护部）《关于以改善环境质量为核心加强环境影响评价管理的通知》（环环评〔2016〕150号）：</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为适应以改善环境质量为核心的环境管理要求，切实加强环境影响评价管理，落实：</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生态保护红线、环境质量底线、资源利用上线和生态环境准入清单</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约束</w:t>
            </w:r>
            <w:r>
              <w:rPr>
                <w:rFonts w:hint="default" w:ascii="Times New Roman" w:hAnsi="Times New Roman" w:cs="Times New Roman"/>
                <w:b w:val="0"/>
                <w:snapToGrid w:val="0"/>
                <w:color w:val="auto"/>
                <w:spacing w:val="0"/>
                <w:kern w:val="0"/>
                <w:sz w:val="24"/>
                <w:szCs w:val="24"/>
                <w:highlight w:val="none"/>
                <w:lang w:val="en-US" w:eastAsia="zh-CN"/>
              </w:rPr>
              <w:t>”</w:t>
            </w:r>
            <w:r>
              <w:rPr>
                <w:rFonts w:hint="default" w:ascii="Times New Roman" w:hAnsi="Times New Roman" w:eastAsia="宋体" w:cs="Times New Roman"/>
                <w:b w:val="0"/>
                <w:snapToGrid w:val="0"/>
                <w:color w:val="auto"/>
                <w:spacing w:val="0"/>
                <w:kern w:val="0"/>
                <w:sz w:val="24"/>
                <w:szCs w:val="24"/>
                <w:highlight w:val="none"/>
                <w:lang w:val="en-US" w:eastAsia="zh-CN"/>
              </w:rPr>
              <w:t>。</w:t>
            </w:r>
          </w:p>
          <w:p w14:paraId="743ED62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snapToGrid w:val="0"/>
                <w:color w:val="auto"/>
                <w:spacing w:val="0"/>
                <w:kern w:val="0"/>
                <w:sz w:val="24"/>
                <w:szCs w:val="24"/>
                <w:highlight w:val="none"/>
                <w:lang w:val="en-US" w:eastAsia="zh-CN"/>
              </w:rPr>
            </w:pPr>
            <w:r>
              <w:rPr>
                <w:rFonts w:hint="default" w:ascii="Times New Roman" w:hAnsi="Times New Roman" w:eastAsia="宋体" w:cs="Times New Roman"/>
                <w:b w:val="0"/>
                <w:snapToGrid w:val="0"/>
                <w:color w:val="auto"/>
                <w:spacing w:val="0"/>
                <w:kern w:val="0"/>
                <w:sz w:val="24"/>
                <w:szCs w:val="24"/>
                <w:highlight w:val="none"/>
                <w:lang w:val="en-US" w:eastAsia="zh-CN"/>
              </w:rPr>
              <w:t>本项目位于新疆巴州库尔勒市上库尔勒上库综合产业园区，根据《巴音郭楞蒙古自治州生态环境准入清单》（2023年）可知本项目所在区域为</w:t>
            </w:r>
            <w:r>
              <w:rPr>
                <w:rFonts w:hint="default" w:ascii="Times New Roman" w:hAnsi="Times New Roman" w:cs="Times New Roman"/>
                <w:lang w:val="en-US" w:eastAsia="zh-CN"/>
              </w:rPr>
              <w:t>库尔勒上库高新技术产业开发区管控单元，属于</w:t>
            </w:r>
            <w:r>
              <w:rPr>
                <w:rFonts w:hint="default" w:ascii="Times New Roman" w:hAnsi="Times New Roman" w:cs="Times New Roman"/>
                <w:color w:val="auto"/>
                <w:highlight w:val="none"/>
                <w:lang w:val="en-US" w:eastAsia="zh-CN"/>
              </w:rPr>
              <w:t>重点管控单元，所在区域编号为：ZH65280120013</w:t>
            </w:r>
            <w:r>
              <w:rPr>
                <w:rFonts w:hint="default" w:ascii="Times New Roman" w:hAnsi="Times New Roman" w:eastAsia="宋体" w:cs="Times New Roman"/>
                <w:b w:val="0"/>
                <w:snapToGrid w:val="0"/>
                <w:color w:val="auto"/>
                <w:spacing w:val="0"/>
                <w:kern w:val="0"/>
                <w:sz w:val="24"/>
                <w:szCs w:val="24"/>
                <w:highlight w:val="none"/>
                <w:lang w:val="en-US" w:eastAsia="zh-CN"/>
              </w:rPr>
              <w:t>。</w:t>
            </w:r>
          </w:p>
          <w:p w14:paraId="26A789CC">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snapToGrid w:val="0"/>
                <w:color w:val="auto"/>
                <w:kern w:val="0"/>
                <w:sz w:val="21"/>
                <w:szCs w:val="21"/>
                <w:lang w:eastAsia="zh-CN"/>
              </w:rPr>
              <w:t>表</w:t>
            </w:r>
            <w:r>
              <w:rPr>
                <w:rFonts w:hint="default" w:ascii="Times New Roman" w:hAnsi="Times New Roman" w:cs="Times New Roman"/>
                <w:b/>
                <w:bCs w:val="0"/>
                <w:snapToGrid w:val="0"/>
                <w:color w:val="auto"/>
                <w:kern w:val="0"/>
                <w:sz w:val="21"/>
                <w:szCs w:val="21"/>
                <w:lang w:val="en-US" w:eastAsia="zh-CN"/>
              </w:rPr>
              <w:t xml:space="preserve">1-3   </w:t>
            </w:r>
            <w:r>
              <w:rPr>
                <w:rFonts w:hint="default" w:ascii="Times New Roman" w:hAnsi="Times New Roman" w:eastAsia="宋体" w:cs="Times New Roman"/>
                <w:b/>
                <w:bCs w:val="0"/>
                <w:snapToGrid w:val="0"/>
                <w:color w:val="auto"/>
                <w:kern w:val="0"/>
                <w:sz w:val="21"/>
                <w:szCs w:val="21"/>
                <w:lang w:val="en-US" w:eastAsia="zh-CN"/>
              </w:rPr>
              <w:t>与《巴音郭楞蒙古自治州生态环境准入清单》的符合性分析</w:t>
            </w:r>
          </w:p>
          <w:tbl>
            <w:tblPr>
              <w:tblStyle w:val="30"/>
              <w:tblW w:w="48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5"/>
              <w:gridCol w:w="3426"/>
              <w:gridCol w:w="1678"/>
              <w:gridCol w:w="596"/>
            </w:tblGrid>
            <w:tr w14:paraId="02B8E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tcBorders>
                    <w:tl2br w:val="nil"/>
                    <w:tr2bl w:val="nil"/>
                  </w:tcBorders>
                  <w:noWrap w:val="0"/>
                  <w:vAlign w:val="center"/>
                </w:tcPr>
                <w:p w14:paraId="165ECDD4">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b w:val="0"/>
                      <w:bCs/>
                      <w:snapToGrid w:val="0"/>
                      <w:color w:val="auto"/>
                      <w:kern w:val="0"/>
                      <w:sz w:val="21"/>
                      <w:szCs w:val="21"/>
                      <w:vertAlign w:val="baseline"/>
                      <w:lang w:val="en-US" w:eastAsia="zh-CN"/>
                    </w:rPr>
                    <w:t>环境管控单元编码</w:t>
                  </w:r>
                </w:p>
              </w:tc>
              <w:tc>
                <w:tcPr>
                  <w:tcW w:w="2829" w:type="pct"/>
                  <w:gridSpan w:val="2"/>
                  <w:tcBorders>
                    <w:tl2br w:val="nil"/>
                    <w:tr2bl w:val="nil"/>
                  </w:tcBorders>
                  <w:noWrap w:val="0"/>
                  <w:vAlign w:val="center"/>
                </w:tcPr>
                <w:p w14:paraId="7A76CA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管控要求</w:t>
                  </w:r>
                </w:p>
              </w:tc>
              <w:tc>
                <w:tcPr>
                  <w:tcW w:w="1201" w:type="pct"/>
                  <w:tcBorders>
                    <w:tl2br w:val="nil"/>
                    <w:tr2bl w:val="nil"/>
                  </w:tcBorders>
                  <w:noWrap w:val="0"/>
                  <w:vAlign w:val="center"/>
                </w:tcPr>
                <w:p w14:paraId="5E6ED9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本项目</w:t>
                  </w:r>
                </w:p>
              </w:tc>
              <w:tc>
                <w:tcPr>
                  <w:tcW w:w="427" w:type="pct"/>
                  <w:tcBorders>
                    <w:tl2br w:val="nil"/>
                    <w:tr2bl w:val="nil"/>
                  </w:tcBorders>
                  <w:noWrap w:val="0"/>
                  <w:vAlign w:val="center"/>
                </w:tcPr>
                <w:p w14:paraId="298AEA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符合性</w:t>
                  </w:r>
                </w:p>
              </w:tc>
            </w:tr>
            <w:tr w14:paraId="454C8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restart"/>
                  <w:tcBorders>
                    <w:tl2br w:val="nil"/>
                    <w:tr2bl w:val="nil"/>
                  </w:tcBorders>
                  <w:noWrap w:val="0"/>
                  <w:vAlign w:val="center"/>
                </w:tcPr>
                <w:p w14:paraId="43CEDD8F">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cs="Times New Roman"/>
                      <w:color w:val="auto"/>
                      <w:sz w:val="21"/>
                      <w:szCs w:val="21"/>
                      <w:highlight w:val="none"/>
                      <w:lang w:val="en-US" w:eastAsia="zh-CN"/>
                    </w:rPr>
                    <w:t>ZH65280120013</w:t>
                  </w:r>
                </w:p>
              </w:tc>
              <w:tc>
                <w:tcPr>
                  <w:tcW w:w="375" w:type="pct"/>
                  <w:vMerge w:val="restart"/>
                  <w:tcBorders>
                    <w:tl2br w:val="nil"/>
                    <w:tr2bl w:val="nil"/>
                  </w:tcBorders>
                  <w:noWrap w:val="0"/>
                  <w:vAlign w:val="center"/>
                </w:tcPr>
                <w:p w14:paraId="046B8F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空间布局约束</w:t>
                  </w:r>
                </w:p>
              </w:tc>
              <w:tc>
                <w:tcPr>
                  <w:tcW w:w="2454" w:type="pct"/>
                  <w:tcBorders>
                    <w:tl2br w:val="nil"/>
                    <w:tr2bl w:val="nil"/>
                  </w:tcBorders>
                  <w:noWrap w:val="0"/>
                  <w:vAlign w:val="center"/>
                </w:tcPr>
                <w:p w14:paraId="5304EF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snapToGrid w:val="0"/>
                      <w:color w:val="auto"/>
                      <w:spacing w:val="0"/>
                      <w:kern w:val="0"/>
                      <w:sz w:val="21"/>
                      <w:szCs w:val="21"/>
                      <w:vertAlign w:val="baseline"/>
                      <w:lang w:val="en-US" w:eastAsia="zh-CN"/>
                    </w:rPr>
                    <w:t>1.建设项目用地原则上不得占用基本农田，确需占用基本农田的建设项目须符合《中华人民共和国基本农田保护条例》中相关要求，占用耕地、林地或草地的建设项目须按照国家、自治区相关补偿要求进行补偿。</w:t>
                  </w:r>
                </w:p>
              </w:tc>
              <w:tc>
                <w:tcPr>
                  <w:tcW w:w="1201" w:type="pct"/>
                  <w:tcBorders>
                    <w:tl2br w:val="nil"/>
                    <w:tr2bl w:val="nil"/>
                  </w:tcBorders>
                  <w:noWrap w:val="0"/>
                  <w:vAlign w:val="center"/>
                </w:tcPr>
                <w:p w14:paraId="7BA8D808">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本项目不占用基本农田。</w:t>
                  </w:r>
                </w:p>
              </w:tc>
              <w:tc>
                <w:tcPr>
                  <w:tcW w:w="427" w:type="pct"/>
                  <w:tcBorders>
                    <w:tl2br w:val="nil"/>
                    <w:tr2bl w:val="nil"/>
                  </w:tcBorders>
                  <w:noWrap w:val="0"/>
                  <w:vAlign w:val="center"/>
                </w:tcPr>
                <w:p w14:paraId="5034EA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符合</w:t>
                  </w:r>
                </w:p>
              </w:tc>
            </w:tr>
            <w:tr w14:paraId="7BCC8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continue"/>
                  <w:tcBorders>
                    <w:tl2br w:val="nil"/>
                    <w:tr2bl w:val="nil"/>
                  </w:tcBorders>
                  <w:noWrap w:val="0"/>
                  <w:vAlign w:val="center"/>
                </w:tcPr>
                <w:p w14:paraId="2862DB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rPr>
                  </w:pPr>
                </w:p>
              </w:tc>
              <w:tc>
                <w:tcPr>
                  <w:tcW w:w="375" w:type="pct"/>
                  <w:vMerge w:val="continue"/>
                  <w:tcBorders>
                    <w:tl2br w:val="nil"/>
                    <w:tr2bl w:val="nil"/>
                  </w:tcBorders>
                  <w:noWrap w:val="0"/>
                  <w:vAlign w:val="center"/>
                </w:tcPr>
                <w:p w14:paraId="0A8CFC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319AA0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tc>
              <w:tc>
                <w:tcPr>
                  <w:tcW w:w="1201" w:type="pct"/>
                  <w:tcBorders>
                    <w:tl2br w:val="nil"/>
                    <w:tr2bl w:val="nil"/>
                  </w:tcBorders>
                  <w:noWrap w:val="0"/>
                  <w:vAlign w:val="center"/>
                </w:tcPr>
                <w:p w14:paraId="65A19C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本项目不涉及。</w:t>
                  </w:r>
                </w:p>
              </w:tc>
              <w:tc>
                <w:tcPr>
                  <w:tcW w:w="427" w:type="pct"/>
                  <w:tcBorders>
                    <w:tl2br w:val="nil"/>
                    <w:tr2bl w:val="nil"/>
                  </w:tcBorders>
                  <w:noWrap w:val="0"/>
                  <w:vAlign w:val="center"/>
                </w:tcPr>
                <w:p w14:paraId="0EBE5D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符合</w:t>
                  </w:r>
                </w:p>
              </w:tc>
            </w:tr>
            <w:tr w14:paraId="06A42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continue"/>
                  <w:tcBorders>
                    <w:tl2br w:val="nil"/>
                    <w:tr2bl w:val="nil"/>
                  </w:tcBorders>
                  <w:noWrap w:val="0"/>
                  <w:vAlign w:val="center"/>
                </w:tcPr>
                <w:p w14:paraId="334B4C7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613264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08BC03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3.永久基本农田集中区域禁止规划新建可能造成土壤污染的建设项目。涉及有毒有害物质可能造成土壤污染的新</w:t>
                  </w:r>
                  <w:r>
                    <w:rPr>
                      <w:rFonts w:hint="default" w:ascii="Times New Roman" w:hAnsi="Times New Roman" w:cs="Times New Roman"/>
                      <w:snapToGrid w:val="0"/>
                      <w:color w:val="auto"/>
                      <w:spacing w:val="0"/>
                      <w:kern w:val="0"/>
                      <w:sz w:val="21"/>
                      <w:szCs w:val="21"/>
                      <w:vertAlign w:val="baseline"/>
                      <w:lang w:val="en-US" w:eastAsia="zh-CN"/>
                    </w:rPr>
                    <w:t>（</w:t>
                  </w:r>
                  <w:r>
                    <w:rPr>
                      <w:rFonts w:hint="default" w:ascii="Times New Roman" w:hAnsi="Times New Roman" w:eastAsia="宋体" w:cs="Times New Roman"/>
                      <w:snapToGrid w:val="0"/>
                      <w:color w:val="auto"/>
                      <w:spacing w:val="0"/>
                      <w:kern w:val="0"/>
                      <w:sz w:val="21"/>
                      <w:szCs w:val="21"/>
                      <w:vertAlign w:val="baseline"/>
                      <w:lang w:val="en-US" w:eastAsia="zh-CN"/>
                    </w:rPr>
                    <w:t>改、扩</w:t>
                  </w:r>
                  <w:r>
                    <w:rPr>
                      <w:rFonts w:hint="default" w:ascii="Times New Roman" w:hAnsi="Times New Roman" w:cs="Times New Roman"/>
                      <w:snapToGrid w:val="0"/>
                      <w:color w:val="auto"/>
                      <w:spacing w:val="0"/>
                      <w:kern w:val="0"/>
                      <w:sz w:val="21"/>
                      <w:szCs w:val="21"/>
                      <w:vertAlign w:val="baseline"/>
                      <w:lang w:val="en-US" w:eastAsia="zh-CN"/>
                    </w:rPr>
                    <w:t>）</w:t>
                  </w:r>
                  <w:r>
                    <w:rPr>
                      <w:rFonts w:hint="default" w:ascii="Times New Roman" w:hAnsi="Times New Roman" w:eastAsia="宋体" w:cs="Times New Roman"/>
                      <w:snapToGrid w:val="0"/>
                      <w:color w:val="auto"/>
                      <w:spacing w:val="0"/>
                      <w:kern w:val="0"/>
                      <w:sz w:val="21"/>
                      <w:szCs w:val="21"/>
                      <w:vertAlign w:val="baseline"/>
                      <w:lang w:val="en-US" w:eastAsia="zh-CN"/>
                    </w:rPr>
                    <w:t>建项目，提出并落实土壤和地下水污染防治要求</w:t>
                  </w:r>
                  <w:r>
                    <w:rPr>
                      <w:rFonts w:hint="default" w:ascii="Times New Roman" w:hAnsi="Times New Roman" w:cs="Times New Roman"/>
                      <w:snapToGrid w:val="0"/>
                      <w:color w:val="auto"/>
                      <w:spacing w:val="0"/>
                      <w:kern w:val="0"/>
                      <w:sz w:val="21"/>
                      <w:szCs w:val="21"/>
                      <w:vertAlign w:val="baseline"/>
                      <w:lang w:val="en-US" w:eastAsia="zh-CN"/>
                    </w:rPr>
                    <w:t>。</w:t>
                  </w:r>
                </w:p>
              </w:tc>
              <w:tc>
                <w:tcPr>
                  <w:tcW w:w="1201" w:type="pct"/>
                  <w:tcBorders>
                    <w:tl2br w:val="nil"/>
                    <w:tr2bl w:val="nil"/>
                  </w:tcBorders>
                  <w:noWrap w:val="0"/>
                  <w:vAlign w:val="center"/>
                </w:tcPr>
                <w:p w14:paraId="02C27B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本项目不占用基本农田。</w:t>
                  </w:r>
                </w:p>
              </w:tc>
              <w:tc>
                <w:tcPr>
                  <w:tcW w:w="427" w:type="pct"/>
                  <w:tcBorders>
                    <w:tl2br w:val="nil"/>
                    <w:tr2bl w:val="nil"/>
                  </w:tcBorders>
                  <w:noWrap w:val="0"/>
                  <w:vAlign w:val="center"/>
                </w:tcPr>
                <w:p w14:paraId="08622F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符合</w:t>
                  </w:r>
                </w:p>
              </w:tc>
            </w:tr>
            <w:tr w14:paraId="3A713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continue"/>
                  <w:tcBorders>
                    <w:tl2br w:val="nil"/>
                    <w:tr2bl w:val="nil"/>
                  </w:tcBorders>
                  <w:noWrap w:val="0"/>
                  <w:vAlign w:val="center"/>
                </w:tcPr>
                <w:p w14:paraId="4809F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74BE22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0249AF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4.严格执行畜禽养殖禁养区规定，根据区域用地和消纳水平，合理确定养殖规模。</w:t>
                  </w:r>
                </w:p>
              </w:tc>
              <w:tc>
                <w:tcPr>
                  <w:tcW w:w="1201" w:type="pct"/>
                  <w:tcBorders>
                    <w:tl2br w:val="nil"/>
                    <w:tr2bl w:val="nil"/>
                  </w:tcBorders>
                  <w:noWrap w:val="0"/>
                  <w:vAlign w:val="center"/>
                </w:tcPr>
                <w:p w14:paraId="37E9BA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本项目不涉及。</w:t>
                  </w:r>
                </w:p>
              </w:tc>
              <w:tc>
                <w:tcPr>
                  <w:tcW w:w="427" w:type="pct"/>
                  <w:tcBorders>
                    <w:tl2br w:val="nil"/>
                    <w:tr2bl w:val="nil"/>
                  </w:tcBorders>
                  <w:noWrap w:val="0"/>
                  <w:vAlign w:val="center"/>
                </w:tcPr>
                <w:p w14:paraId="67A24E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cs="Times New Roman"/>
                      <w:snapToGrid w:val="0"/>
                      <w:color w:val="auto"/>
                      <w:spacing w:val="0"/>
                      <w:kern w:val="0"/>
                      <w:sz w:val="21"/>
                      <w:szCs w:val="21"/>
                      <w:vertAlign w:val="baseline"/>
                      <w:lang w:val="en-US" w:eastAsia="zh-CN"/>
                    </w:rPr>
                    <w:t>符合</w:t>
                  </w:r>
                </w:p>
              </w:tc>
            </w:tr>
            <w:tr w14:paraId="433CE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continue"/>
                  <w:tcBorders>
                    <w:tl2br w:val="nil"/>
                    <w:tr2bl w:val="nil"/>
                  </w:tcBorders>
                  <w:noWrap w:val="0"/>
                  <w:vAlign w:val="center"/>
                </w:tcPr>
                <w:p w14:paraId="3ED7850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311398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6CD6B9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5.禁止向沙漠、滩涂、盐碱地、沼泽地等非法排污、倾倒有毒有害物质。</w:t>
                  </w:r>
                </w:p>
              </w:tc>
              <w:tc>
                <w:tcPr>
                  <w:tcW w:w="1201" w:type="pct"/>
                  <w:tcBorders>
                    <w:tl2br w:val="nil"/>
                    <w:tr2bl w:val="nil"/>
                  </w:tcBorders>
                  <w:noWrap w:val="0"/>
                  <w:vAlign w:val="center"/>
                </w:tcPr>
                <w:p w14:paraId="232294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本项目不涉及有毒有害物质。</w:t>
                  </w:r>
                </w:p>
              </w:tc>
              <w:tc>
                <w:tcPr>
                  <w:tcW w:w="427" w:type="pct"/>
                  <w:tcBorders>
                    <w:tl2br w:val="nil"/>
                    <w:tr2bl w:val="nil"/>
                  </w:tcBorders>
                  <w:noWrap w:val="0"/>
                  <w:vAlign w:val="center"/>
                </w:tcPr>
                <w:p w14:paraId="3AEF71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7195D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41" w:type="pct"/>
                  <w:vMerge w:val="continue"/>
                  <w:tcBorders>
                    <w:tl2br w:val="nil"/>
                    <w:tr2bl w:val="nil"/>
                  </w:tcBorders>
                  <w:noWrap w:val="0"/>
                  <w:vAlign w:val="center"/>
                </w:tcPr>
                <w:p w14:paraId="1DACB3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0D07B8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2454" w:type="pct"/>
                  <w:tcBorders>
                    <w:tl2br w:val="nil"/>
                    <w:tr2bl w:val="nil"/>
                  </w:tcBorders>
                  <w:noWrap w:val="0"/>
                  <w:vAlign w:val="center"/>
                </w:tcPr>
                <w:p w14:paraId="20F653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6.禁止利用渗坑、裂隙、溶洞或者采用稀释等方法处置危险废物。</w:t>
                  </w:r>
                </w:p>
              </w:tc>
              <w:tc>
                <w:tcPr>
                  <w:tcW w:w="1201" w:type="pct"/>
                  <w:tcBorders>
                    <w:tl2br w:val="nil"/>
                    <w:tr2bl w:val="nil"/>
                  </w:tcBorders>
                  <w:noWrap w:val="0"/>
                  <w:vAlign w:val="center"/>
                </w:tcPr>
                <w:p w14:paraId="4ADBCA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w:t>
                  </w: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危险废物储存在危废暂存间，委托有资质的单位统一处理</w:t>
                  </w: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w:t>
                  </w:r>
                </w:p>
              </w:tc>
              <w:tc>
                <w:tcPr>
                  <w:tcW w:w="427" w:type="pct"/>
                  <w:tcBorders>
                    <w:tl2br w:val="nil"/>
                    <w:tr2bl w:val="nil"/>
                  </w:tcBorders>
                  <w:noWrap w:val="0"/>
                  <w:vAlign w:val="center"/>
                </w:tcPr>
                <w:p w14:paraId="7C0B14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01F28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41" w:type="pct"/>
                  <w:vMerge w:val="continue"/>
                  <w:tcBorders>
                    <w:tl2br w:val="nil"/>
                    <w:tr2bl w:val="nil"/>
                  </w:tcBorders>
                  <w:noWrap w:val="0"/>
                  <w:vAlign w:val="center"/>
                </w:tcPr>
                <w:p w14:paraId="00AB6A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restart"/>
                  <w:tcBorders>
                    <w:tl2br w:val="nil"/>
                    <w:tr2bl w:val="nil"/>
                  </w:tcBorders>
                  <w:noWrap w:val="0"/>
                  <w:vAlign w:val="center"/>
                </w:tcPr>
                <w:p w14:paraId="2A2BEA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污染物排放管控</w:t>
                  </w:r>
                </w:p>
              </w:tc>
              <w:tc>
                <w:tcPr>
                  <w:tcW w:w="2454" w:type="pct"/>
                  <w:tcBorders>
                    <w:tl2br w:val="nil"/>
                    <w:tr2bl w:val="nil"/>
                  </w:tcBorders>
                  <w:noWrap w:val="0"/>
                  <w:vAlign w:val="center"/>
                </w:tcPr>
                <w:p w14:paraId="62A3DEE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1.强化畜禽粪污资源化利用，改善养殖场通风环境，提高畜禽粪污综合利用率，减少氨挥发排放。鼓励和支持散养密集区实行畜禽粪污分户收集、集中处理。</w:t>
                  </w:r>
                </w:p>
              </w:tc>
              <w:tc>
                <w:tcPr>
                  <w:tcW w:w="1201" w:type="pct"/>
                  <w:tcBorders>
                    <w:tl2br w:val="nil"/>
                    <w:tr2bl w:val="nil"/>
                  </w:tcBorders>
                  <w:noWrap w:val="0"/>
                  <w:vAlign w:val="center"/>
                </w:tcPr>
                <w:p w14:paraId="08A30183">
                  <w:pPr>
                    <w:pStyle w:val="9"/>
                    <w:keepNext w:val="0"/>
                    <w:keepLines w:val="0"/>
                    <w:pageBreakBefore w:val="0"/>
                    <w:kinsoku/>
                    <w:wordWrap/>
                    <w:overflowPunct/>
                    <w:topLinePunct w:val="0"/>
                    <w:autoSpaceDE/>
                    <w:autoSpaceDN/>
                    <w:bidi w:val="0"/>
                    <w:adjustRightInd w:val="0"/>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snapToGrid w:val="0"/>
                      <w:color w:val="auto"/>
                      <w:spacing w:val="0"/>
                      <w:kern w:val="0"/>
                      <w:sz w:val="21"/>
                      <w:szCs w:val="21"/>
                      <w:vertAlign w:val="baseline"/>
                      <w:lang w:val="en-US" w:eastAsia="zh-CN"/>
                    </w:rPr>
                    <w:t>本项目不涉及。</w:t>
                  </w:r>
                </w:p>
              </w:tc>
              <w:tc>
                <w:tcPr>
                  <w:tcW w:w="427" w:type="pct"/>
                  <w:tcBorders>
                    <w:tl2br w:val="nil"/>
                    <w:tr2bl w:val="nil"/>
                  </w:tcBorders>
                  <w:noWrap w:val="0"/>
                  <w:vAlign w:val="center"/>
                </w:tcPr>
                <w:p w14:paraId="49E599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6C655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41" w:type="pct"/>
                  <w:vMerge w:val="continue"/>
                  <w:tcBorders>
                    <w:tl2br w:val="nil"/>
                    <w:tr2bl w:val="nil"/>
                  </w:tcBorders>
                  <w:noWrap w:val="0"/>
                  <w:vAlign w:val="center"/>
                </w:tcPr>
                <w:p w14:paraId="4CC880B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rPr>
                  </w:pPr>
                </w:p>
              </w:tc>
              <w:tc>
                <w:tcPr>
                  <w:tcW w:w="375" w:type="pct"/>
                  <w:vMerge w:val="continue"/>
                  <w:tcBorders>
                    <w:tl2br w:val="nil"/>
                    <w:tr2bl w:val="nil"/>
                  </w:tcBorders>
                  <w:noWrap w:val="0"/>
                  <w:vAlign w:val="center"/>
                </w:tcPr>
                <w:p w14:paraId="240D289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rPr>
                  </w:pPr>
                </w:p>
              </w:tc>
              <w:tc>
                <w:tcPr>
                  <w:tcW w:w="2454" w:type="pct"/>
                  <w:tcBorders>
                    <w:tl2br w:val="nil"/>
                    <w:tr2bl w:val="nil"/>
                  </w:tcBorders>
                  <w:noWrap w:val="0"/>
                  <w:vAlign w:val="center"/>
                </w:tcPr>
                <w:p w14:paraId="058526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2.严格控制林地、草地、园地农药使用量，禁止使用高毒、高残留农药。</w:t>
                  </w:r>
                </w:p>
              </w:tc>
              <w:tc>
                <w:tcPr>
                  <w:tcW w:w="1201" w:type="pct"/>
                  <w:tcBorders>
                    <w:tl2br w:val="nil"/>
                    <w:tr2bl w:val="nil"/>
                  </w:tcBorders>
                  <w:noWrap w:val="0"/>
                  <w:vAlign w:val="center"/>
                </w:tcPr>
                <w:p w14:paraId="721EAD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427" w:type="pct"/>
                  <w:tcBorders>
                    <w:tl2br w:val="nil"/>
                    <w:tr2bl w:val="nil"/>
                  </w:tcBorders>
                  <w:noWrap w:val="0"/>
                  <w:vAlign w:val="center"/>
                </w:tcPr>
                <w:p w14:paraId="0F19B2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1408E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41" w:type="pct"/>
                  <w:vMerge w:val="continue"/>
                  <w:tcBorders>
                    <w:tl2br w:val="nil"/>
                    <w:tr2bl w:val="nil"/>
                  </w:tcBorders>
                  <w:noWrap w:val="0"/>
                  <w:vAlign w:val="center"/>
                </w:tcPr>
                <w:p w14:paraId="2ECDE9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p>
              </w:tc>
              <w:tc>
                <w:tcPr>
                  <w:tcW w:w="375" w:type="pct"/>
                  <w:vMerge w:val="continue"/>
                  <w:tcBorders>
                    <w:tl2br w:val="nil"/>
                    <w:tr2bl w:val="nil"/>
                  </w:tcBorders>
                  <w:noWrap w:val="0"/>
                  <w:vAlign w:val="center"/>
                </w:tcPr>
                <w:p w14:paraId="77EC0C7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p>
              </w:tc>
              <w:tc>
                <w:tcPr>
                  <w:tcW w:w="2454" w:type="pct"/>
                  <w:tcBorders>
                    <w:tl2br w:val="nil"/>
                    <w:tr2bl w:val="nil"/>
                  </w:tcBorders>
                  <w:noWrap w:val="0"/>
                  <w:vAlign w:val="center"/>
                </w:tcPr>
                <w:p w14:paraId="311101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201" w:type="pct"/>
                  <w:tcBorders>
                    <w:tl2br w:val="nil"/>
                    <w:tr2bl w:val="nil"/>
                  </w:tcBorders>
                  <w:noWrap w:val="0"/>
                  <w:vAlign w:val="center"/>
                </w:tcPr>
                <w:p w14:paraId="48D911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427" w:type="pct"/>
                  <w:tcBorders>
                    <w:tl2br w:val="nil"/>
                    <w:tr2bl w:val="nil"/>
                  </w:tcBorders>
                  <w:noWrap w:val="0"/>
                  <w:vAlign w:val="center"/>
                </w:tcPr>
                <w:p w14:paraId="0B7599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6354D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41" w:type="pct"/>
                  <w:vMerge w:val="continue"/>
                  <w:tcBorders>
                    <w:tl2br w:val="nil"/>
                    <w:tr2bl w:val="nil"/>
                  </w:tcBorders>
                  <w:noWrap w:val="0"/>
                  <w:vAlign w:val="center"/>
                </w:tcPr>
                <w:p w14:paraId="731170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675460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2454" w:type="pct"/>
                  <w:tcBorders>
                    <w:tl2br w:val="nil"/>
                    <w:tr2bl w:val="nil"/>
                  </w:tcBorders>
                  <w:noWrap w:val="0"/>
                  <w:vAlign w:val="center"/>
                </w:tcPr>
                <w:p w14:paraId="70DB45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4.对化学品生产企业、工业集聚区、尾矿库、矿山开采区、危险废物处置场、垃圾填埋场等地下水污染源及周边区域，逐步开展地下水环境状况调查评估，加强风险管控。</w:t>
                  </w:r>
                </w:p>
              </w:tc>
              <w:tc>
                <w:tcPr>
                  <w:tcW w:w="1201" w:type="pct"/>
                  <w:tcBorders>
                    <w:tl2br w:val="nil"/>
                    <w:tr2bl w:val="nil"/>
                  </w:tcBorders>
                  <w:noWrap w:val="0"/>
                  <w:vAlign w:val="center"/>
                </w:tcPr>
                <w:p w14:paraId="2BAC7A59">
                  <w:pPr>
                    <w:ind w:left="0" w:leftChars="0" w:firstLine="0" w:firstLineChars="0"/>
                    <w:jc w:val="both"/>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427" w:type="pct"/>
                  <w:tcBorders>
                    <w:tl2br w:val="nil"/>
                    <w:tr2bl w:val="nil"/>
                  </w:tcBorders>
                  <w:noWrap w:val="0"/>
                  <w:vAlign w:val="center"/>
                </w:tcPr>
                <w:p w14:paraId="2411D9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4BAAC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41" w:type="pct"/>
                  <w:vMerge w:val="continue"/>
                  <w:tcBorders>
                    <w:tl2br w:val="nil"/>
                    <w:tr2bl w:val="nil"/>
                  </w:tcBorders>
                  <w:noWrap w:val="0"/>
                  <w:vAlign w:val="center"/>
                </w:tcPr>
                <w:p w14:paraId="0B0F25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rPr>
                  </w:pPr>
                </w:p>
              </w:tc>
              <w:tc>
                <w:tcPr>
                  <w:tcW w:w="375" w:type="pct"/>
                  <w:vMerge w:val="continue"/>
                  <w:tcBorders>
                    <w:tl2br w:val="nil"/>
                    <w:tr2bl w:val="nil"/>
                  </w:tcBorders>
                  <w:noWrap w:val="0"/>
                  <w:vAlign w:val="center"/>
                </w:tcPr>
                <w:p w14:paraId="124CA1F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rPr>
                  </w:pPr>
                </w:p>
              </w:tc>
              <w:tc>
                <w:tcPr>
                  <w:tcW w:w="2454" w:type="pct"/>
                  <w:tcBorders>
                    <w:tl2br w:val="nil"/>
                    <w:tr2bl w:val="nil"/>
                  </w:tcBorders>
                  <w:noWrap w:val="0"/>
                  <w:vAlign w:val="center"/>
                </w:tcPr>
                <w:p w14:paraId="3398B4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5.严控土壤重金属污染，加强油（气）田开发土壤污染防治，以历史遗留工业企业污染场地为重点，开展土壤污染风险管控与修复工程。</w:t>
                  </w:r>
                </w:p>
              </w:tc>
              <w:tc>
                <w:tcPr>
                  <w:tcW w:w="1201" w:type="pct"/>
                  <w:tcBorders>
                    <w:tl2br w:val="nil"/>
                    <w:tr2bl w:val="nil"/>
                  </w:tcBorders>
                  <w:noWrap w:val="0"/>
                  <w:vAlign w:val="center"/>
                </w:tcPr>
                <w:p w14:paraId="0094E2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本项目污染物不属于土壤重金属污染物，项目区采取防渗措施。</w:t>
                  </w:r>
                </w:p>
              </w:tc>
              <w:tc>
                <w:tcPr>
                  <w:tcW w:w="427" w:type="pct"/>
                  <w:tcBorders>
                    <w:tl2br w:val="nil"/>
                    <w:tr2bl w:val="nil"/>
                  </w:tcBorders>
                  <w:noWrap w:val="0"/>
                  <w:vAlign w:val="center"/>
                </w:tcPr>
                <w:p w14:paraId="2752B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5D5F6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41" w:type="pct"/>
                  <w:vMerge w:val="continue"/>
                  <w:tcBorders>
                    <w:tl2br w:val="nil"/>
                    <w:tr2bl w:val="nil"/>
                  </w:tcBorders>
                  <w:noWrap w:val="0"/>
                  <w:vAlign w:val="center"/>
                </w:tcPr>
                <w:p w14:paraId="72FE43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p>
              </w:tc>
              <w:tc>
                <w:tcPr>
                  <w:tcW w:w="375" w:type="pct"/>
                  <w:vMerge w:val="continue"/>
                  <w:tcBorders>
                    <w:tl2br w:val="nil"/>
                    <w:tr2bl w:val="nil"/>
                  </w:tcBorders>
                  <w:noWrap w:val="0"/>
                  <w:vAlign w:val="center"/>
                </w:tcPr>
                <w:p w14:paraId="276806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FF0000"/>
                      <w:sz w:val="21"/>
                      <w:szCs w:val="21"/>
                      <w:lang w:val="en-US" w:eastAsia="zh-CN"/>
                    </w:rPr>
                  </w:pPr>
                </w:p>
              </w:tc>
              <w:tc>
                <w:tcPr>
                  <w:tcW w:w="2454" w:type="pct"/>
                  <w:tcBorders>
                    <w:tl2br w:val="nil"/>
                    <w:tr2bl w:val="nil"/>
                  </w:tcBorders>
                  <w:noWrap w:val="0"/>
                  <w:vAlign w:val="center"/>
                </w:tcPr>
                <w:p w14:paraId="1BA99F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201" w:type="pct"/>
                  <w:tcBorders>
                    <w:tl2br w:val="nil"/>
                    <w:tr2bl w:val="nil"/>
                  </w:tcBorders>
                  <w:noWrap w:val="0"/>
                  <w:vAlign w:val="center"/>
                </w:tcPr>
                <w:p w14:paraId="15E29A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本项目不涉及。</w:t>
                  </w:r>
                </w:p>
              </w:tc>
              <w:tc>
                <w:tcPr>
                  <w:tcW w:w="427" w:type="pct"/>
                  <w:tcBorders>
                    <w:tl2br w:val="nil"/>
                    <w:tr2bl w:val="nil"/>
                  </w:tcBorders>
                  <w:noWrap w:val="0"/>
                  <w:vAlign w:val="center"/>
                </w:tcPr>
                <w:p w14:paraId="6679A3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5DE53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vMerge w:val="continue"/>
                  <w:tcBorders>
                    <w:tl2br w:val="nil"/>
                    <w:tr2bl w:val="nil"/>
                  </w:tcBorders>
                  <w:noWrap w:val="0"/>
                  <w:vAlign w:val="center"/>
                </w:tcPr>
                <w:p w14:paraId="174371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restart"/>
                  <w:tcBorders>
                    <w:tl2br w:val="nil"/>
                    <w:tr2bl w:val="nil"/>
                  </w:tcBorders>
                  <w:noWrap w:val="0"/>
                  <w:vAlign w:val="center"/>
                </w:tcPr>
                <w:p w14:paraId="2C747D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环境风险防控</w:t>
                  </w:r>
                </w:p>
              </w:tc>
              <w:tc>
                <w:tcPr>
                  <w:tcW w:w="2454" w:type="pct"/>
                  <w:tcBorders>
                    <w:tl2br w:val="nil"/>
                    <w:tr2bl w:val="nil"/>
                  </w:tcBorders>
                  <w:noWrap w:val="0"/>
                  <w:vAlign w:val="center"/>
                </w:tcPr>
                <w:p w14:paraId="6A943A53">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1.加强对矿山、油田等矿产资源开采影响区域内未利用地的环境监管，发现土壤污染问题的，要坚决查处，并及时督促有关单位采取有效防治措施消除或减轻污染。</w:t>
                  </w:r>
                </w:p>
              </w:tc>
              <w:tc>
                <w:tcPr>
                  <w:tcW w:w="1201" w:type="pct"/>
                  <w:tcBorders>
                    <w:tl2br w:val="nil"/>
                    <w:tr2bl w:val="nil"/>
                  </w:tcBorders>
                  <w:noWrap w:val="0"/>
                  <w:vAlign w:val="center"/>
                </w:tcPr>
                <w:p w14:paraId="322079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w:t>
                  </w: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矿山、油田等矿产资源开采。</w:t>
                  </w:r>
                </w:p>
              </w:tc>
              <w:tc>
                <w:tcPr>
                  <w:tcW w:w="427" w:type="pct"/>
                  <w:tcBorders>
                    <w:tl2br w:val="nil"/>
                    <w:tr2bl w:val="nil"/>
                  </w:tcBorders>
                  <w:noWrap w:val="0"/>
                  <w:vAlign w:val="center"/>
                </w:tcPr>
                <w:p w14:paraId="7EE0F0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04C1A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41" w:type="pct"/>
                  <w:vMerge w:val="continue"/>
                  <w:tcBorders>
                    <w:tl2br w:val="nil"/>
                    <w:tr2bl w:val="nil"/>
                  </w:tcBorders>
                  <w:noWrap w:val="0"/>
                  <w:vAlign w:val="center"/>
                </w:tcPr>
                <w:p w14:paraId="262A0F7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1FEAAD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58676554">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2.对排查出的危库和病库以及风险评估有严重环境安全隐患的尾矿库，要求企业完善污染治理设施、进行治理和修复。全面整治历史遗留尾矿库，完善覆膜、压土、排洪、堤坝加固等隐患治理和闭库措施。</w:t>
                  </w:r>
                </w:p>
              </w:tc>
              <w:tc>
                <w:tcPr>
                  <w:tcW w:w="1201" w:type="pct"/>
                  <w:tcBorders>
                    <w:tl2br w:val="nil"/>
                    <w:tr2bl w:val="nil"/>
                  </w:tcBorders>
                  <w:noWrap w:val="0"/>
                  <w:vAlign w:val="center"/>
                </w:tcPr>
                <w:p w14:paraId="15C49F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w:t>
                  </w:r>
                </w:p>
              </w:tc>
              <w:tc>
                <w:tcPr>
                  <w:tcW w:w="427" w:type="pct"/>
                  <w:tcBorders>
                    <w:tl2br w:val="nil"/>
                    <w:tr2bl w:val="nil"/>
                  </w:tcBorders>
                  <w:noWrap w:val="0"/>
                  <w:vAlign w:val="center"/>
                </w:tcPr>
                <w:p w14:paraId="797DEA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485D0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41" w:type="pct"/>
                  <w:vMerge w:val="continue"/>
                  <w:tcBorders>
                    <w:tl2br w:val="nil"/>
                    <w:tr2bl w:val="nil"/>
                  </w:tcBorders>
                  <w:noWrap w:val="0"/>
                  <w:vAlign w:val="center"/>
                </w:tcPr>
                <w:p w14:paraId="39D05B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rPr>
                  </w:pPr>
                </w:p>
              </w:tc>
              <w:tc>
                <w:tcPr>
                  <w:tcW w:w="375" w:type="pct"/>
                  <w:vMerge w:val="continue"/>
                  <w:tcBorders>
                    <w:tl2br w:val="nil"/>
                    <w:tr2bl w:val="nil"/>
                  </w:tcBorders>
                  <w:noWrap w:val="0"/>
                  <w:vAlign w:val="center"/>
                </w:tcPr>
                <w:p w14:paraId="1162407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rPr>
                  </w:pPr>
                </w:p>
              </w:tc>
              <w:tc>
                <w:tcPr>
                  <w:tcW w:w="2454" w:type="pct"/>
                  <w:tcBorders>
                    <w:tl2br w:val="nil"/>
                    <w:tr2bl w:val="nil"/>
                  </w:tcBorders>
                  <w:noWrap w:val="0"/>
                  <w:vAlign w:val="center"/>
                </w:tcPr>
                <w:p w14:paraId="2CB146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3.依法推行农用地分类管理制度，强化受污染耕地安全利用和风险管控。因地制宜制定实施安全利用方案，鼓励采取种植结构调整等措施，确保受污染耕地全部实现安全利用。</w:t>
                  </w:r>
                </w:p>
              </w:tc>
              <w:tc>
                <w:tcPr>
                  <w:tcW w:w="1201" w:type="pct"/>
                  <w:tcBorders>
                    <w:tl2br w:val="nil"/>
                    <w:tr2bl w:val="nil"/>
                  </w:tcBorders>
                  <w:noWrap w:val="0"/>
                  <w:vAlign w:val="center"/>
                </w:tcPr>
                <w:p w14:paraId="10A0CE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w:t>
                  </w:r>
                </w:p>
              </w:tc>
              <w:tc>
                <w:tcPr>
                  <w:tcW w:w="427" w:type="pct"/>
                  <w:tcBorders>
                    <w:tl2br w:val="nil"/>
                    <w:tr2bl w:val="nil"/>
                  </w:tcBorders>
                  <w:noWrap w:val="0"/>
                  <w:vAlign w:val="center"/>
                </w:tcPr>
                <w:p w14:paraId="651F0C8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2AA64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vMerge w:val="continue"/>
                  <w:tcBorders>
                    <w:tl2br w:val="nil"/>
                    <w:tr2bl w:val="nil"/>
                  </w:tcBorders>
                  <w:noWrap w:val="0"/>
                  <w:vAlign w:val="center"/>
                </w:tcPr>
                <w:p w14:paraId="1F4EDE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restart"/>
                  <w:tcBorders>
                    <w:tl2br w:val="nil"/>
                    <w:tr2bl w:val="nil"/>
                  </w:tcBorders>
                  <w:noWrap w:val="0"/>
                  <w:vAlign w:val="center"/>
                </w:tcPr>
                <w:p w14:paraId="2B1EBF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资源</w:t>
                  </w:r>
                  <w:r>
                    <w:rPr>
                      <w:rFonts w:hint="default" w:ascii="Times New Roman" w:hAnsi="Times New Roman" w:cs="Times New Roman"/>
                      <w:snapToGrid w:val="0"/>
                      <w:color w:val="auto"/>
                      <w:spacing w:val="0"/>
                      <w:kern w:val="0"/>
                      <w:sz w:val="21"/>
                      <w:szCs w:val="21"/>
                      <w:vertAlign w:val="baseline"/>
                      <w:lang w:val="en-US" w:eastAsia="zh-CN"/>
                    </w:rPr>
                    <w:t>利用效率</w:t>
                  </w:r>
                </w:p>
              </w:tc>
              <w:tc>
                <w:tcPr>
                  <w:tcW w:w="2454" w:type="pct"/>
                  <w:tcBorders>
                    <w:tl2br w:val="nil"/>
                    <w:tr2bl w:val="nil"/>
                  </w:tcBorders>
                  <w:noWrap w:val="0"/>
                  <w:vAlign w:val="center"/>
                </w:tcPr>
                <w:p w14:paraId="689BC8E9">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1.全面推进秸秆综合利用，鼓励秸秆资源化、饲料化、肥料化利用，推动秸秆还田与离田收集</w:t>
                  </w:r>
                  <w:r>
                    <w:rPr>
                      <w:rFonts w:hint="default" w:ascii="Times New Roman" w:hAnsi="Times New Roman" w:cs="Times New Roman"/>
                      <w:snapToGrid w:val="0"/>
                      <w:color w:val="auto"/>
                      <w:spacing w:val="0"/>
                      <w:kern w:val="0"/>
                      <w:sz w:val="21"/>
                      <w:szCs w:val="21"/>
                      <w:vertAlign w:val="baseline"/>
                      <w:lang w:val="en-US" w:eastAsia="zh-CN"/>
                    </w:rPr>
                    <w:t>。</w:t>
                  </w:r>
                </w:p>
              </w:tc>
              <w:tc>
                <w:tcPr>
                  <w:tcW w:w="1201" w:type="pct"/>
                  <w:tcBorders>
                    <w:tl2br w:val="nil"/>
                    <w:tr2bl w:val="nil"/>
                  </w:tcBorders>
                  <w:noWrap w:val="0"/>
                  <w:vAlign w:val="center"/>
                </w:tcPr>
                <w:p w14:paraId="18171A3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w:t>
                  </w:r>
                </w:p>
              </w:tc>
              <w:tc>
                <w:tcPr>
                  <w:tcW w:w="427" w:type="pct"/>
                  <w:tcBorders>
                    <w:tl2br w:val="nil"/>
                    <w:tr2bl w:val="nil"/>
                  </w:tcBorders>
                  <w:noWrap w:val="0"/>
                  <w:vAlign w:val="center"/>
                </w:tcPr>
                <w:p w14:paraId="474BAE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47035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vMerge w:val="continue"/>
                  <w:tcBorders>
                    <w:tl2br w:val="nil"/>
                    <w:tr2bl w:val="nil"/>
                  </w:tcBorders>
                  <w:noWrap w:val="0"/>
                  <w:vAlign w:val="center"/>
                </w:tcPr>
                <w:p w14:paraId="00E1A6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1F2DA3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p>
              </w:tc>
              <w:tc>
                <w:tcPr>
                  <w:tcW w:w="2454" w:type="pct"/>
                  <w:tcBorders>
                    <w:tl2br w:val="nil"/>
                    <w:tr2bl w:val="nil"/>
                  </w:tcBorders>
                  <w:noWrap w:val="0"/>
                  <w:vAlign w:val="center"/>
                </w:tcPr>
                <w:p w14:paraId="6F9E1CA3">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2.减少化肥农药使用量，增加有机肥使用量，实现化肥农药使用量负增长。</w:t>
                  </w:r>
                </w:p>
              </w:tc>
              <w:tc>
                <w:tcPr>
                  <w:tcW w:w="1201" w:type="pct"/>
                  <w:tcBorders>
                    <w:tl2br w:val="nil"/>
                    <w:tr2bl w:val="nil"/>
                  </w:tcBorders>
                  <w:noWrap w:val="0"/>
                  <w:vAlign w:val="center"/>
                </w:tcPr>
                <w:p w14:paraId="6097618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本项目使用化肥农药。</w:t>
                  </w:r>
                </w:p>
              </w:tc>
              <w:tc>
                <w:tcPr>
                  <w:tcW w:w="427" w:type="pct"/>
                  <w:tcBorders>
                    <w:tl2br w:val="nil"/>
                    <w:tr2bl w:val="nil"/>
                  </w:tcBorders>
                  <w:noWrap w:val="0"/>
                  <w:vAlign w:val="center"/>
                </w:tcPr>
                <w:p w14:paraId="7E7037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r w14:paraId="3ECAE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1" w:type="pct"/>
                  <w:vMerge w:val="continue"/>
                  <w:tcBorders>
                    <w:tl2br w:val="nil"/>
                    <w:tr2bl w:val="nil"/>
                  </w:tcBorders>
                  <w:noWrap w:val="0"/>
                  <w:vAlign w:val="center"/>
                </w:tcPr>
                <w:p w14:paraId="56DBF2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375" w:type="pct"/>
                  <w:vMerge w:val="continue"/>
                  <w:tcBorders>
                    <w:tl2br w:val="nil"/>
                    <w:tr2bl w:val="nil"/>
                  </w:tcBorders>
                  <w:noWrap w:val="0"/>
                  <w:vAlign w:val="center"/>
                </w:tcPr>
                <w:p w14:paraId="1BF3EF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snapToGrid w:val="0"/>
                      <w:color w:val="FF0000"/>
                      <w:spacing w:val="0"/>
                      <w:kern w:val="0"/>
                      <w:sz w:val="21"/>
                      <w:szCs w:val="21"/>
                      <w:vertAlign w:val="baseline"/>
                      <w:lang w:val="en-US" w:eastAsia="zh-CN"/>
                    </w:rPr>
                  </w:pPr>
                </w:p>
              </w:tc>
              <w:tc>
                <w:tcPr>
                  <w:tcW w:w="2454" w:type="pct"/>
                  <w:tcBorders>
                    <w:tl2br w:val="nil"/>
                    <w:tr2bl w:val="nil"/>
                  </w:tcBorders>
                  <w:noWrap w:val="0"/>
                  <w:vAlign w:val="center"/>
                </w:tcPr>
                <w:p w14:paraId="58DA3AFE">
                  <w:pPr>
                    <w:keepNext w:val="0"/>
                    <w:keepLines w:val="0"/>
                    <w:pageBreakBefore w:val="0"/>
                    <w:widowControl/>
                    <w:suppressLineNumbers w:val="0"/>
                    <w:kinsoku/>
                    <w:wordWrap/>
                    <w:overflowPunct/>
                    <w:topLinePunct w:val="0"/>
                    <w:autoSpaceDE/>
                    <w:autoSpaceDN/>
                    <w:bidi w:val="0"/>
                    <w:spacing w:line="240" w:lineRule="auto"/>
                    <w:ind w:right="0"/>
                    <w:jc w:val="center"/>
                    <w:textAlignment w:val="auto"/>
                    <w:rPr>
                      <w:rFonts w:hint="default" w:ascii="Times New Roman" w:hAnsi="Times New Roman" w:eastAsia="宋体" w:cs="Times New Roman"/>
                      <w:snapToGrid w:val="0"/>
                      <w:color w:val="auto"/>
                      <w:spacing w:val="0"/>
                      <w:kern w:val="0"/>
                      <w:sz w:val="21"/>
                      <w:szCs w:val="21"/>
                      <w:vertAlign w:val="baseline"/>
                      <w:lang w:val="en-US" w:eastAsia="zh-CN"/>
                    </w:rPr>
                  </w:pPr>
                  <w:r>
                    <w:rPr>
                      <w:rFonts w:hint="default" w:ascii="Times New Roman" w:hAnsi="Times New Roman" w:eastAsia="宋体" w:cs="Times New Roman"/>
                      <w:snapToGrid w:val="0"/>
                      <w:color w:val="auto"/>
                      <w:spacing w:val="0"/>
                      <w:kern w:val="0"/>
                      <w:sz w:val="21"/>
                      <w:szCs w:val="21"/>
                      <w:vertAlign w:val="baseline"/>
                      <w:lang w:val="en-US" w:eastAsia="zh-CN"/>
                    </w:rPr>
                    <w:t>3.推广渠道防渗、管道输水、喷灌、微灌等节水灌溉技术，完善灌溉用水计量设施。推进规模化高效节水灌溉，推广农作物节水抗旱技术。建立灌区墒情测报网络，提高农业用水效率，降低农业用水比重</w:t>
                  </w:r>
                  <w:r>
                    <w:rPr>
                      <w:rFonts w:hint="default" w:ascii="Times New Roman" w:hAnsi="Times New Roman" w:cs="Times New Roman"/>
                      <w:snapToGrid w:val="0"/>
                      <w:color w:val="auto"/>
                      <w:spacing w:val="0"/>
                      <w:kern w:val="0"/>
                      <w:sz w:val="21"/>
                      <w:szCs w:val="21"/>
                      <w:vertAlign w:val="baseline"/>
                      <w:lang w:val="en-US" w:eastAsia="zh-CN"/>
                    </w:rPr>
                    <w:t>。</w:t>
                  </w:r>
                </w:p>
              </w:tc>
              <w:tc>
                <w:tcPr>
                  <w:tcW w:w="1201" w:type="pct"/>
                  <w:tcBorders>
                    <w:tl2br w:val="nil"/>
                    <w:tr2bl w:val="nil"/>
                  </w:tcBorders>
                  <w:noWrap w:val="0"/>
                  <w:vAlign w:val="center"/>
                </w:tcPr>
                <w:p w14:paraId="0530A7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vertAlign w:val="baseline"/>
                      <w:lang w:val="en-US" w:eastAsia="zh-CN"/>
                      <w14:textFill>
                        <w14:solidFill>
                          <w14:schemeClr w14:val="tx1"/>
                        </w14:solidFill>
                      </w14:textFill>
                    </w:rPr>
                    <w:t>本项目不涉及。</w:t>
                  </w:r>
                </w:p>
              </w:tc>
              <w:tc>
                <w:tcPr>
                  <w:tcW w:w="427" w:type="pct"/>
                  <w:tcBorders>
                    <w:tl2br w:val="nil"/>
                    <w:tr2bl w:val="nil"/>
                  </w:tcBorders>
                  <w:noWrap w:val="0"/>
                  <w:vAlign w:val="center"/>
                </w:tcPr>
                <w:p w14:paraId="4EA96B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符合</w:t>
                  </w:r>
                </w:p>
              </w:tc>
            </w:tr>
          </w:tbl>
          <w:p w14:paraId="3476BF7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综上可知，本项目建设符合《</w:t>
            </w:r>
            <w:r>
              <w:rPr>
                <w:rFonts w:hint="default" w:ascii="Times New Roman" w:hAnsi="Times New Roman" w:eastAsia="宋体" w:cs="Times New Roman"/>
                <w:bCs/>
                <w:snapToGrid w:val="0"/>
                <w:color w:val="000000" w:themeColor="text1"/>
                <w:kern w:val="0"/>
                <w:sz w:val="24"/>
                <w:szCs w:val="24"/>
                <w:lang w:eastAsia="zh-CN"/>
                <w14:textFill>
                  <w14:solidFill>
                    <w14:schemeClr w14:val="tx1"/>
                  </w14:solidFill>
                </w14:textFill>
              </w:rPr>
              <w:t>巴音郭楞蒙古自治州生态环境准入清单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》中的</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空间布局约束、污染物排放管控、环境风险防控、资源</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利用效率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要求</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相关要求。</w:t>
            </w:r>
          </w:p>
          <w:p w14:paraId="69CC4E4F">
            <w:pPr>
              <w:pStyle w:val="51"/>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与《</w:t>
            </w:r>
            <w:r>
              <w:rPr>
                <w:rFonts w:hint="default" w:ascii="Times New Roman" w:hAnsi="Times New Roman" w:cs="Times New Roman"/>
                <w:b/>
                <w:color w:val="auto"/>
                <w:highlight w:val="none"/>
                <w:lang w:bidi="ar"/>
              </w:rPr>
              <w:t>巴音郭楞蒙古自治州大气污染防治办法</w:t>
            </w:r>
            <w:r>
              <w:rPr>
                <w:rFonts w:hint="default" w:ascii="Times New Roman" w:hAnsi="Times New Roman" w:cs="Times New Roman"/>
                <w:b/>
                <w:color w:val="auto"/>
                <w:highlight w:val="none"/>
              </w:rPr>
              <w:t>》符合性</w:t>
            </w:r>
          </w:p>
          <w:p w14:paraId="215BD8C9">
            <w:pPr>
              <w:pStyle w:val="5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根据《巴音郭楞蒙古自治州大气污染防治办法</w:t>
            </w:r>
            <w:r>
              <w:rPr>
                <w:rFonts w:hint="eastAsia" w:cs="Times New Roman"/>
                <w:color w:val="auto"/>
                <w:highlight w:val="none"/>
                <w:lang w:eastAsia="zh-CN"/>
              </w:rPr>
              <w:t>》的</w:t>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禁止新建、改建、扩建严重污染大气环境的项目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向大气排放污染物的企业事业单位和其他生产经营者应当履行大气污染防治的法定义务，执行大气污染物排放标准，遵守大气污染物排放总量控制要求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。本项目不属于严重污染大气环境的项目，</w:t>
            </w:r>
            <w:r>
              <w:rPr>
                <w:rFonts w:hint="default" w:ascii="Times New Roman" w:hAnsi="Times New Roman" w:cs="Times New Roman"/>
                <w:color w:val="auto"/>
                <w:highlight w:val="none"/>
                <w:lang w:val="en-US" w:eastAsia="zh-CN"/>
              </w:rPr>
              <w:t>本项目投料、过滤及包装</w:t>
            </w:r>
            <w:r>
              <w:rPr>
                <w:rFonts w:hint="default" w:ascii="Times New Roman" w:hAnsi="Times New Roman" w:cs="Times New Roman"/>
                <w:color w:val="auto"/>
                <w:highlight w:val="none"/>
              </w:rPr>
              <w:t>安装</w:t>
            </w:r>
            <w:r>
              <w:rPr>
                <w:rFonts w:hint="default" w:ascii="Times New Roman" w:hAnsi="Times New Roman" w:cs="Times New Roman"/>
                <w:color w:val="auto"/>
                <w:highlight w:val="none"/>
                <w:lang w:val="en-US" w:eastAsia="zh-CN"/>
              </w:rPr>
              <w:t>两</w:t>
            </w:r>
            <w:r>
              <w:rPr>
                <w:rFonts w:hint="default" w:ascii="Times New Roman" w:hAnsi="Times New Roman" w:cs="Times New Roman"/>
                <w:color w:val="auto"/>
                <w:highlight w:val="none"/>
              </w:rPr>
              <w:t>套</w:t>
            </w:r>
            <w:r>
              <w:rPr>
                <w:rFonts w:hint="default" w:ascii="Times New Roman" w:hAnsi="Times New Roman" w:cs="Times New Roman"/>
                <w:color w:val="auto"/>
                <w:highlight w:val="none"/>
                <w:lang w:val="en-US" w:eastAsia="zh-CN"/>
              </w:rPr>
              <w:t>集气罩+脉冲式除尘器，集气罩收集效率为90%，处理效率99%，处理后由15m高的排气筒排放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w:t>
            </w:r>
            <w:r>
              <w:rPr>
                <w:rFonts w:hint="default" w:ascii="Times New Roman" w:hAnsi="Times New Roman" w:cs="Times New Roman"/>
                <w:color w:val="auto"/>
                <w:highlight w:val="none"/>
                <w:lang w:eastAsia="zh-CN"/>
              </w:rPr>
              <w:t>满足</w:t>
            </w:r>
            <w:r>
              <w:rPr>
                <w:rFonts w:hint="default" w:ascii="Times New Roman" w:hAnsi="Times New Roman" w:cs="Times New Roman"/>
                <w:color w:val="auto"/>
                <w:highlight w:val="none"/>
                <w:shd w:val="clear" w:color="auto" w:fill="FFFFFF"/>
                <w:lang w:eastAsia="zh-CN"/>
              </w:rPr>
              <w:t>《大气污染物综合排放标准》（GB16297-1996）表2中限值</w:t>
            </w:r>
            <w:r>
              <w:rPr>
                <w:rFonts w:hint="default" w:ascii="Times New Roman" w:hAnsi="Times New Roman" w:cs="Times New Roman"/>
                <w:color w:val="auto"/>
                <w:highlight w:val="none"/>
              </w:rPr>
              <w:t>，因此本项目符合《巴音郭楞蒙古自治州大气污染防治办法》。</w:t>
            </w:r>
          </w:p>
          <w:p w14:paraId="04AB05CB">
            <w:pPr>
              <w:pStyle w:val="51"/>
              <w:ind w:firstLine="0" w:firstLineChars="0"/>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val="en-US" w:eastAsia="zh-CN" w:bidi="ar"/>
              </w:rPr>
              <w:t>5.</w:t>
            </w:r>
            <w:r>
              <w:rPr>
                <w:rFonts w:hint="default" w:ascii="Times New Roman" w:hAnsi="Times New Roman" w:cs="Times New Roman"/>
                <w:b/>
                <w:color w:val="auto"/>
                <w:highlight w:val="none"/>
                <w:lang w:bidi="ar"/>
              </w:rPr>
              <w:t>与《关于重点区域执行大气污染物特别排放限值的公告》</w:t>
            </w:r>
            <w:r>
              <w:rPr>
                <w:rFonts w:hint="eastAsia" w:cs="Times New Roman"/>
                <w:b/>
                <w:color w:val="auto"/>
                <w:highlight w:val="none"/>
                <w:lang w:eastAsia="zh-CN" w:bidi="ar"/>
              </w:rPr>
              <w:t>符合</w:t>
            </w:r>
          </w:p>
          <w:p w14:paraId="7C2CA882">
            <w:pPr>
              <w:pStyle w:val="5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根据《关于重点区域执行大气污染物特别排放限值的公告》为贯彻落实国务院《大气污染防治行动计划》</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国发〔2013〕37号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自治区人民政府《大气污染防治行动计划实施方案》（新政发〔2014〕35号）以及国家有关重点行业大气污染物排放标准，提高自治区重点区域大气污染防治水平，确保区域大气环境质量不降低，经自治区人民政府授权，现就自治区大气污染防治重点区域内的火电、钢铁、水泥、石化行业和燃煤锅炉执行大气污染物特别排放限值。</w:t>
            </w:r>
          </w:p>
          <w:p w14:paraId="1A5931AF">
            <w:pPr>
              <w:pStyle w:val="51"/>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本项目位于巴音郭楞蒙古自治州库尔勒上库高新技术产业开发区综合园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属于</w:t>
            </w:r>
            <w:r>
              <w:rPr>
                <w:rFonts w:hint="default" w:ascii="Times New Roman" w:hAnsi="Times New Roman" w:cs="Times New Roman"/>
                <w:color w:val="auto"/>
                <w:highlight w:val="none"/>
              </w:rPr>
              <w:t>重点区域，</w:t>
            </w:r>
            <w:r>
              <w:rPr>
                <w:rFonts w:hint="default" w:ascii="Times New Roman" w:hAnsi="Times New Roman" w:cs="Times New Roman"/>
                <w:color w:val="auto"/>
                <w:highlight w:val="none"/>
                <w:lang w:val="en-US" w:eastAsia="zh-CN"/>
              </w:rPr>
              <w:t>不涉及</w:t>
            </w:r>
            <w:r>
              <w:rPr>
                <w:rFonts w:hint="default" w:ascii="Times New Roman" w:hAnsi="Times New Roman" w:cs="Times New Roman"/>
                <w:color w:val="auto"/>
                <w:highlight w:val="none"/>
              </w:rPr>
              <w:t>火电、钢铁、水泥、石化行业和燃煤锅炉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废气采取相关措施后均可满足《大气污染物综合排放标准》（GB16297-1996）表2中限值。</w:t>
            </w:r>
          </w:p>
          <w:p w14:paraId="0C1329E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cs="Times New Roman"/>
                <w:b/>
                <w:bCs/>
                <w:color w:val="000000" w:themeColor="text1"/>
                <w:sz w:val="24"/>
                <w:szCs w:val="24"/>
                <w:lang w:val="en-US" w:eastAsia="zh-CN"/>
                <w14:textFill>
                  <w14:solidFill>
                    <w14:schemeClr w14:val="tx1"/>
                  </w14:solidFill>
                </w14:textFill>
              </w:rPr>
              <w:t>与新疆维吾尔自治区人民政府办公厅印发《新疆维吾尔自治区2025年空气质量持续改善行动实施方案》</w:t>
            </w:r>
            <w:r>
              <w:rPr>
                <w:rFonts w:hint="default" w:ascii="Times New Roman" w:hAnsi="Times New Roman" w:cs="Times New Roman" w:eastAsiaTheme="minorEastAsia"/>
                <w:b/>
                <w:bCs/>
                <w:color w:val="000000"/>
                <w:kern w:val="0"/>
                <w:sz w:val="24"/>
                <w:szCs w:val="24"/>
                <w:highlight w:val="none"/>
                <w:lang w:val="en-US" w:eastAsia="zh-CN" w:bidi="ar-SA"/>
              </w:rPr>
              <w:t>（新政办发〔2024〕58号）</w:t>
            </w:r>
            <w:r>
              <w:rPr>
                <w:rFonts w:hint="default" w:ascii="Times New Roman" w:hAnsi="Times New Roman" w:cs="Times New Roman"/>
                <w:b/>
                <w:bCs/>
                <w:color w:val="000000" w:themeColor="text1"/>
                <w:sz w:val="24"/>
                <w:szCs w:val="24"/>
                <w:lang w:val="en-US" w:eastAsia="zh-CN"/>
                <w14:textFill>
                  <w14:solidFill>
                    <w14:schemeClr w14:val="tx1"/>
                  </w14:solidFill>
                </w14:textFill>
              </w:rPr>
              <w:t>的符合性分析</w:t>
            </w:r>
          </w:p>
          <w:p w14:paraId="0ACFCC8A">
            <w:pPr>
              <w:pStyle w:val="9"/>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eastAsia="zh-CN"/>
              </w:rPr>
              <w:t>表</w:t>
            </w:r>
            <w:r>
              <w:rPr>
                <w:rFonts w:hint="default" w:ascii="Times New Roman" w:hAnsi="Times New Roman" w:eastAsia="宋体" w:cs="Times New Roman"/>
                <w:b/>
                <w:bCs w:val="0"/>
                <w:snapToGrid w:val="0"/>
                <w:color w:val="auto"/>
                <w:kern w:val="0"/>
                <w:sz w:val="21"/>
                <w:szCs w:val="21"/>
                <w:lang w:val="en-US" w:eastAsia="zh-CN"/>
              </w:rPr>
              <w:t xml:space="preserve">1-4   </w:t>
            </w:r>
            <w:r>
              <w:rPr>
                <w:rFonts w:hint="default" w:ascii="Times New Roman" w:hAnsi="Times New Roman" w:eastAsia="宋体" w:cs="Times New Roman"/>
                <w:b/>
                <w:bCs w:val="0"/>
                <w:snapToGrid w:val="0"/>
                <w:color w:val="auto"/>
                <w:kern w:val="0"/>
                <w:sz w:val="21"/>
                <w:szCs w:val="21"/>
                <w:lang w:eastAsia="zh-CN"/>
              </w:rPr>
              <w:t>项目与《新疆维吾尔自治区2025年空气质量持续改善行动</w:t>
            </w:r>
            <w:bookmarkStart w:id="4" w:name="OLE_LINK177"/>
            <w:r>
              <w:rPr>
                <w:rFonts w:hint="default" w:ascii="Times New Roman" w:hAnsi="Times New Roman" w:eastAsia="宋体" w:cs="Times New Roman"/>
                <w:b/>
                <w:bCs w:val="0"/>
                <w:snapToGrid w:val="0"/>
                <w:color w:val="auto"/>
                <w:kern w:val="0"/>
                <w:sz w:val="21"/>
                <w:szCs w:val="21"/>
                <w:lang w:eastAsia="zh-CN"/>
              </w:rPr>
              <w:t>实施方案</w:t>
            </w:r>
            <w:bookmarkEnd w:id="4"/>
            <w:r>
              <w:rPr>
                <w:rFonts w:hint="default" w:ascii="Times New Roman" w:hAnsi="Times New Roman" w:eastAsia="宋体" w:cs="Times New Roman"/>
                <w:b/>
                <w:bCs w:val="0"/>
                <w:snapToGrid w:val="0"/>
                <w:color w:val="auto"/>
                <w:kern w:val="0"/>
                <w:sz w:val="21"/>
                <w:szCs w:val="21"/>
                <w:lang w:eastAsia="zh-CN"/>
              </w:rPr>
              <w:t>》符合性分析一览表</w:t>
            </w:r>
          </w:p>
          <w:tbl>
            <w:tblPr>
              <w:tblStyle w:val="30"/>
              <w:tblpPr w:leftFromText="180" w:rightFromText="180" w:vertAnchor="text" w:horzAnchor="page" w:tblpX="166" w:tblpY="151"/>
              <w:tblOverlap w:val="never"/>
              <w:tblW w:w="495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99"/>
              <w:gridCol w:w="1485"/>
              <w:gridCol w:w="779"/>
            </w:tblGrid>
            <w:tr w14:paraId="21ADA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799" w:type="dxa"/>
                  <w:tcBorders>
                    <w:tl2br w:val="nil"/>
                    <w:tr2bl w:val="nil"/>
                  </w:tcBorders>
                  <w:noWrap w:val="0"/>
                  <w:vAlign w:val="center"/>
                </w:tcPr>
                <w:p w14:paraId="77A845A9">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cs="Times New Roman"/>
                      <w:b w:val="0"/>
                      <w:color w:val="000000" w:themeColor="text1"/>
                      <w:lang w:val="en-US" w:eastAsia="zh-CN"/>
                      <w14:textFill>
                        <w14:solidFill>
                          <w14:schemeClr w14:val="tx1"/>
                        </w14:solidFill>
                      </w14:textFill>
                    </w:rPr>
                    <w:t>实施方案</w:t>
                  </w:r>
                </w:p>
              </w:tc>
              <w:tc>
                <w:tcPr>
                  <w:tcW w:w="1485" w:type="dxa"/>
                  <w:tcBorders>
                    <w:tl2br w:val="nil"/>
                    <w:tr2bl w:val="nil"/>
                  </w:tcBorders>
                  <w:noWrap w:val="0"/>
                  <w:vAlign w:val="center"/>
                </w:tcPr>
                <w:p w14:paraId="14ABEE5A">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cs="Times New Roman"/>
                      <w:b w:val="0"/>
                      <w:color w:val="000000" w:themeColor="text1"/>
                      <w:lang w:val="en-US" w:eastAsia="zh-CN"/>
                      <w14:textFill>
                        <w14:solidFill>
                          <w14:schemeClr w14:val="tx1"/>
                        </w14:solidFill>
                      </w14:textFill>
                    </w:rPr>
                    <w:t>项目情况</w:t>
                  </w:r>
                </w:p>
              </w:tc>
              <w:tc>
                <w:tcPr>
                  <w:tcW w:w="779" w:type="dxa"/>
                  <w:tcBorders>
                    <w:tl2br w:val="nil"/>
                    <w:tr2bl w:val="nil"/>
                  </w:tcBorders>
                  <w:noWrap w:val="0"/>
                  <w:vAlign w:val="center"/>
                </w:tcPr>
                <w:p w14:paraId="1B1C7DCF">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b w:val="0"/>
                      <w:color w:val="000000" w:themeColor="text1"/>
                      <w:lang w:val="en-US" w:eastAsia="zh-CN"/>
                      <w14:textFill>
                        <w14:solidFill>
                          <w14:schemeClr w14:val="tx1"/>
                        </w14:solidFill>
                      </w14:textFill>
                    </w:rPr>
                  </w:pPr>
                  <w:r>
                    <w:rPr>
                      <w:rFonts w:hint="default" w:ascii="Times New Roman" w:hAnsi="Times New Roman" w:cs="Times New Roman"/>
                      <w:b w:val="0"/>
                      <w:color w:val="000000" w:themeColor="text1"/>
                      <w:lang w:val="en-US" w:eastAsia="zh-CN"/>
                      <w14:textFill>
                        <w14:solidFill>
                          <w14:schemeClr w14:val="tx1"/>
                        </w14:solidFill>
                      </w14:textFill>
                    </w:rPr>
                    <w:t>符合性</w:t>
                  </w:r>
                </w:p>
              </w:tc>
            </w:tr>
            <w:tr w14:paraId="4819D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9" w:type="dxa"/>
                  <w:tcBorders>
                    <w:tl2br w:val="nil"/>
                    <w:tr2bl w:val="nil"/>
                  </w:tcBorders>
                  <w:shd w:val="clear" w:color="auto" w:fill="auto"/>
                  <w:noWrap w:val="0"/>
                  <w:vAlign w:val="center"/>
                </w:tcPr>
                <w:p w14:paraId="04575840">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w:t>
                  </w:r>
                </w:p>
              </w:tc>
              <w:tc>
                <w:tcPr>
                  <w:tcW w:w="1485" w:type="dxa"/>
                  <w:tcBorders>
                    <w:tl2br w:val="nil"/>
                    <w:tr2bl w:val="nil"/>
                  </w:tcBorders>
                  <w:noWrap w:val="0"/>
                  <w:vAlign w:val="center"/>
                </w:tcPr>
                <w:p w14:paraId="7FE98856">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本项目为</w:t>
                  </w:r>
                  <w:r>
                    <w:rPr>
                      <w:rFonts w:hint="default" w:ascii="Times New Roman" w:hAnsi="Times New Roman" w:cs="Times New Roman"/>
                      <w:spacing w:val="-2"/>
                      <w:lang w:val="en-US" w:eastAsia="zh-CN"/>
                    </w:rPr>
                    <w:t>废弃资源综合利用业</w:t>
                  </w: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，不属于高耗能、高排放、低水平项目，严格落实产业政策、规划和生态环境分区管控方案等要求。</w:t>
                  </w:r>
                </w:p>
              </w:tc>
              <w:tc>
                <w:tcPr>
                  <w:tcW w:w="779" w:type="dxa"/>
                  <w:tcBorders>
                    <w:tl2br w:val="nil"/>
                    <w:tr2bl w:val="nil"/>
                  </w:tcBorders>
                  <w:noWrap w:val="0"/>
                  <w:vAlign w:val="center"/>
                </w:tcPr>
                <w:p w14:paraId="20685629">
                  <w:pPr>
                    <w:pStyle w:val="84"/>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符合</w:t>
                  </w:r>
                </w:p>
              </w:tc>
            </w:tr>
            <w:tr w14:paraId="3F4B7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9" w:type="dxa"/>
                  <w:tcBorders>
                    <w:tl2br w:val="nil"/>
                    <w:tr2bl w:val="nil"/>
                  </w:tcBorders>
                  <w:shd w:val="clear" w:color="auto" w:fill="auto"/>
                  <w:noWrap w:val="0"/>
                  <w:vAlign w:val="center"/>
                </w:tcPr>
                <w:p w14:paraId="122AC24E">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二）退出重点行业落后产能。严格执行《产业结构调整指导目录》，依法依规淘汰落后产能。联防联控区进一步提高落后产能能耗、环保、质量、安全、技术等要求，逐步退出限制类涉气行业工艺和装备。提升工业重点领域产能能效标杆水平，到2025年，重点行业能效标杆水平产能比例力争达到30%，能效基准水平以下产能基本清零。联防联控区淘汰炭化室高度4.3米及以下焦炉。</w:t>
                  </w:r>
                </w:p>
              </w:tc>
              <w:tc>
                <w:tcPr>
                  <w:tcW w:w="1485" w:type="dxa"/>
                  <w:tcBorders>
                    <w:tl2br w:val="nil"/>
                    <w:tr2bl w:val="nil"/>
                  </w:tcBorders>
                  <w:noWrap w:val="0"/>
                  <w:vAlign w:val="center"/>
                </w:tcPr>
                <w:p w14:paraId="28036800">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本项目为</w:t>
                  </w:r>
                  <w:r>
                    <w:rPr>
                      <w:rFonts w:hint="default" w:ascii="Times New Roman" w:hAnsi="Times New Roman" w:cs="Times New Roman"/>
                      <w:spacing w:val="-2"/>
                      <w:lang w:val="en-US" w:eastAsia="zh-CN"/>
                    </w:rPr>
                    <w:t>废弃资源综合利用业</w:t>
                  </w: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不属于</w:t>
                  </w: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落后产能。</w:t>
                  </w:r>
                </w:p>
              </w:tc>
              <w:tc>
                <w:tcPr>
                  <w:tcW w:w="779" w:type="dxa"/>
                  <w:tcBorders>
                    <w:tl2br w:val="nil"/>
                    <w:tr2bl w:val="nil"/>
                  </w:tcBorders>
                  <w:noWrap w:val="0"/>
                  <w:vAlign w:val="center"/>
                </w:tcPr>
                <w:p w14:paraId="6B0BFB3F">
                  <w:pPr>
                    <w:pStyle w:val="84"/>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符合</w:t>
                  </w:r>
                </w:p>
              </w:tc>
            </w:tr>
            <w:tr w14:paraId="499AE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9" w:type="dxa"/>
                  <w:tcBorders>
                    <w:tl2br w:val="nil"/>
                    <w:tr2bl w:val="nil"/>
                  </w:tcBorders>
                  <w:shd w:val="clear" w:color="auto" w:fill="auto"/>
                  <w:noWrap w:val="0"/>
                  <w:vAlign w:val="center"/>
                </w:tcPr>
                <w:p w14:paraId="3984864B">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四）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持续增加天然气生产供应，优先保障居民生活和清洁取暖、农业散煤治理等需求。</w:t>
                  </w:r>
                </w:p>
              </w:tc>
              <w:tc>
                <w:tcPr>
                  <w:tcW w:w="1485" w:type="dxa"/>
                  <w:tcBorders>
                    <w:tl2br w:val="nil"/>
                    <w:tr2bl w:val="nil"/>
                  </w:tcBorders>
                  <w:noWrap w:val="0"/>
                  <w:vAlign w:val="center"/>
                </w:tcPr>
                <w:p w14:paraId="4F35103E">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本项目为废弃资源综合利用业</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，项目生产使用的是电锅炉，属于清洁能源。</w:t>
                  </w:r>
                </w:p>
              </w:tc>
              <w:tc>
                <w:tcPr>
                  <w:tcW w:w="779" w:type="dxa"/>
                  <w:tcBorders>
                    <w:tl2br w:val="nil"/>
                    <w:tr2bl w:val="nil"/>
                  </w:tcBorders>
                  <w:noWrap w:val="0"/>
                  <w:vAlign w:val="center"/>
                </w:tcPr>
                <w:p w14:paraId="7A2D4AB0">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rightChars="0" w:firstLine="0" w:firstLineChars="0"/>
                    <w:jc w:val="center"/>
                    <w:textAlignment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符合</w:t>
                  </w:r>
                </w:p>
              </w:tc>
            </w:tr>
            <w:tr w14:paraId="05D96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9" w:type="dxa"/>
                  <w:tcBorders>
                    <w:tl2br w:val="nil"/>
                    <w:tr2bl w:val="nil"/>
                  </w:tcBorders>
                  <w:shd w:val="clear" w:color="auto" w:fill="auto"/>
                  <w:noWrap w:val="0"/>
                  <w:vAlign w:val="center"/>
                </w:tcPr>
                <w:p w14:paraId="5B9834A3">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五）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完善联防联控区骨干电网建设，保障冬季生产</w:t>
                  </w:r>
                  <w:r>
                    <w:rPr>
                      <w:rFonts w:hint="eastAsia" w:cs="Times New Roman"/>
                      <w:b w:val="0"/>
                      <w:color w:val="000000" w:themeColor="text1"/>
                      <w:kern w:val="2"/>
                      <w:sz w:val="21"/>
                      <w:szCs w:val="21"/>
                      <w:lang w:val="en-US" w:eastAsia="zh-CN" w:bidi="ar-SA"/>
                      <w14:textFill>
                        <w14:solidFill>
                          <w14:schemeClr w14:val="tx1"/>
                        </w14:solidFill>
                      </w14:textFill>
                    </w:rPr>
                    <w:t>电网</w:t>
                  </w: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需求。</w:t>
                  </w:r>
                </w:p>
              </w:tc>
              <w:tc>
                <w:tcPr>
                  <w:tcW w:w="1485" w:type="dxa"/>
                  <w:tcBorders>
                    <w:tl2br w:val="nil"/>
                    <w:tr2bl w:val="nil"/>
                  </w:tcBorders>
                  <w:noWrap w:val="0"/>
                  <w:vAlign w:val="center"/>
                </w:tcPr>
                <w:p w14:paraId="6097094D">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本项目为废弃资源综合利用业</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，项目生产使用的是电锅炉，不消耗煤炭。</w:t>
                  </w:r>
                </w:p>
              </w:tc>
              <w:tc>
                <w:tcPr>
                  <w:tcW w:w="779" w:type="dxa"/>
                  <w:tcBorders>
                    <w:tl2br w:val="nil"/>
                    <w:tr2bl w:val="nil"/>
                  </w:tcBorders>
                  <w:noWrap w:val="0"/>
                  <w:vAlign w:val="center"/>
                </w:tcPr>
                <w:p w14:paraId="2AB659A3">
                  <w:pPr>
                    <w:pStyle w:val="76"/>
                    <w:keepNext w:val="0"/>
                    <w:keepLines w:val="0"/>
                    <w:pageBreakBefore w:val="0"/>
                    <w:widowControl/>
                    <w:kinsoku/>
                    <w:wordWrap/>
                    <w:overflowPunct w:val="0"/>
                    <w:topLinePunct w:val="0"/>
                    <w:autoSpaceDE w:val="0"/>
                    <w:autoSpaceDN w:val="0"/>
                    <w:bidi w:val="0"/>
                    <w:adjustRightInd w:val="0"/>
                    <w:snapToGrid w:val="0"/>
                    <w:spacing w:before="0" w:after="0" w:line="240" w:lineRule="auto"/>
                    <w:ind w:left="0" w:right="0" w:rightChars="0" w:firstLine="0" w:firstLineChars="0"/>
                    <w:jc w:val="center"/>
                    <w:textAlignment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符合</w:t>
                  </w:r>
                </w:p>
              </w:tc>
            </w:tr>
            <w:tr w14:paraId="2B463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9" w:type="dxa"/>
                  <w:tcBorders>
                    <w:tl2br w:val="nil"/>
                    <w:tr2bl w:val="nil"/>
                  </w:tcBorders>
                  <w:shd w:val="clear" w:color="auto" w:fill="auto"/>
                  <w:noWrap w:val="0"/>
                  <w:vAlign w:val="center"/>
                </w:tcPr>
                <w:p w14:paraId="320CB646">
                  <w:pPr>
                    <w:pStyle w:val="84"/>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六）持续开展燃煤锅炉综合整治。县级及以上城市建成区原则上不再新建35蒸吨/小时及以下燃煤锅炉。到2025年，基本淘汰10蒸吨/小时及以下的燃煤锅炉，联防联控区基本淘汰65蒸吨/小时以下的燃煤锅炉；基本完成65蒸吨/小时及以上燃煤锅炉超低排放改造，联防联控区2024年完成。实施煤电机组“三改联动”，推动煤电向基础性、支撑性、调节性电源转型，鼓励拆小建大等容量替代。充分发挥30万千瓦及以上热电联产电厂的供热能力，关停或整合其供热半径15公里范围内的燃煤锅炉和落后燃煤小热电机组（含自备电厂）。</w:t>
                  </w:r>
                </w:p>
              </w:tc>
              <w:tc>
                <w:tcPr>
                  <w:tcW w:w="1485" w:type="dxa"/>
                  <w:tcBorders>
                    <w:tl2br w:val="nil"/>
                    <w:tr2bl w:val="nil"/>
                  </w:tcBorders>
                  <w:noWrap w:val="0"/>
                  <w:vAlign w:val="center"/>
                </w:tcPr>
                <w:p w14:paraId="0E36C4CD">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本项目为废弃资源综合利用业</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，项目生产使用的是电锅炉，不属于</w:t>
                  </w: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燃煤锅炉</w:t>
                  </w: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w:t>
                  </w:r>
                </w:p>
              </w:tc>
              <w:tc>
                <w:tcPr>
                  <w:tcW w:w="779" w:type="dxa"/>
                  <w:tcBorders>
                    <w:tl2br w:val="nil"/>
                    <w:tr2bl w:val="nil"/>
                  </w:tcBorders>
                  <w:noWrap w:val="0"/>
                  <w:vAlign w:val="center"/>
                </w:tcPr>
                <w:p w14:paraId="0B68B1C2">
                  <w:pPr>
                    <w:pStyle w:val="44"/>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kern w:val="2"/>
                      <w:sz w:val="21"/>
                      <w:szCs w:val="21"/>
                      <w:lang w:val="en-US" w:eastAsia="zh-CN" w:bidi="ar-SA"/>
                      <w14:textFill>
                        <w14:solidFill>
                          <w14:schemeClr w14:val="tx1"/>
                        </w14:solidFill>
                      </w14:textFill>
                    </w:rPr>
                    <w:t>符合</w:t>
                  </w:r>
                </w:p>
              </w:tc>
            </w:tr>
          </w:tbl>
          <w:p w14:paraId="03889669">
            <w:pPr>
              <w:ind w:firstLine="0" w:firstLineChars="0"/>
              <w:rPr>
                <w:rFonts w:hint="default" w:ascii="Times New Roman" w:hAnsi="Times New Roman" w:eastAsia="宋体" w:cs="Times New Roman"/>
                <w:b/>
                <w:color w:val="auto"/>
                <w:highlight w:val="none"/>
                <w:lang w:val="en-US" w:eastAsia="zh-CN"/>
              </w:rPr>
            </w:pPr>
            <w:r>
              <w:rPr>
                <w:rFonts w:hint="default" w:ascii="Times New Roman" w:hAnsi="Times New Roman" w:eastAsia="宋体" w:cs="Times New Roman"/>
                <w:b/>
                <w:color w:val="auto"/>
                <w:highlight w:val="none"/>
                <w:lang w:val="en-US" w:eastAsia="zh-CN"/>
              </w:rPr>
              <w:t>7.与《新疆生态环境保护“十四五”规划》的符合性</w:t>
            </w:r>
          </w:p>
          <w:p w14:paraId="024BB8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《新疆生态环境保护</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“十四五”规划</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》中规定：</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第三节建设清洁低碳能源体系严格控制煤炭消费。加强能耗“双控”管理，合理控制能源消费增量，优化能源消费结构，对“乌—昌—石”“奎—独—乌”等重点区域实施新建用煤项目等量或减量替代。合理控制煤电装机规模，有序淘汰煤电落后产能，推进燃煤电厂灵活性和供热改造。按照宜电则电、宜气则气的原则，继续推进“电气化新疆”建设，实施清洁能源行动计划，加快城乡接合部、农村民用和农业生产散烧煤的清洁能源替代，加大可再生能源消纳力度。稳步推进“煤改电”工程，拓展多种清洁供暖方式，提高清洁能源利用水平，暂不能通过清洁供暖替代散煤的地区，严禁使用劣质煤，可利用“洁净煤+节能环保炉具”替代散烧煤，或鼓励在小城镇和农村地区用户使用太阳能供暖系统。</w:t>
            </w:r>
            <w:r>
              <w:rPr>
                <w:rFonts w:hint="default" w:ascii="Times New Roman" w:hAnsi="Times New Roman" w:cs="Times New Roman"/>
                <w:b w:val="0"/>
                <w:bCs w:val="0"/>
                <w:color w:val="000000" w:themeColor="text1"/>
                <w:kern w:val="0"/>
                <w:sz w:val="24"/>
                <w:szCs w:val="24"/>
                <w:lang w:val="en-US" w:eastAsia="zh-CN" w:bidi="ar"/>
                <w14:textFill>
                  <w14:solidFill>
                    <w14:schemeClr w14:val="tx1"/>
                  </w14:solidFill>
                </w14:textFill>
              </w:rPr>
              <w:t>”</w:t>
            </w:r>
          </w:p>
          <w:p w14:paraId="7179EA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eastAsia" w:cs="Times New Roman"/>
                <w:b w:val="0"/>
                <w:bCs w:val="0"/>
                <w:snapToGrid w:val="0"/>
                <w:color w:val="000000" w:themeColor="text1"/>
                <w:kern w:val="0"/>
                <w:sz w:val="24"/>
                <w:lang w:eastAsia="zh-CN"/>
                <w14:textFill>
                  <w14:solidFill>
                    <w14:schemeClr w14:val="tx1"/>
                  </w14:solidFill>
                </w14:textFill>
              </w:rPr>
              <w:t>本项目为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废弃资源综合利用业，项目生产使用的是电锅炉，采用清洁能源电为</w:t>
            </w:r>
            <w:r>
              <w:rPr>
                <w:rFonts w:hint="default" w:ascii="Times New Roman" w:hAnsi="Times New Roman" w:cs="Times New Roman"/>
                <w:b w:val="0"/>
                <w:bCs w:val="0"/>
                <w:snapToGrid w:val="0"/>
                <w:color w:val="000000" w:themeColor="text1"/>
                <w:kern w:val="0"/>
                <w:sz w:val="24"/>
                <w:lang w:eastAsia="zh-CN"/>
                <w14:textFill>
                  <w14:solidFill>
                    <w14:schemeClr w14:val="tx1"/>
                  </w14:solidFill>
                </w14:textFill>
              </w:rPr>
              <w:t>燃料</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符合《新疆生态环境保护“十四五”规划</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的要求。</w:t>
            </w:r>
          </w:p>
          <w:p w14:paraId="79331C70">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8.</w:t>
            </w:r>
            <w:r>
              <w:rPr>
                <w:rFonts w:hint="default" w:ascii="Times New Roman" w:hAnsi="Times New Roman" w:cs="Times New Roman"/>
                <w:b/>
                <w:color w:val="auto"/>
                <w:highlight w:val="none"/>
              </w:rPr>
              <w:t>选址合理性分析</w:t>
            </w:r>
          </w:p>
          <w:p w14:paraId="41EF01AA">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highlight w:val="none"/>
                <w:lang w:val="en-US" w:eastAsia="zh-CN"/>
              </w:rPr>
              <w:t>新疆众革资源循环科技有限公司于2025年6月5日取得选址意见书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本项目位于新疆巴音郭楞蒙古自治州库尔勒上库高新技术产业开发区综合园，项目</w:t>
            </w:r>
            <w:r>
              <w:rPr>
                <w:rFonts w:hint="default" w:ascii="Times New Roman" w:hAnsi="Times New Roman" w:cs="Times New Roman"/>
                <w:color w:val="auto"/>
                <w:highlight w:val="none"/>
                <w:lang w:val="en-US" w:eastAsia="zh-CN"/>
              </w:rPr>
              <w:t>西侧、</w:t>
            </w:r>
            <w:r>
              <w:rPr>
                <w:rFonts w:hint="default" w:ascii="Times New Roman" w:hAnsi="Times New Roman" w:eastAsia="宋体" w:cs="Times New Roman"/>
                <w:color w:val="auto"/>
                <w:highlight w:val="none"/>
                <w:lang w:val="en-US" w:eastAsia="zh-CN"/>
              </w:rPr>
              <w:t>北侧</w:t>
            </w:r>
            <w:r>
              <w:rPr>
                <w:rFonts w:hint="default" w:ascii="Times New Roman" w:hAnsi="Times New Roman" w:cs="Times New Roman"/>
                <w:color w:val="auto"/>
                <w:highlight w:val="none"/>
                <w:lang w:val="en-US" w:eastAsia="zh-CN"/>
              </w:rPr>
              <w:t>为空地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南侧15</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为西域大道，南侧167</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为水泥制品厂，东侧5</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为泄洪渠，泄洪渠东面为空地，符合上库园区规划，详见附件六。</w:t>
            </w:r>
          </w:p>
          <w:p w14:paraId="4A13A2FC">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从规划角度</w:t>
            </w:r>
            <w:r>
              <w:rPr>
                <w:rFonts w:hint="default" w:ascii="Times New Roman" w:hAnsi="Times New Roman" w:cs="Times New Roman"/>
                <w:color w:val="auto"/>
                <w:highlight w:val="none"/>
                <w:lang w:val="en-US" w:eastAsia="zh-CN"/>
              </w:rPr>
              <w:t>分析</w:t>
            </w:r>
            <w:r>
              <w:rPr>
                <w:rFonts w:hint="default" w:ascii="Times New Roman" w:hAnsi="Times New Roman" w:cs="Times New Roman"/>
                <w:color w:val="auto"/>
                <w:highlight w:val="none"/>
              </w:rPr>
              <w:t>，项目所在的上库高新技术产业开发区综合园是经过合理规划布局，旨在集中承载各类符合产业发展导向的工业项目，本项目所属产业契合园区的产业定位与规划要求，能够与周边已入驻企业形成产业协同效应，共同推动区域工业经济的有序发展。同时，项目选址不涉及自然保护区、风景名胜区、饮用水源保护区、基本农田保护区及其它需要特殊保护的敏感区域，在项目正常运营时产生的污染物较少，且均可达标排放，基本不会对周边的敏感点及环境产生影响。从环境以及与园区规划契合度的角度综合分析，项目选址基本合理。</w:t>
            </w:r>
          </w:p>
          <w:p w14:paraId="209CAF71">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（2）项目位置与饮用水源保护地相关规划的相符性分析</w:t>
            </w:r>
          </w:p>
          <w:p w14:paraId="664905E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根据《关于划分、调整及取消巴音郭楞蒙古自治州部分饮用水水源保护区的复函》，本项目不属于库尔勒市饮用水保护区范围内，因此项目是符合饮用水资源保护地相关法律法规的。</w:t>
            </w:r>
          </w:p>
          <w:p w14:paraId="7A5C595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项目正常运营时产生的污染物较少，且均可达标排放，基本不会对周边的敏感点及环境产生影响，且具有水、电供应有保障，交通便利等条件。综上，从环境的角度分析，项目选址基本合理。</w:t>
            </w:r>
          </w:p>
          <w:p w14:paraId="3FD012E2">
            <w:pPr>
              <w:ind w:firstLine="480"/>
              <w:rPr>
                <w:rFonts w:hint="default" w:ascii="Times New Roman" w:hAnsi="Times New Roman" w:cs="Times New Roman"/>
                <w:color w:val="auto"/>
                <w:highlight w:val="none"/>
                <w:shd w:val="clear" w:color="auto" w:fill="FFFFFF"/>
              </w:rPr>
            </w:pPr>
          </w:p>
        </w:tc>
      </w:tr>
    </w:tbl>
    <w:p w14:paraId="3F7F53D3">
      <w:pPr>
        <w:pStyle w:val="24"/>
        <w:pageBreakBefore/>
        <w:spacing w:before="0" w:beforeAutospacing="0" w:after="0" w:afterAutospacing="0" w:line="240" w:lineRule="auto"/>
        <w:ind w:firstLine="0" w:firstLineChars="0"/>
        <w:jc w:val="center"/>
        <w:outlineLvl w:val="0"/>
        <w:rPr>
          <w:rFonts w:hint="default" w:ascii="Times New Roman" w:hAnsi="Times New Roman" w:eastAsia="黑体" w:cs="Times New Roman"/>
          <w:snapToGrid w:val="0"/>
          <w:color w:val="auto"/>
          <w:sz w:val="30"/>
          <w:szCs w:val="30"/>
          <w:highlight w:val="green"/>
        </w:rPr>
      </w:pPr>
      <w:bookmarkStart w:id="5" w:name="_Toc22696"/>
      <w:bookmarkStart w:id="6" w:name="_Toc25540"/>
      <w:bookmarkStart w:id="7" w:name="_Toc6043"/>
      <w:r>
        <w:rPr>
          <w:rFonts w:hint="default" w:ascii="Times New Roman" w:hAnsi="Times New Roman" w:eastAsia="黑体" w:cs="Times New Roman"/>
          <w:snapToGrid w:val="0"/>
          <w:color w:val="auto"/>
          <w:sz w:val="30"/>
          <w:szCs w:val="30"/>
          <w:highlight w:val="none"/>
        </w:rPr>
        <w:t>二、建设项目工程分析</w:t>
      </w:r>
      <w:bookmarkEnd w:id="5"/>
      <w:bookmarkEnd w:id="6"/>
      <w:bookmarkEnd w:id="7"/>
    </w:p>
    <w:tbl>
      <w:tblPr>
        <w:tblStyle w:val="29"/>
        <w:tblW w:w="90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047"/>
      </w:tblGrid>
      <w:tr w14:paraId="500B2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 w:type="dxa"/>
            <w:vAlign w:val="center"/>
          </w:tcPr>
          <w:p w14:paraId="4F8635AC">
            <w:pPr>
              <w:pStyle w:val="24"/>
              <w:adjustRightInd w:val="0"/>
              <w:snapToGrid w:val="0"/>
              <w:spacing w:before="0" w:beforeAutospacing="0" w:after="0" w:afterAutospacing="0"/>
              <w:ind w:firstLine="0" w:firstLineChars="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建设</w:t>
            </w:r>
          </w:p>
          <w:p w14:paraId="6AC2B610">
            <w:pPr>
              <w:pStyle w:val="24"/>
              <w:adjustRightInd w:val="0"/>
              <w:snapToGrid w:val="0"/>
              <w:spacing w:before="0" w:beforeAutospacing="0" w:after="0" w:afterAutospacing="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Cs w:val="24"/>
                <w:highlight w:val="none"/>
              </w:rPr>
              <w:t>内容</w:t>
            </w:r>
          </w:p>
        </w:tc>
        <w:tc>
          <w:tcPr>
            <w:tcW w:w="8047" w:type="dxa"/>
          </w:tcPr>
          <w:p w14:paraId="33816D12">
            <w:pPr>
              <w:pStyle w:val="51"/>
              <w:ind w:firstLine="0" w:firstLineChars="0"/>
              <w:rPr>
                <w:rFonts w:hint="default" w:ascii="Times New Roman" w:hAnsi="Times New Roman" w:eastAsia="宋体" w:cs="Times New Roman"/>
                <w:b/>
                <w:color w:val="auto"/>
                <w:highlight w:val="none"/>
                <w:lang w:val="en-US" w:eastAsia="zh-CN" w:bidi="ar"/>
              </w:rPr>
            </w:pPr>
            <w:r>
              <w:rPr>
                <w:rFonts w:hint="default" w:ascii="Times New Roman" w:hAnsi="Times New Roman" w:cs="Times New Roman"/>
                <w:b/>
                <w:color w:val="auto"/>
                <w:highlight w:val="none"/>
                <w:lang w:val="en-US" w:eastAsia="zh-CN" w:bidi="ar"/>
              </w:rPr>
              <w:t>1.项目背景</w:t>
            </w:r>
          </w:p>
          <w:p w14:paraId="0547B575">
            <w:pPr>
              <w:pStyle w:val="74"/>
              <w:spacing w:before="171" w:line="355" w:lineRule="auto"/>
              <w:ind w:left="106" w:right="35" w:firstLine="483"/>
              <w:jc w:val="both"/>
              <w:rPr>
                <w:rFonts w:hint="default" w:ascii="Times New Roman" w:hAnsi="Times New Roman" w:cs="Times New Roman"/>
                <w:spacing w:val="-5"/>
                <w:lang w:val="en-US" w:eastAsia="zh-CN"/>
              </w:rPr>
            </w:pPr>
            <w:r>
              <w:rPr>
                <w:rFonts w:hint="default" w:ascii="Times New Roman" w:hAnsi="Times New Roman" w:cs="Times New Roman"/>
                <w:spacing w:val="-5"/>
                <w:lang w:eastAsia="zh-CN"/>
              </w:rPr>
              <w:t>新疆众革资源循环科技有限公司</w:t>
            </w:r>
            <w:r>
              <w:rPr>
                <w:rFonts w:hint="default" w:ascii="Times New Roman" w:hAnsi="Times New Roman" w:cs="Times New Roman"/>
                <w:spacing w:val="-5"/>
                <w:lang w:val="en-US" w:eastAsia="zh-CN"/>
              </w:rPr>
              <w:t>成立于2013年5月27日，注册地址在</w:t>
            </w:r>
            <w:r>
              <w:rPr>
                <w:rFonts w:hint="default" w:ascii="Times New Roman" w:hAnsi="Times New Roman" w:cs="Times New Roman"/>
                <w:spacing w:val="-5"/>
                <w:lang w:eastAsia="zh-CN"/>
              </w:rPr>
              <w:t>新疆巴州库尔勒市塔指东路塔指中门斜对面铁克其村出租楼4层03号</w:t>
            </w:r>
            <w:r>
              <w:rPr>
                <w:rFonts w:hint="default" w:ascii="Times New Roman" w:hAnsi="Times New Roman" w:cs="Times New Roman"/>
                <w:spacing w:val="-5"/>
                <w:lang w:val="en-US" w:eastAsia="zh-CN"/>
              </w:rPr>
              <w:t>，注册资本10000万元，法定代表</w:t>
            </w:r>
            <w:r>
              <w:rPr>
                <w:rFonts w:hint="default" w:ascii="Times New Roman" w:hAnsi="Times New Roman" w:eastAsia="宋体" w:cs="Times New Roman"/>
                <w:spacing w:val="-5"/>
                <w:lang w:val="en-US" w:eastAsia="zh-CN"/>
              </w:rPr>
              <w:t>人为</w:t>
            </w:r>
            <w:r>
              <w:rPr>
                <w:rFonts w:hint="default" w:ascii="Times New Roman" w:hAnsi="Times New Roman" w:eastAsia="宋体" w:cs="Times New Roman"/>
                <w:spacing w:val="-5"/>
                <w:lang w:eastAsia="zh-CN"/>
              </w:rPr>
              <w:t>雍淇中</w:t>
            </w:r>
            <w:r>
              <w:rPr>
                <w:rFonts w:hint="default" w:ascii="Times New Roman" w:hAnsi="Times New Roman" w:eastAsia="宋体" w:cs="Times New Roman"/>
                <w:spacing w:val="-5"/>
                <w:lang w:val="en-US" w:eastAsia="zh-CN"/>
              </w:rPr>
              <w:t>。</w:t>
            </w:r>
            <w:r>
              <w:rPr>
                <w:rFonts w:hint="default" w:ascii="Times New Roman" w:hAnsi="Times New Roman" w:cs="Times New Roman"/>
                <w:spacing w:val="-5"/>
                <w:lang w:val="en-US" w:eastAsia="zh-CN"/>
              </w:rPr>
              <w:t>本项目位于</w:t>
            </w:r>
            <w:r>
              <w:rPr>
                <w:rFonts w:hint="default" w:ascii="Times New Roman" w:hAnsi="Times New Roman" w:cs="Times New Roman"/>
                <w:color w:val="auto"/>
                <w:highlight w:val="none"/>
                <w:lang w:val="en-US" w:eastAsia="zh-CN"/>
              </w:rPr>
              <w:t>新疆维吾尔自治区巴音郭楞蒙古自治州库尔勒市上库综合产业园区西域大道与上水西路交界处，</w:t>
            </w:r>
            <w:r>
              <w:rPr>
                <w:rFonts w:hint="default" w:ascii="Times New Roman" w:hAnsi="Times New Roman" w:eastAsia="宋体" w:cs="Times New Roman"/>
                <w:spacing w:val="-5"/>
                <w:lang w:val="en-US" w:eastAsia="zh-CN"/>
              </w:rPr>
              <w:t>本项目</w:t>
            </w:r>
            <w:r>
              <w:rPr>
                <w:rFonts w:hint="default" w:ascii="Times New Roman" w:hAnsi="Times New Roman" w:cs="Times New Roman"/>
                <w:spacing w:val="-5"/>
                <w:lang w:val="en-US" w:eastAsia="zh-CN"/>
              </w:rPr>
              <w:t>投资11976万元，占地面积67637.03</w:t>
            </w:r>
            <w:r>
              <w:rPr>
                <w:rFonts w:hint="default" w:ascii="Times New Roman" w:hAnsi="Times New Roman" w:eastAsia="宋体" w:cs="Times New Roman"/>
                <w:color w:val="auto"/>
                <w:sz w:val="21"/>
                <w:highlight w:val="none"/>
              </w:rPr>
              <w:t>m</w:t>
            </w:r>
            <w:r>
              <w:rPr>
                <w:rFonts w:hint="default" w:ascii="Times New Roman" w:hAnsi="Times New Roman" w:cs="Times New Roman"/>
                <w:color w:val="auto"/>
                <w:sz w:val="21"/>
                <w:highlight w:val="none"/>
                <w:vertAlign w:val="superscript"/>
                <w:lang w:val="en-US" w:eastAsia="zh-CN"/>
              </w:rPr>
              <w:t>2</w:t>
            </w:r>
            <w:r>
              <w:rPr>
                <w:rFonts w:hint="default" w:ascii="Times New Roman" w:hAnsi="Times New Roman" w:cs="Times New Roman"/>
                <w:spacing w:val="-5"/>
                <w:lang w:val="en-US" w:eastAsia="zh-CN"/>
              </w:rPr>
              <w:t>，建筑面积</w:t>
            </w:r>
            <w:r>
              <w:rPr>
                <w:rFonts w:hint="eastAsia" w:ascii="Times New Roman" w:hAnsi="Times New Roman" w:cs="Times New Roman"/>
                <w:color w:val="auto"/>
                <w:highlight w:val="none"/>
                <w:lang w:eastAsia="zh-CN"/>
              </w:rPr>
              <w:t>31961.51m</w:t>
            </w:r>
            <w:r>
              <w:rPr>
                <w:rFonts w:hint="eastAsia" w:ascii="Times New Roman" w:hAnsi="Times New Roman" w:cs="Times New Roman"/>
                <w:color w:val="auto"/>
                <w:highlight w:val="none"/>
                <w:vertAlign w:val="superscript"/>
                <w:lang w:eastAsia="zh-CN"/>
              </w:rPr>
              <w:t>2</w:t>
            </w:r>
            <w:r>
              <w:rPr>
                <w:rFonts w:hint="default" w:ascii="Times New Roman" w:hAnsi="Times New Roman" w:cs="Times New Roman"/>
                <w:spacing w:val="-5"/>
                <w:lang w:val="en-US" w:eastAsia="zh-CN"/>
              </w:rPr>
              <w:t>。本项目报废灭火器由合作社提供，项目建设完成后可年处理40000吨灭火器干粉及其配套灭火器。</w:t>
            </w:r>
          </w:p>
          <w:p w14:paraId="3D652A9B">
            <w:pPr>
              <w:pStyle w:val="74"/>
              <w:spacing w:before="171" w:line="355" w:lineRule="auto"/>
              <w:ind w:left="106" w:right="35" w:firstLine="483"/>
              <w:jc w:val="both"/>
              <w:rPr>
                <w:rFonts w:hint="default" w:ascii="Times New Roman" w:hAnsi="Times New Roman" w:eastAsia="宋体" w:cs="Times New Roman"/>
                <w:spacing w:val="-5"/>
                <w:lang w:val="en-US" w:eastAsia="zh-CN"/>
              </w:rPr>
            </w:pPr>
            <w:r>
              <w:rPr>
                <w:rFonts w:hint="default" w:ascii="Times New Roman" w:hAnsi="Times New Roman" w:eastAsia="宋体" w:cs="Times New Roman"/>
                <w:spacing w:val="-5"/>
                <w:lang w:val="en-US" w:eastAsia="zh-CN"/>
              </w:rPr>
              <w:t>根据《中华人民共和国环境保护法</w:t>
            </w:r>
            <w:r>
              <w:rPr>
                <w:rFonts w:hint="default" w:ascii="Times New Roman" w:hAnsi="Times New Roman" w:cs="Times New Roman"/>
                <w:spacing w:val="-5"/>
                <w:lang w:val="en-US" w:eastAsia="zh-CN"/>
              </w:rPr>
              <w:t>》《</w:t>
            </w:r>
            <w:r>
              <w:rPr>
                <w:rFonts w:hint="default" w:ascii="Times New Roman" w:hAnsi="Times New Roman" w:eastAsia="宋体" w:cs="Times New Roman"/>
                <w:spacing w:val="-5"/>
                <w:lang w:val="en-US" w:eastAsia="zh-CN"/>
              </w:rPr>
              <w:t>中华人民共和国环境影响评价法</w:t>
            </w:r>
            <w:r>
              <w:rPr>
                <w:rFonts w:hint="default" w:ascii="Times New Roman" w:hAnsi="Times New Roman" w:cs="Times New Roman"/>
                <w:spacing w:val="-5"/>
                <w:lang w:val="en-US" w:eastAsia="zh-CN"/>
              </w:rPr>
              <w:t>》《</w:t>
            </w:r>
            <w:r>
              <w:rPr>
                <w:rFonts w:hint="default" w:ascii="Times New Roman" w:hAnsi="Times New Roman" w:eastAsia="宋体" w:cs="Times New Roman"/>
                <w:spacing w:val="-5"/>
                <w:lang w:val="en-US" w:eastAsia="zh-CN"/>
              </w:rPr>
              <w:t>建设项目环境保护管理条例》（国务院第682号令）、《建设项目环境影响评价分类管理名录（2021）》</w:t>
            </w:r>
            <w:r>
              <w:rPr>
                <w:rFonts w:hint="default" w:ascii="Times New Roman" w:hAnsi="Times New Roman" w:cs="Times New Roman"/>
                <w:spacing w:val="-5"/>
                <w:lang w:val="en-US" w:eastAsia="zh-CN"/>
              </w:rPr>
              <w:t>、备案证</w:t>
            </w:r>
            <w:r>
              <w:rPr>
                <w:rFonts w:hint="default" w:ascii="Times New Roman" w:hAnsi="Times New Roman" w:eastAsia="宋体" w:cs="Times New Roman"/>
                <w:spacing w:val="-5"/>
                <w:lang w:val="en-US" w:eastAsia="zh-CN"/>
              </w:rPr>
              <w:t>，</w:t>
            </w:r>
            <w:r>
              <w:rPr>
                <w:rFonts w:hint="default" w:ascii="Times New Roman" w:hAnsi="Times New Roman" w:cs="Times New Roman"/>
                <w:spacing w:val="-5"/>
                <w:lang w:val="en-US" w:eastAsia="zh-CN"/>
              </w:rPr>
              <w:t>本</w:t>
            </w:r>
            <w:r>
              <w:rPr>
                <w:rFonts w:hint="default" w:ascii="Times New Roman" w:hAnsi="Times New Roman" w:eastAsia="宋体" w:cs="Times New Roman"/>
                <w:spacing w:val="-5"/>
                <w:lang w:val="en-US" w:eastAsia="zh-CN"/>
              </w:rPr>
              <w:t>项目</w:t>
            </w:r>
            <w:r>
              <w:rPr>
                <w:rFonts w:hint="default" w:ascii="Times New Roman" w:hAnsi="Times New Roman" w:cs="Times New Roman"/>
                <w:spacing w:val="-5"/>
                <w:highlight w:val="none"/>
                <w:lang w:val="en-US" w:eastAsia="zh-CN"/>
              </w:rPr>
              <w:t>主要回收处理灭火器，产品为复合肥母液、废铜、钢渣，复合肥母液不能作为肥料直接使用，肥料厂收购后续再次加工成化肥。则本项目</w:t>
            </w:r>
            <w:r>
              <w:rPr>
                <w:rFonts w:hint="default" w:ascii="Times New Roman" w:hAnsi="Times New Roman" w:eastAsia="宋体" w:cs="Times New Roman"/>
                <w:spacing w:val="-5"/>
                <w:lang w:val="en-US" w:eastAsia="zh-CN"/>
              </w:rPr>
              <w:t>属于</w:t>
            </w:r>
            <w:r>
              <w:rPr>
                <w:rFonts w:hint="default" w:ascii="Times New Roman" w:hAnsi="Times New Roman" w:cs="Times New Roman"/>
                <w:spacing w:val="-5"/>
                <w:lang w:val="en-US" w:eastAsia="zh-CN"/>
              </w:rPr>
              <w:t>“三十九、</w:t>
            </w:r>
            <w:r>
              <w:rPr>
                <w:rFonts w:hint="default" w:ascii="Times New Roman" w:hAnsi="Times New Roman" w:cs="Times New Roman"/>
                <w:spacing w:val="-2"/>
                <w:lang w:val="en-US" w:eastAsia="zh-CN"/>
              </w:rPr>
              <w:t>废弃资源综合利用业</w:t>
            </w:r>
            <w:r>
              <w:rPr>
                <w:rFonts w:hint="default" w:ascii="Times New Roman" w:hAnsi="Times New Roman" w:cs="Times New Roman"/>
                <w:spacing w:val="-5"/>
                <w:lang w:val="en-US" w:eastAsia="zh-CN"/>
              </w:rPr>
              <w:t>42</w:t>
            </w:r>
            <w:r>
              <w:rPr>
                <w:rFonts w:hint="default" w:ascii="Times New Roman" w:hAnsi="Times New Roman" w:eastAsia="宋体" w:cs="Times New Roman"/>
                <w:spacing w:val="-5"/>
                <w:lang w:val="en-US" w:eastAsia="zh-CN"/>
              </w:rPr>
              <w:t>、</w:t>
            </w:r>
            <w:r>
              <w:rPr>
                <w:rFonts w:hint="default" w:ascii="Times New Roman" w:hAnsi="Times New Roman" w:cs="Times New Roman"/>
                <w:spacing w:val="2"/>
                <w:lang w:val="en-US" w:eastAsia="zh-CN"/>
              </w:rPr>
              <w:t>85</w:t>
            </w:r>
            <w:r>
              <w:rPr>
                <w:rFonts w:hint="default" w:ascii="Times New Roman" w:hAnsi="Times New Roman" w:eastAsia="宋体" w:cs="Times New Roman"/>
                <w:sz w:val="24"/>
                <w:szCs w:val="24"/>
              </w:rPr>
              <w:t>金属废料和碎屑加工处理421；非金属废料和碎屑加工处理422（421和422均不含原料为危险废物的，均不含仅分拣、破碎的）</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default" w:ascii="Times New Roman" w:hAnsi="Times New Roman" w:cs="Times New Roman"/>
                <w:spacing w:val="-5"/>
                <w:lang w:val="en-US" w:eastAsia="zh-CN"/>
              </w:rPr>
              <w:t>”</w:t>
            </w:r>
            <w:r>
              <w:rPr>
                <w:rFonts w:hint="default" w:ascii="Times New Roman" w:hAnsi="Times New Roman" w:eastAsia="宋体" w:cs="Times New Roman"/>
                <w:spacing w:val="-5"/>
                <w:lang w:val="en-US" w:eastAsia="zh-CN"/>
              </w:rPr>
              <w:t>，根据名录要求应编制环境影响报告表。受</w:t>
            </w:r>
            <w:r>
              <w:rPr>
                <w:rFonts w:hint="default" w:ascii="Times New Roman" w:hAnsi="Times New Roman" w:cs="Times New Roman"/>
                <w:spacing w:val="-5"/>
                <w:lang w:eastAsia="zh-CN"/>
              </w:rPr>
              <w:t>新疆众革资源循环科技有限公司</w:t>
            </w:r>
            <w:r>
              <w:rPr>
                <w:rFonts w:hint="default" w:ascii="Times New Roman" w:hAnsi="Times New Roman" w:eastAsia="宋体" w:cs="Times New Roman"/>
                <w:spacing w:val="-5"/>
                <w:lang w:val="en-US" w:eastAsia="zh-CN"/>
              </w:rPr>
              <w:t>委托，新疆绿维环保科技有限公司承担了本项目的环境影响评价工作。接受委托后，在现场踏勘和资料收集的基础上，编制完成《</w:t>
            </w:r>
            <w:r>
              <w:rPr>
                <w:rFonts w:hint="default" w:ascii="Times New Roman" w:hAnsi="Times New Roman" w:cs="Times New Roman"/>
                <w:spacing w:val="-5"/>
                <w:lang w:val="en-US" w:eastAsia="zh-CN"/>
              </w:rPr>
              <w:t>新疆众革资源循环科技有限公司年产4万吨/年干粉灭火器报废回收循环利用示范化项目</w:t>
            </w:r>
            <w:r>
              <w:rPr>
                <w:rFonts w:hint="default" w:ascii="Times New Roman" w:hAnsi="Times New Roman" w:eastAsia="宋体" w:cs="Times New Roman"/>
                <w:spacing w:val="-5"/>
                <w:lang w:val="en-US" w:eastAsia="zh-CN"/>
              </w:rPr>
              <w:t>》，并呈报生态环境主管部门进行审批，审批后的报告将作为生态环境部门对企业进行环境管理的依据</w:t>
            </w:r>
            <w:r>
              <w:rPr>
                <w:rFonts w:hint="default" w:ascii="Times New Roman" w:hAnsi="Times New Roman" w:eastAsia="宋体" w:cs="Times New Roman"/>
                <w:spacing w:val="-5"/>
              </w:rPr>
              <w:t>。</w:t>
            </w:r>
          </w:p>
          <w:p w14:paraId="2A6D6EDA">
            <w:pPr>
              <w:pStyle w:val="51"/>
              <w:ind w:left="0" w:leftChars="0" w:firstLine="0" w:firstLineChars="0"/>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val="en-US" w:eastAsia="zh-CN" w:bidi="ar"/>
              </w:rPr>
              <w:t>2.</w:t>
            </w:r>
            <w:r>
              <w:rPr>
                <w:rFonts w:hint="default" w:ascii="Times New Roman" w:hAnsi="Times New Roman" w:cs="Times New Roman"/>
                <w:b/>
                <w:color w:val="auto"/>
                <w:highlight w:val="none"/>
                <w:lang w:bidi="ar"/>
              </w:rPr>
              <w:t>建设基本情况</w:t>
            </w:r>
          </w:p>
          <w:p w14:paraId="6522EA7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新疆众革资源循环科技有限公司年产4万吨/年干粉灭火器报废回收循环利用示范化项目</w:t>
            </w:r>
            <w:r>
              <w:rPr>
                <w:rFonts w:hint="default" w:ascii="Times New Roman" w:hAnsi="Times New Roman" w:cs="Times New Roman"/>
                <w:color w:val="auto"/>
                <w:highlight w:val="none"/>
              </w:rPr>
              <w:t>；</w:t>
            </w:r>
          </w:p>
          <w:p w14:paraId="31A1915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新疆众革资源循环科技有限公司</w:t>
            </w:r>
            <w:r>
              <w:rPr>
                <w:rFonts w:hint="default" w:ascii="Times New Roman" w:hAnsi="Times New Roman" w:cs="Times New Roman"/>
                <w:color w:val="auto"/>
                <w:highlight w:val="none"/>
              </w:rPr>
              <w:t>；</w:t>
            </w:r>
          </w:p>
          <w:p w14:paraId="7F56A01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建设性质：新建；</w:t>
            </w:r>
          </w:p>
          <w:p w14:paraId="55669448">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项目总投资：总投资</w:t>
            </w:r>
            <w:r>
              <w:rPr>
                <w:rFonts w:hint="default" w:ascii="Times New Roman" w:hAnsi="Times New Roman" w:cs="Times New Roman"/>
                <w:color w:val="auto"/>
                <w:highlight w:val="none"/>
                <w:lang w:val="en-US" w:eastAsia="zh-CN"/>
              </w:rPr>
              <w:t>11976</w:t>
            </w:r>
            <w:r>
              <w:rPr>
                <w:rFonts w:hint="default" w:ascii="Times New Roman" w:hAnsi="Times New Roman" w:cs="Times New Roman"/>
                <w:color w:val="auto"/>
                <w:highlight w:val="none"/>
              </w:rPr>
              <w:t>万元，其中环保投资</w:t>
            </w:r>
            <w:r>
              <w:rPr>
                <w:rFonts w:hint="default" w:ascii="Times New Roman" w:hAnsi="Times New Roman" w:cs="Times New Roman"/>
                <w:color w:val="auto"/>
                <w:highlight w:val="none"/>
                <w:lang w:val="en-US" w:eastAsia="zh-CN"/>
              </w:rPr>
              <w:t>108</w:t>
            </w:r>
            <w:r>
              <w:rPr>
                <w:rFonts w:hint="default" w:ascii="Times New Roman" w:hAnsi="Times New Roman" w:cs="Times New Roman"/>
                <w:color w:val="auto"/>
                <w:highlight w:val="none"/>
              </w:rPr>
              <w:t>万元，占总投资的</w:t>
            </w:r>
            <w:r>
              <w:rPr>
                <w:rFonts w:hint="default" w:ascii="Times New Roman" w:hAnsi="Times New Roman" w:cs="Times New Roman"/>
                <w:color w:val="auto"/>
                <w:highlight w:val="none"/>
                <w:lang w:val="en-US" w:eastAsia="zh-CN"/>
              </w:rPr>
              <w:t>0.9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建设地点：本项目位于新疆维吾尔自治区巴音郭楞蒙古自治州库尔勒市上库综合产业园区西域大道与上水西路交界处，厂区中心位置坐标为：</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85°54′55.028″</w:t>
            </w:r>
            <w:r>
              <w:rPr>
                <w:rFonts w:hint="default" w:ascii="Times New Roman" w:hAnsi="Times New Roman" w:cs="Times New Roman"/>
                <w:color w:val="auto"/>
                <w:highlight w:val="none"/>
              </w:rPr>
              <w:t>，北纬</w:t>
            </w:r>
            <w:r>
              <w:rPr>
                <w:rFonts w:hint="default" w:ascii="Times New Roman" w:hAnsi="Times New Roman" w:cs="Times New Roman"/>
                <w:color w:val="auto"/>
                <w:highlight w:val="none"/>
                <w:lang w:eastAsia="zh-CN"/>
              </w:rPr>
              <w:t>41°51′19.239″。</w:t>
            </w:r>
          </w:p>
          <w:p w14:paraId="06F0C379">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周边环境：项目</w:t>
            </w:r>
            <w:r>
              <w:rPr>
                <w:rFonts w:hint="default" w:ascii="Times New Roman" w:hAnsi="Times New Roman" w:cs="Times New Roman"/>
                <w:color w:val="auto"/>
                <w:highlight w:val="none"/>
                <w:lang w:val="en-US" w:eastAsia="zh-CN"/>
              </w:rPr>
              <w:t>西侧、</w:t>
            </w:r>
            <w:r>
              <w:rPr>
                <w:rFonts w:hint="default" w:ascii="Times New Roman" w:hAnsi="Times New Roman" w:eastAsia="宋体" w:cs="Times New Roman"/>
                <w:color w:val="auto"/>
                <w:highlight w:val="none"/>
                <w:lang w:val="en-US" w:eastAsia="zh-CN"/>
              </w:rPr>
              <w:t>北侧</w:t>
            </w:r>
            <w:r>
              <w:rPr>
                <w:rFonts w:hint="default" w:ascii="Times New Roman" w:hAnsi="Times New Roman" w:cs="Times New Roman"/>
                <w:color w:val="auto"/>
                <w:highlight w:val="none"/>
                <w:lang w:val="en-US" w:eastAsia="zh-CN"/>
              </w:rPr>
              <w:t>为空地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南侧15</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为西域大道，南侧67</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为水泥制品厂，东侧5</w:t>
            </w:r>
            <w:r>
              <w:rPr>
                <w:rFonts w:hint="default" w:ascii="Times New Roman" w:hAnsi="Times New Roman" w:eastAsia="宋体" w:cs="Times New Roman"/>
                <w:color w:val="auto"/>
                <w:highlight w:val="none"/>
                <w:lang w:val="en-US" w:eastAsia="zh-CN"/>
              </w:rPr>
              <w:t>m</w:t>
            </w:r>
            <w:r>
              <w:rPr>
                <w:rFonts w:hint="default" w:ascii="Times New Roman" w:hAnsi="Times New Roman" w:cs="Times New Roman"/>
                <w:color w:val="auto"/>
                <w:highlight w:val="none"/>
                <w:lang w:val="en-US" w:eastAsia="zh-CN"/>
              </w:rPr>
              <w:t>为泄洪渠，泄洪渠东面为空地，</w:t>
            </w:r>
            <w:r>
              <w:rPr>
                <w:rFonts w:hint="default" w:ascii="Times New Roman" w:hAnsi="Times New Roman" w:eastAsia="宋体" w:cs="Times New Roman"/>
                <w:color w:val="auto"/>
                <w:highlight w:val="none"/>
                <w:lang w:val="en-US" w:eastAsia="zh-CN"/>
              </w:rPr>
              <w:t>具体地理位置详见附图</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《建设项目地理位置图》，项目周边环境详见附图</w:t>
            </w:r>
            <w:r>
              <w:rPr>
                <w:rFonts w:hint="default" w:ascii="Times New Roman" w:hAnsi="Times New Roman" w:cs="Times New Roman"/>
                <w:color w:val="auto"/>
                <w:highlight w:val="none"/>
                <w:lang w:val="en-US" w:eastAsia="zh-CN"/>
              </w:rPr>
              <w:t>二</w:t>
            </w:r>
            <w:r>
              <w:rPr>
                <w:rFonts w:hint="default" w:ascii="Times New Roman" w:hAnsi="Times New Roman" w:eastAsia="宋体" w:cs="Times New Roman"/>
                <w:color w:val="auto"/>
                <w:highlight w:val="none"/>
                <w:lang w:val="en-US" w:eastAsia="zh-CN"/>
              </w:rPr>
              <w:t>《建设项目周边环境关系图》。</w:t>
            </w:r>
          </w:p>
          <w:p w14:paraId="54E2C146">
            <w:pPr>
              <w:pStyle w:val="51"/>
              <w:ind w:firstLine="0" w:firstLineChars="0"/>
              <w:rPr>
                <w:rFonts w:hint="default" w:ascii="Times New Roman" w:hAnsi="Times New Roman" w:cs="Times New Roman"/>
                <w:b/>
                <w:color w:val="auto"/>
                <w:highlight w:val="none"/>
                <w:lang w:bidi="ar"/>
              </w:rPr>
            </w:pPr>
            <w:r>
              <w:rPr>
                <w:rFonts w:hint="default" w:ascii="Times New Roman" w:hAnsi="Times New Roman" w:cs="Times New Roman"/>
                <w:b/>
                <w:color w:val="auto"/>
                <w:highlight w:val="none"/>
                <w:lang w:val="en-US" w:eastAsia="zh-CN" w:bidi="ar"/>
              </w:rPr>
              <w:t>3.</w:t>
            </w:r>
            <w:r>
              <w:rPr>
                <w:rFonts w:hint="default" w:ascii="Times New Roman" w:hAnsi="Times New Roman" w:cs="Times New Roman"/>
                <w:b/>
                <w:color w:val="auto"/>
                <w:highlight w:val="none"/>
                <w:lang w:bidi="ar"/>
              </w:rPr>
              <w:t>建设内容</w:t>
            </w:r>
          </w:p>
          <w:p w14:paraId="1403B5A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本项目拟建设</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条报废灭火器干粉加工</w:t>
            </w:r>
            <w:r>
              <w:rPr>
                <w:rFonts w:hint="default" w:ascii="Times New Roman" w:hAnsi="Times New Roman" w:cs="Times New Roman"/>
                <w:color w:val="auto"/>
                <w:highlight w:val="none"/>
                <w:lang w:val="en-US" w:eastAsia="zh-CN"/>
              </w:rPr>
              <w:t>生产</w:t>
            </w:r>
            <w:r>
              <w:rPr>
                <w:rFonts w:hint="default" w:ascii="Times New Roman" w:hAnsi="Times New Roman" w:cs="Times New Roman"/>
                <w:color w:val="auto"/>
                <w:highlight w:val="none"/>
                <w:lang w:eastAsia="zh-CN"/>
              </w:rPr>
              <w:t>复合肥母液</w:t>
            </w:r>
            <w:r>
              <w:rPr>
                <w:rFonts w:hint="default" w:ascii="Times New Roman" w:hAnsi="Times New Roman" w:cs="Times New Roman"/>
                <w:color w:val="auto"/>
                <w:highlight w:val="none"/>
              </w:rPr>
              <w:t>生产线以及相应配套设施，</w:t>
            </w:r>
            <w:bookmarkStart w:id="8" w:name="_Hlk26891771"/>
            <w:r>
              <w:rPr>
                <w:rFonts w:hint="default" w:ascii="Times New Roman" w:hAnsi="Times New Roman" w:cs="Times New Roman"/>
                <w:color w:val="auto"/>
                <w:highlight w:val="none"/>
              </w:rPr>
              <w:t>年处理报废灭火器干粉</w:t>
            </w:r>
            <w:r>
              <w:rPr>
                <w:rFonts w:hint="default" w:ascii="Times New Roman" w:hAnsi="Times New Roman" w:cs="Times New Roman"/>
                <w:color w:val="auto"/>
                <w:highlight w:val="none"/>
                <w:lang w:val="en-US" w:eastAsia="zh-CN"/>
              </w:rPr>
              <w:t>40000</w:t>
            </w:r>
            <w:r>
              <w:rPr>
                <w:rFonts w:hint="default" w:ascii="Times New Roman" w:hAnsi="Times New Roman" w:cs="Times New Roman"/>
                <w:color w:val="auto"/>
                <w:highlight w:val="none"/>
              </w:rPr>
              <w:t>吨，</w:t>
            </w:r>
            <w:r>
              <w:rPr>
                <w:rFonts w:hint="default" w:ascii="Times New Roman" w:hAnsi="Times New Roman" w:cs="Times New Roman"/>
                <w:color w:val="auto"/>
                <w:highlight w:val="none"/>
                <w:lang w:val="en-US" w:eastAsia="zh-CN"/>
              </w:rPr>
              <w:t>产品为114149</w:t>
            </w:r>
            <w:r>
              <w:rPr>
                <w:rFonts w:hint="default" w:ascii="Times New Roman" w:hAnsi="Times New Roman" w:cs="Times New Roman"/>
                <w:color w:val="auto"/>
                <w:highlight w:val="none"/>
              </w:rPr>
              <w:t>吨</w:t>
            </w:r>
            <w:r>
              <w:rPr>
                <w:rFonts w:hint="default" w:ascii="Times New Roman" w:hAnsi="Times New Roman" w:cs="Times New Roman"/>
                <w:color w:val="auto"/>
                <w:highlight w:val="none"/>
                <w:lang w:eastAsia="zh-CN"/>
              </w:rPr>
              <w:t>复合肥母液</w:t>
            </w:r>
            <w:r>
              <w:rPr>
                <w:rFonts w:hint="default" w:ascii="Times New Roman" w:hAnsi="Times New Roman" w:cs="Times New Roman"/>
                <w:color w:val="auto"/>
                <w:highlight w:val="none"/>
              </w:rPr>
              <w:t>，副产</w:t>
            </w:r>
            <w:r>
              <w:rPr>
                <w:rFonts w:hint="default" w:ascii="Times New Roman" w:hAnsi="Times New Roman" w:cs="Times New Roman"/>
                <w:color w:val="auto"/>
                <w:highlight w:val="none"/>
                <w:lang w:val="en-US" w:eastAsia="zh-CN"/>
              </w:rPr>
              <w:t>品为</w:t>
            </w:r>
            <w:r>
              <w:rPr>
                <w:rFonts w:hint="default" w:ascii="Times New Roman" w:hAnsi="Times New Roman" w:cs="Times New Roman"/>
                <w:color w:val="auto"/>
                <w:highlight w:val="none"/>
              </w:rPr>
              <w:t>滑石粉</w:t>
            </w:r>
            <w:r>
              <w:rPr>
                <w:rFonts w:hint="default" w:ascii="Times New Roman" w:hAnsi="Times New Roman" w:cs="Times New Roman"/>
                <w:color w:val="auto"/>
                <w:highlight w:val="none"/>
                <w:lang w:val="en-US" w:eastAsia="zh-CN"/>
              </w:rPr>
              <w:t>5800</w:t>
            </w:r>
            <w:r>
              <w:rPr>
                <w:rFonts w:hint="default" w:ascii="Times New Roman" w:hAnsi="Times New Roman" w:cs="Times New Roman"/>
                <w:color w:val="auto"/>
                <w:highlight w:val="none"/>
              </w:rPr>
              <w:t>吨，</w:t>
            </w:r>
            <w:r>
              <w:rPr>
                <w:rFonts w:hint="default" w:ascii="Times New Roman" w:hAnsi="Times New Roman" w:cs="Times New Roman"/>
                <w:color w:val="auto"/>
                <w:highlight w:val="none"/>
                <w:lang w:val="en-US" w:eastAsia="zh-CN"/>
              </w:rPr>
              <w:t>灭火器瓶分解为</w:t>
            </w:r>
            <w:r>
              <w:rPr>
                <w:rFonts w:hint="default" w:ascii="Times New Roman" w:hAnsi="Times New Roman" w:cs="Times New Roman"/>
                <w:color w:val="auto"/>
                <w:highlight w:val="none"/>
              </w:rPr>
              <w:t>钢渣</w:t>
            </w:r>
            <w:r>
              <w:rPr>
                <w:rFonts w:hint="default" w:ascii="Times New Roman" w:hAnsi="Times New Roman" w:cs="Times New Roman"/>
                <w:color w:val="auto"/>
                <w:highlight w:val="none"/>
                <w:lang w:val="en-US" w:eastAsia="zh-CN"/>
              </w:rPr>
              <w:t>28800</w:t>
            </w:r>
            <w:r>
              <w:rPr>
                <w:rFonts w:hint="default" w:ascii="Times New Roman" w:hAnsi="Times New Roman" w:cs="Times New Roman"/>
                <w:color w:val="auto"/>
                <w:highlight w:val="none"/>
              </w:rPr>
              <w:t>吨，铜</w:t>
            </w:r>
            <w:r>
              <w:rPr>
                <w:rFonts w:hint="default" w:ascii="Times New Roman" w:hAnsi="Times New Roman" w:cs="Times New Roman"/>
                <w:color w:val="auto"/>
                <w:highlight w:val="none"/>
                <w:lang w:val="en-US" w:eastAsia="zh-CN"/>
              </w:rPr>
              <w:t>1000</w:t>
            </w:r>
            <w:r>
              <w:rPr>
                <w:rFonts w:hint="default" w:ascii="Times New Roman" w:hAnsi="Times New Roman" w:cs="Times New Roman"/>
                <w:color w:val="auto"/>
                <w:highlight w:val="none"/>
              </w:rPr>
              <w:t>吨。</w:t>
            </w:r>
            <w:bookmarkEnd w:id="8"/>
            <w:r>
              <w:rPr>
                <w:rFonts w:hint="default" w:ascii="Times New Roman" w:hAnsi="Times New Roman" w:cs="Times New Roman"/>
                <w:color w:val="auto"/>
                <w:highlight w:val="none"/>
              </w:rPr>
              <w:t>本项目拟占地面积1</w:t>
            </w:r>
            <w:r>
              <w:rPr>
                <w:rFonts w:hint="default" w:ascii="Times New Roman" w:hAnsi="Times New Roman" w:cs="Times New Roman"/>
                <w:color w:val="auto"/>
                <w:highlight w:val="none"/>
                <w:lang w:val="en-US" w:eastAsia="zh-CN"/>
              </w:rPr>
              <w:t>01.46</w:t>
            </w:r>
            <w:r>
              <w:rPr>
                <w:rFonts w:hint="default" w:ascii="Times New Roman" w:hAnsi="Times New Roman" w:cs="Times New Roman"/>
                <w:color w:val="auto"/>
                <w:highlight w:val="none"/>
              </w:rPr>
              <w:t>亩，新增建筑面积</w:t>
            </w:r>
            <w:r>
              <w:rPr>
                <w:rFonts w:hint="eastAsia" w:cs="Times New Roman"/>
                <w:color w:val="auto"/>
                <w:highlight w:val="none"/>
                <w:lang w:eastAsia="zh-CN"/>
              </w:rPr>
              <w:t>31961.51</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color w:val="auto"/>
                <w:highlight w:val="none"/>
              </w:rPr>
              <w:t>；新购置设备</w:t>
            </w:r>
            <w:r>
              <w:rPr>
                <w:rFonts w:hint="eastAsia" w:cs="Times New Roman"/>
                <w:color w:val="auto"/>
                <w:highlight w:val="none"/>
                <w:lang w:val="en-US" w:eastAsia="zh-CN"/>
              </w:rPr>
              <w:t>76</w:t>
            </w:r>
            <w:r>
              <w:rPr>
                <w:rFonts w:hint="default" w:ascii="Times New Roman" w:hAnsi="Times New Roman" w:cs="Times New Roman"/>
                <w:color w:val="auto"/>
                <w:highlight w:val="none"/>
              </w:rPr>
              <w:t>台（套）。</w:t>
            </w:r>
          </w:p>
          <w:p w14:paraId="651B717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建设内容详见表2-1。</w:t>
            </w:r>
          </w:p>
          <w:p w14:paraId="611C63FB">
            <w:pPr>
              <w:pStyle w:val="3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表2-1   建设项目组成一览表</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454"/>
              <w:gridCol w:w="5026"/>
              <w:gridCol w:w="721"/>
            </w:tblGrid>
            <w:tr w14:paraId="1E86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Align w:val="center"/>
                </w:tcPr>
                <w:p w14:paraId="483068F8">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类别</w:t>
                  </w:r>
                </w:p>
              </w:tc>
              <w:tc>
                <w:tcPr>
                  <w:tcW w:w="1454" w:type="dxa"/>
                  <w:vAlign w:val="center"/>
                </w:tcPr>
                <w:p w14:paraId="327D0032">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项目名称</w:t>
                  </w:r>
                </w:p>
              </w:tc>
              <w:tc>
                <w:tcPr>
                  <w:tcW w:w="5026" w:type="dxa"/>
                  <w:vAlign w:val="center"/>
                </w:tcPr>
                <w:p w14:paraId="437AB99D">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建设内容</w:t>
                  </w:r>
                </w:p>
              </w:tc>
              <w:tc>
                <w:tcPr>
                  <w:tcW w:w="721" w:type="dxa"/>
                  <w:vAlign w:val="center"/>
                </w:tcPr>
                <w:p w14:paraId="36412B6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0302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Align w:val="center"/>
                </w:tcPr>
                <w:p w14:paraId="48844866">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主体工程</w:t>
                  </w:r>
                </w:p>
              </w:tc>
              <w:tc>
                <w:tcPr>
                  <w:tcW w:w="1454" w:type="dxa"/>
                  <w:shd w:val="clear" w:color="auto" w:fill="auto"/>
                  <w:vAlign w:val="center"/>
                </w:tcPr>
                <w:p w14:paraId="6A2D841D">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干粉灭火器报废回收车间</w:t>
                  </w:r>
                </w:p>
              </w:tc>
              <w:tc>
                <w:tcPr>
                  <w:tcW w:w="5026" w:type="dxa"/>
                  <w:shd w:val="clear" w:color="auto" w:fill="auto"/>
                  <w:vAlign w:val="center"/>
                </w:tcPr>
                <w:p w14:paraId="32CDDBEF">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rPr>
                    <w:t>F</w:t>
                  </w:r>
                  <w:r>
                    <w:rPr>
                      <w:rFonts w:hint="default" w:ascii="Times New Roman" w:hAnsi="Times New Roman" w:eastAsia="宋体" w:cs="Times New Roman"/>
                      <w:color w:val="auto"/>
                      <w:sz w:val="21"/>
                      <w:highlight w:val="none"/>
                      <w:lang w:eastAsia="zh-CN"/>
                    </w:rPr>
                    <w:t>，</w:t>
                  </w:r>
                  <w:r>
                    <w:rPr>
                      <w:rFonts w:hint="default" w:ascii="Times New Roman" w:hAnsi="Times New Roman" w:cs="Times New Roman"/>
                      <w:color w:val="auto"/>
                      <w:sz w:val="21"/>
                      <w:highlight w:val="none"/>
                      <w:lang w:val="en-US" w:eastAsia="zh-CN"/>
                    </w:rPr>
                    <w:t>门式钢架</w:t>
                  </w:r>
                  <w:r>
                    <w:rPr>
                      <w:rFonts w:hint="default" w:ascii="Times New Roman" w:hAnsi="Times New Roman"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rPr>
                    <w:t>厂房长</w:t>
                  </w:r>
                  <w:r>
                    <w:rPr>
                      <w:rFonts w:hint="default" w:ascii="Times New Roman" w:hAnsi="Times New Roman" w:cs="Times New Roman"/>
                      <w:color w:val="auto"/>
                      <w:sz w:val="21"/>
                      <w:highlight w:val="none"/>
                      <w:lang w:val="en-US" w:eastAsia="zh-CN"/>
                    </w:rPr>
                    <w:t>196.1</w:t>
                  </w:r>
                  <w:r>
                    <w:rPr>
                      <w:rFonts w:hint="default" w:ascii="Times New Roman" w:hAnsi="Times New Roman" w:eastAsia="宋体" w:cs="Times New Roman"/>
                      <w:color w:val="auto"/>
                      <w:sz w:val="21"/>
                      <w:highlight w:val="none"/>
                    </w:rPr>
                    <w:t>m、宽</w:t>
                  </w:r>
                  <w:r>
                    <w:rPr>
                      <w:rFonts w:hint="default" w:ascii="Times New Roman" w:hAnsi="Times New Roman" w:cs="Times New Roman"/>
                      <w:color w:val="auto"/>
                      <w:sz w:val="21"/>
                      <w:highlight w:val="none"/>
                      <w:lang w:val="en-US" w:eastAsia="zh-CN"/>
                    </w:rPr>
                    <w:t>118.8</w:t>
                  </w:r>
                  <w:r>
                    <w:rPr>
                      <w:rFonts w:hint="default" w:ascii="Times New Roman" w:hAnsi="Times New Roman" w:eastAsia="宋体" w:cs="Times New Roman"/>
                      <w:color w:val="auto"/>
                      <w:sz w:val="21"/>
                      <w:highlight w:val="none"/>
                    </w:rPr>
                    <w:t>m、高</w:t>
                  </w:r>
                  <w:r>
                    <w:rPr>
                      <w:rFonts w:hint="default" w:ascii="Times New Roman" w:hAnsi="Times New Roman" w:cs="Times New Roman"/>
                      <w:color w:val="auto"/>
                      <w:sz w:val="21"/>
                      <w:highlight w:val="none"/>
                      <w:lang w:val="en-US" w:eastAsia="zh-CN"/>
                    </w:rPr>
                    <w:t>8.15</w:t>
                  </w:r>
                  <w:r>
                    <w:rPr>
                      <w:rFonts w:hint="default" w:ascii="Times New Roman" w:hAnsi="Times New Roman" w:eastAsia="宋体" w:cs="Times New Roman"/>
                      <w:color w:val="auto"/>
                      <w:sz w:val="21"/>
                      <w:highlight w:val="none"/>
                    </w:rPr>
                    <w:t>m，总面积</w:t>
                  </w:r>
                  <w:r>
                    <w:rPr>
                      <w:rFonts w:hint="default" w:ascii="Times New Roman" w:hAnsi="Times New Roman" w:cs="Times New Roman"/>
                      <w:color w:val="auto"/>
                      <w:sz w:val="21"/>
                      <w:highlight w:val="none"/>
                      <w:lang w:val="en-US" w:eastAsia="zh-CN"/>
                    </w:rPr>
                    <w:t>23000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eastAsia="宋体" w:cs="Times New Roman"/>
                      <w:color w:val="auto"/>
                      <w:sz w:val="21"/>
                      <w:highlight w:val="none"/>
                    </w:rPr>
                    <w:t>；</w:t>
                  </w:r>
                  <w:r>
                    <w:rPr>
                      <w:rFonts w:hint="default" w:ascii="Times New Roman" w:hAnsi="Times New Roman" w:cs="Times New Roman"/>
                      <w:color w:val="auto"/>
                      <w:sz w:val="21"/>
                      <w:highlight w:val="none"/>
                      <w:lang w:val="en-US" w:eastAsia="zh-CN"/>
                    </w:rPr>
                    <w:t>设置10条报废灭火器干粉回收利用加工生产复合肥母液生产线及相应配套设施</w:t>
                  </w:r>
                  <w:r>
                    <w:rPr>
                      <w:rFonts w:hint="default" w:ascii="Times New Roman" w:hAnsi="Times New Roman" w:cs="Times New Roman"/>
                      <w:lang w:eastAsia="zh-CN"/>
                    </w:rPr>
                    <w:t>，</w:t>
                  </w:r>
                  <w:r>
                    <w:rPr>
                      <w:rFonts w:hint="default" w:ascii="Times New Roman" w:hAnsi="Times New Roman" w:cs="Times New Roman"/>
                      <w:lang w:val="en-US" w:eastAsia="zh-CN"/>
                    </w:rPr>
                    <w:t>年消耗</w:t>
                  </w:r>
                  <w:r>
                    <w:rPr>
                      <w:rFonts w:hint="default" w:ascii="Times New Roman" w:hAnsi="Times New Roman" w:cs="Times New Roman"/>
                      <w:color w:val="auto"/>
                      <w:sz w:val="21"/>
                      <w:highlight w:val="none"/>
                      <w:lang w:val="en-US" w:eastAsia="zh-CN"/>
                    </w:rPr>
                    <w:t>40000</w:t>
                  </w:r>
                  <w:r>
                    <w:rPr>
                      <w:rFonts w:hint="default" w:ascii="Times New Roman" w:hAnsi="Times New Roman" w:cs="Times New Roman"/>
                      <w:color w:val="auto"/>
                      <w:highlight w:val="none"/>
                    </w:rPr>
                    <w:t>报废灭火器干粉</w:t>
                  </w:r>
                  <w:r>
                    <w:rPr>
                      <w:rFonts w:hint="default" w:ascii="Times New Roman" w:hAnsi="Times New Roman" w:cs="Times New Roman"/>
                      <w:color w:val="auto"/>
                      <w:sz w:val="21"/>
                      <w:highlight w:val="none"/>
                      <w:lang w:val="en-US" w:eastAsia="zh-CN"/>
                    </w:rPr>
                    <w:t>；</w:t>
                  </w:r>
                  <w:r>
                    <w:rPr>
                      <w:rFonts w:hint="default" w:ascii="Times New Roman" w:hAnsi="Times New Roman" w:cs="Times New Roman"/>
                      <w:lang w:val="en-US" w:eastAsia="zh-CN"/>
                    </w:rPr>
                    <w:t>内设2台10t/h电锅炉；</w:t>
                  </w:r>
                </w:p>
              </w:tc>
              <w:tc>
                <w:tcPr>
                  <w:tcW w:w="721" w:type="dxa"/>
                  <w:vMerge w:val="restart"/>
                  <w:vAlign w:val="center"/>
                </w:tcPr>
                <w:p w14:paraId="4946B87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2B81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restart"/>
                  <w:vAlign w:val="center"/>
                </w:tcPr>
                <w:p w14:paraId="3AEFFB48">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辅助工程</w:t>
                  </w:r>
                </w:p>
              </w:tc>
              <w:tc>
                <w:tcPr>
                  <w:tcW w:w="1454" w:type="dxa"/>
                  <w:shd w:val="clear" w:color="auto" w:fill="auto"/>
                  <w:vAlign w:val="center"/>
                </w:tcPr>
                <w:p w14:paraId="070D7844">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综合楼</w:t>
                  </w:r>
                </w:p>
              </w:tc>
              <w:tc>
                <w:tcPr>
                  <w:tcW w:w="5026" w:type="dxa"/>
                  <w:shd w:val="clear" w:color="auto" w:fill="auto"/>
                  <w:vAlign w:val="center"/>
                </w:tcPr>
                <w:p w14:paraId="7A6E3B7B">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3F，</w:t>
                  </w:r>
                  <w:r>
                    <w:rPr>
                      <w:rFonts w:hint="default" w:ascii="Times New Roman" w:hAnsi="Times New Roman" w:eastAsia="宋体" w:cs="Times New Roman"/>
                      <w:color w:val="auto"/>
                      <w:sz w:val="21"/>
                      <w:highlight w:val="none"/>
                      <w:lang w:val="en-US" w:eastAsia="zh-CN"/>
                    </w:rPr>
                    <w:t>框架结构</w:t>
                  </w:r>
                  <w:r>
                    <w:rPr>
                      <w:rFonts w:hint="default" w:ascii="Times New Roman" w:hAnsi="Times New Roman" w:eastAsia="宋体" w:cs="Times New Roman"/>
                      <w:color w:val="auto"/>
                      <w:sz w:val="21"/>
                      <w:highlight w:val="none"/>
                    </w:rPr>
                    <w:t>，高</w:t>
                  </w:r>
                  <w:r>
                    <w:rPr>
                      <w:rFonts w:hint="default" w:ascii="Times New Roman" w:hAnsi="Times New Roman" w:cs="Times New Roman"/>
                      <w:color w:val="auto"/>
                      <w:sz w:val="21"/>
                      <w:highlight w:val="none"/>
                      <w:lang w:val="en-US" w:eastAsia="zh-CN"/>
                    </w:rPr>
                    <w:t>18</w:t>
                  </w:r>
                  <w:r>
                    <w:rPr>
                      <w:rFonts w:hint="default" w:ascii="Times New Roman" w:hAnsi="Times New Roman" w:eastAsia="宋体" w:cs="Times New Roman"/>
                      <w:color w:val="auto"/>
                      <w:sz w:val="21"/>
                      <w:highlight w:val="none"/>
                    </w:rPr>
                    <w:t>m，建筑面积</w:t>
                  </w:r>
                  <w:r>
                    <w:rPr>
                      <w:rFonts w:hint="default" w:ascii="Times New Roman" w:hAnsi="Times New Roman" w:cs="Times New Roman"/>
                      <w:color w:val="auto"/>
                      <w:sz w:val="21"/>
                      <w:highlight w:val="none"/>
                      <w:lang w:val="en-US" w:eastAsia="zh-CN"/>
                    </w:rPr>
                    <w:t>2700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eastAsia="zh-CN"/>
                    </w:rPr>
                    <w:t>，</w:t>
                  </w:r>
                  <w:r>
                    <w:rPr>
                      <w:rFonts w:hint="default" w:ascii="Times New Roman" w:hAnsi="Times New Roman" w:cs="Times New Roman"/>
                      <w:lang w:val="en-US" w:eastAsia="zh-CN"/>
                    </w:rPr>
                    <w:t>内设食堂、办公室、宿舍。</w:t>
                  </w:r>
                </w:p>
              </w:tc>
              <w:tc>
                <w:tcPr>
                  <w:tcW w:w="721" w:type="dxa"/>
                  <w:vMerge w:val="continue"/>
                  <w:vAlign w:val="center"/>
                </w:tcPr>
                <w:p w14:paraId="49B29661">
                  <w:pPr>
                    <w:pStyle w:val="47"/>
                    <w:rPr>
                      <w:rFonts w:hint="default" w:ascii="Times New Roman" w:hAnsi="Times New Roman" w:eastAsia="宋体" w:cs="Times New Roman"/>
                      <w:color w:val="auto"/>
                      <w:sz w:val="21"/>
                      <w:szCs w:val="21"/>
                      <w:highlight w:val="none"/>
                      <w:lang w:val="en-US" w:eastAsia="zh-CN"/>
                    </w:rPr>
                  </w:pPr>
                </w:p>
              </w:tc>
            </w:tr>
            <w:tr w14:paraId="0B35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1C316A1C">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51B7CB47">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科研楼</w:t>
                  </w:r>
                </w:p>
              </w:tc>
              <w:tc>
                <w:tcPr>
                  <w:tcW w:w="5026" w:type="dxa"/>
                  <w:shd w:val="clear" w:color="auto" w:fill="auto"/>
                  <w:vAlign w:val="center"/>
                </w:tcPr>
                <w:p w14:paraId="4E5FD58F">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cs="Times New Roman"/>
                      <w:color w:val="auto"/>
                      <w:sz w:val="21"/>
                      <w:highlight w:val="none"/>
                      <w:lang w:val="en-US" w:eastAsia="zh-CN"/>
                    </w:rPr>
                    <w:t>6F，</w:t>
                  </w:r>
                  <w:r>
                    <w:rPr>
                      <w:rFonts w:hint="default" w:ascii="Times New Roman" w:hAnsi="Times New Roman" w:eastAsia="宋体" w:cs="Times New Roman"/>
                      <w:color w:val="auto"/>
                      <w:sz w:val="21"/>
                      <w:highlight w:val="none"/>
                      <w:lang w:val="en-US" w:eastAsia="zh-CN"/>
                    </w:rPr>
                    <w:t>框架结构</w:t>
                  </w:r>
                  <w:r>
                    <w:rPr>
                      <w:rFonts w:hint="default" w:ascii="Times New Roman" w:hAnsi="Times New Roman" w:eastAsia="宋体" w:cs="Times New Roman"/>
                      <w:color w:val="auto"/>
                      <w:sz w:val="21"/>
                      <w:highlight w:val="none"/>
                    </w:rPr>
                    <w:t>，高</w:t>
                  </w:r>
                  <w:r>
                    <w:rPr>
                      <w:rFonts w:hint="default" w:ascii="Times New Roman" w:hAnsi="Times New Roman" w:cs="Times New Roman"/>
                      <w:color w:val="auto"/>
                      <w:sz w:val="21"/>
                      <w:highlight w:val="none"/>
                      <w:lang w:val="en-US" w:eastAsia="zh-CN"/>
                    </w:rPr>
                    <w:t>54</w:t>
                  </w:r>
                  <w:r>
                    <w:rPr>
                      <w:rFonts w:hint="default" w:ascii="Times New Roman" w:hAnsi="Times New Roman" w:eastAsia="宋体" w:cs="Times New Roman"/>
                      <w:color w:val="auto"/>
                      <w:sz w:val="21"/>
                      <w:highlight w:val="none"/>
                    </w:rPr>
                    <w:t>m，建筑面积</w:t>
                  </w:r>
                  <w:r>
                    <w:rPr>
                      <w:rFonts w:hint="default" w:ascii="Times New Roman" w:hAnsi="Times New Roman" w:cs="Times New Roman"/>
                      <w:color w:val="auto"/>
                      <w:sz w:val="21"/>
                      <w:highlight w:val="none"/>
                      <w:lang w:val="en-US" w:eastAsia="zh-CN"/>
                    </w:rPr>
                    <w:t>5400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val="en-US" w:eastAsia="zh-CN"/>
                    </w:rPr>
                    <w:t>。</w:t>
                  </w:r>
                </w:p>
              </w:tc>
              <w:tc>
                <w:tcPr>
                  <w:tcW w:w="721" w:type="dxa"/>
                  <w:vMerge w:val="continue"/>
                  <w:vAlign w:val="center"/>
                </w:tcPr>
                <w:p w14:paraId="1019AD1B">
                  <w:pPr>
                    <w:pStyle w:val="47"/>
                    <w:rPr>
                      <w:rFonts w:hint="default" w:ascii="Times New Roman" w:hAnsi="Times New Roman" w:eastAsia="宋体" w:cs="Times New Roman"/>
                      <w:color w:val="auto"/>
                      <w:sz w:val="21"/>
                      <w:szCs w:val="21"/>
                      <w:highlight w:val="none"/>
                      <w:lang w:val="en-US" w:eastAsia="zh-CN"/>
                    </w:rPr>
                  </w:pPr>
                </w:p>
              </w:tc>
            </w:tr>
            <w:tr w14:paraId="7187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0A7AF44C">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14A49DB6">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配电室</w:t>
                  </w:r>
                </w:p>
              </w:tc>
              <w:tc>
                <w:tcPr>
                  <w:tcW w:w="5026" w:type="dxa"/>
                  <w:shd w:val="clear" w:color="auto" w:fill="auto"/>
                  <w:vAlign w:val="center"/>
                </w:tcPr>
                <w:p w14:paraId="3ECC35EA">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1F，砖混结构</w:t>
                  </w:r>
                  <w:r>
                    <w:rPr>
                      <w:rFonts w:hint="default" w:ascii="Times New Roman" w:hAnsi="Times New Roman" w:eastAsia="宋体" w:cs="Times New Roman"/>
                      <w:color w:val="auto"/>
                      <w:sz w:val="21"/>
                      <w:highlight w:val="none"/>
                    </w:rPr>
                    <w:t>，高</w:t>
                  </w:r>
                  <w:r>
                    <w:rPr>
                      <w:rFonts w:hint="default" w:ascii="Times New Roman" w:hAnsi="Times New Roman" w:cs="Times New Roman"/>
                      <w:color w:val="auto"/>
                      <w:sz w:val="21"/>
                      <w:highlight w:val="none"/>
                      <w:lang w:val="en-US" w:eastAsia="zh-CN"/>
                    </w:rPr>
                    <w:t>3.6</w:t>
                  </w:r>
                  <w:r>
                    <w:rPr>
                      <w:rFonts w:hint="default" w:ascii="Times New Roman" w:hAnsi="Times New Roman" w:eastAsia="宋体" w:cs="Times New Roman"/>
                      <w:color w:val="auto"/>
                      <w:sz w:val="21"/>
                      <w:highlight w:val="none"/>
                    </w:rPr>
                    <w:t>m，建筑面积</w:t>
                  </w:r>
                  <w:r>
                    <w:rPr>
                      <w:rFonts w:hint="default" w:ascii="Times New Roman" w:hAnsi="Times New Roman" w:cs="Times New Roman"/>
                      <w:color w:val="auto"/>
                      <w:sz w:val="21"/>
                      <w:highlight w:val="none"/>
                      <w:lang w:val="en-US" w:eastAsia="zh-CN"/>
                    </w:rPr>
                    <w:t>113.07</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val="en-US" w:eastAsia="zh-CN"/>
                    </w:rPr>
                    <w:t>。</w:t>
                  </w:r>
                </w:p>
              </w:tc>
              <w:tc>
                <w:tcPr>
                  <w:tcW w:w="721" w:type="dxa"/>
                  <w:vMerge w:val="continue"/>
                  <w:vAlign w:val="center"/>
                </w:tcPr>
                <w:p w14:paraId="22E0A578">
                  <w:pPr>
                    <w:pStyle w:val="47"/>
                    <w:rPr>
                      <w:rFonts w:hint="default" w:ascii="Times New Roman" w:hAnsi="Times New Roman" w:eastAsia="宋体" w:cs="Times New Roman"/>
                      <w:color w:val="auto"/>
                      <w:sz w:val="21"/>
                      <w:szCs w:val="21"/>
                      <w:highlight w:val="none"/>
                      <w:lang w:val="en-US" w:eastAsia="zh-CN"/>
                    </w:rPr>
                  </w:pPr>
                </w:p>
              </w:tc>
            </w:tr>
            <w:tr w14:paraId="01A7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7F0C55D3">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04221730">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门卫室（东）</w:t>
                  </w:r>
                </w:p>
              </w:tc>
              <w:tc>
                <w:tcPr>
                  <w:tcW w:w="5026" w:type="dxa"/>
                  <w:shd w:val="clear" w:color="auto" w:fill="auto"/>
                  <w:vAlign w:val="center"/>
                </w:tcPr>
                <w:p w14:paraId="35B85FFC">
                  <w:pPr>
                    <w:ind w:firstLine="420" w:firstLineChars="20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1F，砖混结构</w:t>
                  </w:r>
                  <w:r>
                    <w:rPr>
                      <w:rFonts w:hint="default" w:ascii="Times New Roman" w:hAnsi="Times New Roman" w:eastAsia="宋体" w:cs="Times New Roman"/>
                      <w:color w:val="auto"/>
                      <w:sz w:val="21"/>
                      <w:highlight w:val="none"/>
                    </w:rPr>
                    <w:t>，高</w:t>
                  </w:r>
                  <w:r>
                    <w:rPr>
                      <w:rFonts w:hint="default" w:ascii="Times New Roman" w:hAnsi="Times New Roman" w:cs="Times New Roman"/>
                      <w:color w:val="auto"/>
                      <w:sz w:val="21"/>
                      <w:highlight w:val="none"/>
                      <w:lang w:val="en-US" w:eastAsia="zh-CN"/>
                    </w:rPr>
                    <w:t>3.0</w:t>
                  </w:r>
                  <w:r>
                    <w:rPr>
                      <w:rFonts w:hint="default" w:ascii="Times New Roman" w:hAnsi="Times New Roman" w:eastAsia="宋体" w:cs="Times New Roman"/>
                      <w:color w:val="auto"/>
                      <w:sz w:val="21"/>
                      <w:highlight w:val="none"/>
                    </w:rPr>
                    <w:t>m，建筑面积</w:t>
                  </w:r>
                  <w:r>
                    <w:rPr>
                      <w:rFonts w:hint="default" w:ascii="Times New Roman" w:hAnsi="Times New Roman" w:cs="Times New Roman"/>
                      <w:color w:val="auto"/>
                      <w:sz w:val="21"/>
                      <w:highlight w:val="none"/>
                      <w:lang w:val="en-US" w:eastAsia="zh-CN"/>
                    </w:rPr>
                    <w:t>24.22</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val="en-US" w:eastAsia="zh-CN"/>
                    </w:rPr>
                    <w:t>。</w:t>
                  </w:r>
                </w:p>
              </w:tc>
              <w:tc>
                <w:tcPr>
                  <w:tcW w:w="721" w:type="dxa"/>
                  <w:vMerge w:val="continue"/>
                  <w:vAlign w:val="center"/>
                </w:tcPr>
                <w:p w14:paraId="495F09A4">
                  <w:pPr>
                    <w:pStyle w:val="47"/>
                    <w:rPr>
                      <w:rFonts w:hint="default" w:ascii="Times New Roman" w:hAnsi="Times New Roman" w:eastAsia="宋体" w:cs="Times New Roman"/>
                      <w:color w:val="auto"/>
                      <w:sz w:val="21"/>
                      <w:szCs w:val="21"/>
                      <w:highlight w:val="none"/>
                      <w:lang w:val="en-US" w:eastAsia="zh-CN"/>
                    </w:rPr>
                  </w:pPr>
                </w:p>
              </w:tc>
            </w:tr>
            <w:tr w14:paraId="0D73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6323FA64">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771FFB7F">
                  <w:pPr>
                    <w:pStyle w:val="47"/>
                    <w:ind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门卫室（南）</w:t>
                  </w:r>
                </w:p>
              </w:tc>
              <w:tc>
                <w:tcPr>
                  <w:tcW w:w="5026" w:type="dxa"/>
                  <w:shd w:val="clear" w:color="auto" w:fill="auto"/>
                  <w:vAlign w:val="center"/>
                </w:tcPr>
                <w:p w14:paraId="57CF97B7">
                  <w:pPr>
                    <w:ind w:firstLine="420" w:firstLineChars="200"/>
                    <w:jc w:val="center"/>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1F，砖混结构</w:t>
                  </w:r>
                  <w:r>
                    <w:rPr>
                      <w:rFonts w:hint="default" w:ascii="Times New Roman" w:hAnsi="Times New Roman" w:eastAsia="宋体" w:cs="Times New Roman"/>
                      <w:color w:val="auto"/>
                      <w:sz w:val="21"/>
                      <w:highlight w:val="none"/>
                    </w:rPr>
                    <w:t>，高</w:t>
                  </w:r>
                  <w:r>
                    <w:rPr>
                      <w:rFonts w:hint="default" w:ascii="Times New Roman" w:hAnsi="Times New Roman" w:cs="Times New Roman"/>
                      <w:color w:val="auto"/>
                      <w:sz w:val="21"/>
                      <w:highlight w:val="none"/>
                      <w:lang w:val="en-US" w:eastAsia="zh-CN"/>
                    </w:rPr>
                    <w:t>3.0</w:t>
                  </w:r>
                  <w:r>
                    <w:rPr>
                      <w:rFonts w:hint="default" w:ascii="Times New Roman" w:hAnsi="Times New Roman" w:eastAsia="宋体" w:cs="Times New Roman"/>
                      <w:color w:val="auto"/>
                      <w:sz w:val="21"/>
                      <w:highlight w:val="none"/>
                    </w:rPr>
                    <w:t>m，建筑面积</w:t>
                  </w:r>
                  <w:r>
                    <w:rPr>
                      <w:rFonts w:hint="default" w:ascii="Times New Roman" w:hAnsi="Times New Roman" w:cs="Times New Roman"/>
                      <w:color w:val="auto"/>
                      <w:sz w:val="21"/>
                      <w:highlight w:val="none"/>
                      <w:lang w:val="en-US" w:eastAsia="zh-CN"/>
                    </w:rPr>
                    <w:t>24.22</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val="en-US" w:eastAsia="zh-CN"/>
                    </w:rPr>
                    <w:t>。</w:t>
                  </w:r>
                </w:p>
              </w:tc>
              <w:tc>
                <w:tcPr>
                  <w:tcW w:w="721" w:type="dxa"/>
                  <w:vMerge w:val="continue"/>
                  <w:vAlign w:val="center"/>
                </w:tcPr>
                <w:p w14:paraId="19733EC5">
                  <w:pPr>
                    <w:pStyle w:val="47"/>
                    <w:rPr>
                      <w:rFonts w:hint="default" w:ascii="Times New Roman" w:hAnsi="Times New Roman" w:eastAsia="宋体" w:cs="Times New Roman"/>
                      <w:color w:val="auto"/>
                      <w:sz w:val="21"/>
                      <w:szCs w:val="21"/>
                      <w:highlight w:val="none"/>
                      <w:lang w:val="en-US" w:eastAsia="zh-CN"/>
                    </w:rPr>
                  </w:pPr>
                </w:p>
              </w:tc>
            </w:tr>
            <w:tr w14:paraId="0329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05CA641B">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535E5006">
                  <w:pPr>
                    <w:pStyle w:val="47"/>
                    <w:ind w:firstLine="0" w:firstLineChars="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消防水池及泵房</w:t>
                  </w:r>
                </w:p>
              </w:tc>
              <w:tc>
                <w:tcPr>
                  <w:tcW w:w="5026" w:type="dxa"/>
                  <w:shd w:val="clear" w:color="auto" w:fill="auto"/>
                  <w:vAlign w:val="center"/>
                </w:tcPr>
                <w:p w14:paraId="13FD2E15">
                  <w:pPr>
                    <w:ind w:firstLine="420" w:firstLineChars="20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w:t>
                  </w:r>
                  <w:r>
                    <w:rPr>
                      <w:rFonts w:hint="default" w:ascii="Times New Roman" w:hAnsi="Times New Roman" w:cs="Times New Roman"/>
                      <w:color w:val="auto"/>
                      <w:sz w:val="21"/>
                      <w:highlight w:val="none"/>
                      <w:lang w:val="en-US" w:eastAsia="zh-CN"/>
                    </w:rPr>
                    <w:t>1F，砖混结构</w:t>
                  </w:r>
                  <w:r>
                    <w:rPr>
                      <w:rFonts w:hint="default" w:ascii="Times New Roman" w:hAnsi="Times New Roman" w:eastAsia="宋体" w:cs="Times New Roman"/>
                      <w:color w:val="auto"/>
                      <w:sz w:val="21"/>
                      <w:highlight w:val="none"/>
                    </w:rPr>
                    <w:t>，建筑面积</w:t>
                  </w:r>
                  <w:r>
                    <w:rPr>
                      <w:rFonts w:hint="eastAsia" w:cs="Times New Roman"/>
                      <w:color w:val="auto"/>
                      <w:sz w:val="21"/>
                      <w:highlight w:val="none"/>
                      <w:lang w:val="en-US" w:eastAsia="zh-CN"/>
                    </w:rPr>
                    <w:t>600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lang w:val="en-US" w:eastAsia="zh-CN"/>
                    </w:rPr>
                    <w:t>。</w:t>
                  </w:r>
                </w:p>
              </w:tc>
              <w:tc>
                <w:tcPr>
                  <w:tcW w:w="721" w:type="dxa"/>
                  <w:vMerge w:val="continue"/>
                  <w:vAlign w:val="center"/>
                </w:tcPr>
                <w:p w14:paraId="67869A00">
                  <w:pPr>
                    <w:pStyle w:val="47"/>
                    <w:rPr>
                      <w:rFonts w:hint="default" w:ascii="Times New Roman" w:hAnsi="Times New Roman" w:eastAsia="宋体" w:cs="Times New Roman"/>
                      <w:color w:val="auto"/>
                      <w:sz w:val="21"/>
                      <w:szCs w:val="21"/>
                      <w:highlight w:val="none"/>
                      <w:lang w:val="en-US" w:eastAsia="zh-CN"/>
                    </w:rPr>
                  </w:pPr>
                </w:p>
              </w:tc>
            </w:tr>
            <w:tr w14:paraId="366F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restart"/>
                  <w:vAlign w:val="center"/>
                </w:tcPr>
                <w:p w14:paraId="6F392C01">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储运工程</w:t>
                  </w:r>
                </w:p>
              </w:tc>
              <w:tc>
                <w:tcPr>
                  <w:tcW w:w="1454" w:type="dxa"/>
                  <w:shd w:val="clear" w:color="auto" w:fill="auto"/>
                  <w:vAlign w:val="center"/>
                </w:tcPr>
                <w:p w14:paraId="4B550229">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储罐</w:t>
                  </w:r>
                </w:p>
              </w:tc>
              <w:tc>
                <w:tcPr>
                  <w:tcW w:w="5026" w:type="dxa"/>
                  <w:shd w:val="clear" w:color="auto" w:fill="auto"/>
                  <w:vAlign w:val="center"/>
                </w:tcPr>
                <w:p w14:paraId="35DDD3DB">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新建两个400m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储罐</w:t>
                  </w:r>
                  <w:r>
                    <w:rPr>
                      <w:rFonts w:hint="eastAsia" w:ascii="Times New Roman" w:hAnsi="Times New Roman" w:cs="Times New Roman"/>
                      <w:color w:val="auto"/>
                      <w:sz w:val="21"/>
                      <w:highlight w:val="none"/>
                      <w:lang w:val="en-US" w:eastAsia="zh-CN"/>
                    </w:rPr>
                    <w:t>，建筑面积约100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eastAsia="宋体" w:cs="Times New Roman"/>
                      <w:color w:val="auto"/>
                      <w:sz w:val="21"/>
                      <w:highlight w:val="none"/>
                      <w:lang w:val="en-US" w:eastAsia="zh-CN"/>
                    </w:rPr>
                    <w:t>，位于干粉灭火器报废回收车间西北角，用于储存复合肥母液。</w:t>
                  </w:r>
                </w:p>
              </w:tc>
              <w:tc>
                <w:tcPr>
                  <w:tcW w:w="721" w:type="dxa"/>
                  <w:vAlign w:val="center"/>
                </w:tcPr>
                <w:p w14:paraId="4F35916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7B61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678F45E2">
                  <w:pPr>
                    <w:pStyle w:val="47"/>
                    <w:ind w:firstLine="0" w:firstLineChars="0"/>
                    <w:jc w:val="center"/>
                    <w:rPr>
                      <w:rFonts w:hint="default" w:ascii="Times New Roman" w:hAnsi="Times New Roman" w:cs="Times New Roman"/>
                      <w:color w:val="auto"/>
                      <w:sz w:val="21"/>
                      <w:highlight w:val="none"/>
                      <w:lang w:val="en-US" w:eastAsia="zh-CN"/>
                    </w:rPr>
                  </w:pPr>
                </w:p>
              </w:tc>
              <w:tc>
                <w:tcPr>
                  <w:tcW w:w="1454" w:type="dxa"/>
                  <w:shd w:val="clear" w:color="auto" w:fill="auto"/>
                  <w:vAlign w:val="center"/>
                </w:tcPr>
                <w:p w14:paraId="69973898">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成品区</w:t>
                  </w:r>
                </w:p>
              </w:tc>
              <w:tc>
                <w:tcPr>
                  <w:tcW w:w="5026" w:type="dxa"/>
                  <w:shd w:val="clear" w:color="auto" w:fill="auto"/>
                  <w:vAlign w:val="center"/>
                </w:tcPr>
                <w:p w14:paraId="4FD3E8E8">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位于干粉灭火器报废回收车间西南角，长50m，宽70m，高8.15m，面积约为3500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eastAsia="宋体" w:cs="Times New Roman"/>
                      <w:color w:val="auto"/>
                      <w:sz w:val="21"/>
                      <w:highlight w:val="none"/>
                      <w:lang w:val="en-US" w:eastAsia="zh-CN"/>
                    </w:rPr>
                    <w:t>，用于储存滑石粉、废铜、钢渣。</w:t>
                  </w:r>
                </w:p>
              </w:tc>
              <w:tc>
                <w:tcPr>
                  <w:tcW w:w="721" w:type="dxa"/>
                  <w:vAlign w:val="center"/>
                </w:tcPr>
                <w:p w14:paraId="0EF9141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2C47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restart"/>
                  <w:vAlign w:val="center"/>
                </w:tcPr>
                <w:p w14:paraId="5FFE07BA">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依托工程</w:t>
                  </w:r>
                </w:p>
              </w:tc>
              <w:tc>
                <w:tcPr>
                  <w:tcW w:w="1454" w:type="dxa"/>
                  <w:shd w:val="clear" w:color="auto" w:fill="auto"/>
                  <w:vAlign w:val="center"/>
                </w:tcPr>
                <w:p w14:paraId="04939C28">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供水系统</w:t>
                  </w:r>
                </w:p>
              </w:tc>
              <w:tc>
                <w:tcPr>
                  <w:tcW w:w="5026" w:type="dxa"/>
                  <w:shd w:val="clear" w:color="auto" w:fill="auto"/>
                  <w:vAlign w:val="center"/>
                </w:tcPr>
                <w:p w14:paraId="3A72D2B3">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由</w:t>
                  </w:r>
                  <w:r>
                    <w:rPr>
                      <w:rFonts w:hint="default" w:ascii="Times New Roman" w:hAnsi="Times New Roman" w:eastAsia="宋体" w:cs="Times New Roman"/>
                      <w:color w:val="auto"/>
                      <w:sz w:val="21"/>
                      <w:highlight w:val="none"/>
                      <w:lang w:val="en-US" w:eastAsia="zh-CN"/>
                    </w:rPr>
                    <w:t>上库综合产业园工业供水管网供水系统提供</w:t>
                  </w:r>
                  <w:r>
                    <w:rPr>
                      <w:rFonts w:hint="default" w:ascii="Times New Roman" w:hAnsi="Times New Roman" w:cs="Times New Roman"/>
                      <w:color w:val="auto"/>
                      <w:sz w:val="21"/>
                      <w:highlight w:val="none"/>
                      <w:lang w:eastAsia="zh-CN"/>
                    </w:rPr>
                    <w:t>。</w:t>
                  </w:r>
                </w:p>
              </w:tc>
              <w:tc>
                <w:tcPr>
                  <w:tcW w:w="721" w:type="dxa"/>
                  <w:shd w:val="clear" w:color="auto" w:fill="auto"/>
                  <w:vAlign w:val="center"/>
                </w:tcPr>
                <w:p w14:paraId="2D18387C">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p>
              </w:tc>
            </w:tr>
            <w:tr w14:paraId="041E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5A21BD52">
                  <w:pPr>
                    <w:pStyle w:val="47"/>
                    <w:ind w:firstLine="0" w:firstLineChars="0"/>
                    <w:jc w:val="center"/>
                    <w:rPr>
                      <w:rFonts w:hint="default" w:ascii="Times New Roman" w:hAnsi="Times New Roman" w:cs="Times New Roman"/>
                      <w:color w:val="auto"/>
                      <w:sz w:val="21"/>
                      <w:highlight w:val="none"/>
                      <w:lang w:val="en-US" w:eastAsia="zh-CN"/>
                    </w:rPr>
                  </w:pPr>
                </w:p>
              </w:tc>
              <w:tc>
                <w:tcPr>
                  <w:tcW w:w="1454" w:type="dxa"/>
                  <w:shd w:val="clear" w:color="auto" w:fill="auto"/>
                  <w:vAlign w:val="center"/>
                </w:tcPr>
                <w:p w14:paraId="74A388CD">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排水系统</w:t>
                  </w:r>
                </w:p>
              </w:tc>
              <w:tc>
                <w:tcPr>
                  <w:tcW w:w="5026" w:type="dxa"/>
                  <w:shd w:val="clear" w:color="auto" w:fill="auto"/>
                  <w:vAlign w:val="center"/>
                </w:tcPr>
                <w:p w14:paraId="2F556CD0">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生活污水由排水管网进入铁门关污水处理厂处理</w:t>
                  </w:r>
                  <w:r>
                    <w:rPr>
                      <w:rFonts w:hint="default" w:ascii="Times New Roman" w:hAnsi="Times New Roman" w:cs="Times New Roman"/>
                      <w:color w:val="auto"/>
                      <w:sz w:val="21"/>
                      <w:highlight w:val="none"/>
                      <w:lang w:eastAsia="zh-CN"/>
                    </w:rPr>
                    <w:t>。</w:t>
                  </w:r>
                </w:p>
              </w:tc>
              <w:tc>
                <w:tcPr>
                  <w:tcW w:w="721" w:type="dxa"/>
                  <w:shd w:val="clear" w:color="auto" w:fill="auto"/>
                  <w:vAlign w:val="center"/>
                </w:tcPr>
                <w:p w14:paraId="16613DA6">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p>
              </w:tc>
            </w:tr>
            <w:tr w14:paraId="06C1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04E6CEDB">
                  <w:pPr>
                    <w:pStyle w:val="47"/>
                    <w:ind w:firstLine="0" w:firstLineChars="0"/>
                    <w:jc w:val="center"/>
                    <w:rPr>
                      <w:rFonts w:hint="default" w:ascii="Times New Roman" w:hAnsi="Times New Roman" w:cs="Times New Roman"/>
                      <w:color w:val="auto"/>
                      <w:sz w:val="21"/>
                      <w:highlight w:val="none"/>
                      <w:lang w:val="en-US" w:eastAsia="zh-CN"/>
                    </w:rPr>
                  </w:pPr>
                </w:p>
              </w:tc>
              <w:tc>
                <w:tcPr>
                  <w:tcW w:w="1454" w:type="dxa"/>
                  <w:shd w:val="clear" w:color="auto" w:fill="auto"/>
                  <w:vAlign w:val="center"/>
                </w:tcPr>
                <w:p w14:paraId="1A7568FE">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en-US" w:bidi="ar-SA"/>
                    </w:rPr>
                  </w:pPr>
                  <w:r>
                    <w:rPr>
                      <w:rFonts w:hint="default" w:ascii="Times New Roman" w:hAnsi="Times New Roman" w:eastAsia="宋体" w:cs="Times New Roman"/>
                      <w:color w:val="auto"/>
                      <w:sz w:val="21"/>
                      <w:highlight w:val="none"/>
                    </w:rPr>
                    <w:t>供电</w:t>
                  </w:r>
                </w:p>
              </w:tc>
              <w:tc>
                <w:tcPr>
                  <w:tcW w:w="5026" w:type="dxa"/>
                  <w:shd w:val="clear" w:color="auto" w:fill="auto"/>
                  <w:vAlign w:val="center"/>
                </w:tcPr>
                <w:p w14:paraId="3DCF8D61">
                  <w:pPr>
                    <w:pStyle w:val="47"/>
                    <w:ind w:firstLine="0" w:firstLineChars="0"/>
                    <w:jc w:val="center"/>
                    <w:rPr>
                      <w:rFonts w:hint="eastAsia"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项目供电由市政统一供给，能够满足项目区用电需求</w:t>
                  </w:r>
                  <w:r>
                    <w:rPr>
                      <w:rFonts w:hint="eastAsia" w:ascii="Times New Roman" w:hAnsi="Times New Roman" w:cs="Times New Roman"/>
                      <w:color w:val="auto"/>
                      <w:sz w:val="21"/>
                      <w:highlight w:val="none"/>
                      <w:lang w:eastAsia="zh-CN"/>
                    </w:rPr>
                    <w:t>。</w:t>
                  </w:r>
                </w:p>
              </w:tc>
              <w:tc>
                <w:tcPr>
                  <w:tcW w:w="721" w:type="dxa"/>
                  <w:shd w:val="clear" w:color="auto" w:fill="auto"/>
                  <w:vAlign w:val="center"/>
                </w:tcPr>
                <w:p w14:paraId="0FF38FB7">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p>
              </w:tc>
            </w:tr>
            <w:tr w14:paraId="4DEB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Align w:val="center"/>
                </w:tcPr>
                <w:p w14:paraId="4E241944">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公用工程</w:t>
                  </w:r>
                </w:p>
              </w:tc>
              <w:tc>
                <w:tcPr>
                  <w:tcW w:w="1454" w:type="dxa"/>
                  <w:shd w:val="clear" w:color="auto" w:fill="auto"/>
                  <w:vAlign w:val="center"/>
                </w:tcPr>
                <w:p w14:paraId="25EF6CAF">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en-US" w:bidi="ar-SA"/>
                    </w:rPr>
                  </w:pPr>
                  <w:r>
                    <w:rPr>
                      <w:rFonts w:hint="default" w:ascii="Times New Roman" w:hAnsi="Times New Roman" w:eastAsia="宋体" w:cs="Times New Roman"/>
                      <w:color w:val="auto"/>
                      <w:sz w:val="21"/>
                      <w:highlight w:val="none"/>
                    </w:rPr>
                    <w:t>供热</w:t>
                  </w:r>
                </w:p>
              </w:tc>
              <w:tc>
                <w:tcPr>
                  <w:tcW w:w="5026" w:type="dxa"/>
                  <w:shd w:val="clear" w:color="auto" w:fill="auto"/>
                  <w:vAlign w:val="center"/>
                </w:tcPr>
                <w:p w14:paraId="2C1F3236">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生产采用电加热，办公生活区冬季采用电采暖</w:t>
                  </w:r>
                </w:p>
              </w:tc>
              <w:tc>
                <w:tcPr>
                  <w:tcW w:w="721" w:type="dxa"/>
                  <w:shd w:val="clear" w:color="auto" w:fill="auto"/>
                  <w:vAlign w:val="center"/>
                </w:tcPr>
                <w:p w14:paraId="0FE5F01C">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新建</w:t>
                  </w:r>
                </w:p>
              </w:tc>
            </w:tr>
            <w:tr w14:paraId="20CA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restart"/>
                  <w:vAlign w:val="center"/>
                </w:tcPr>
                <w:p w14:paraId="11924937">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环保工程</w:t>
                  </w:r>
                </w:p>
              </w:tc>
              <w:tc>
                <w:tcPr>
                  <w:tcW w:w="1454" w:type="dxa"/>
                  <w:shd w:val="clear" w:color="auto" w:fill="auto"/>
                  <w:vAlign w:val="center"/>
                </w:tcPr>
                <w:p w14:paraId="066B9FD7">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废气</w:t>
                  </w:r>
                  <w:r>
                    <w:rPr>
                      <w:rFonts w:hint="default" w:ascii="Times New Roman" w:hAnsi="Times New Roman" w:cs="Times New Roman"/>
                      <w:color w:val="auto"/>
                      <w:sz w:val="21"/>
                      <w:highlight w:val="none"/>
                      <w:lang w:val="en-US" w:eastAsia="zh-CN"/>
                    </w:rPr>
                    <w:t>处理措施</w:t>
                  </w:r>
                </w:p>
              </w:tc>
              <w:tc>
                <w:tcPr>
                  <w:tcW w:w="5026" w:type="dxa"/>
                  <w:shd w:val="clear" w:color="auto" w:fill="auto"/>
                  <w:vAlign w:val="center"/>
                </w:tcPr>
                <w:p w14:paraId="564ABD14">
                  <w:pPr>
                    <w:pStyle w:val="47"/>
                    <w:ind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本项目分解、破碎、包装工段</w:t>
                  </w:r>
                  <w:r>
                    <w:rPr>
                      <w:rFonts w:hint="default" w:ascii="Times New Roman" w:hAnsi="Times New Roman" w:eastAsia="宋体" w:cs="Times New Roman"/>
                      <w:color w:val="auto"/>
                      <w:sz w:val="21"/>
                      <w:highlight w:val="none"/>
                    </w:rPr>
                    <w:t>采用集气罩</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收集效率90%</w:t>
                  </w:r>
                  <w:r>
                    <w:rPr>
                      <w:rFonts w:hint="default"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rPr>
                    <w:t>+</w:t>
                  </w:r>
                  <w:r>
                    <w:rPr>
                      <w:rFonts w:hint="default" w:ascii="Times New Roman" w:hAnsi="Times New Roman" w:cs="Times New Roman"/>
                      <w:color w:val="auto"/>
                      <w:sz w:val="21"/>
                      <w:highlight w:val="none"/>
                      <w:lang w:val="en-US" w:eastAsia="zh-CN"/>
                    </w:rPr>
                    <w:t>脉冲式</w:t>
                  </w:r>
                  <w:r>
                    <w:rPr>
                      <w:rFonts w:hint="default" w:ascii="Times New Roman" w:hAnsi="Times New Roman" w:eastAsia="宋体" w:cs="Times New Roman"/>
                      <w:color w:val="auto"/>
                      <w:sz w:val="21"/>
                      <w:highlight w:val="none"/>
                    </w:rPr>
                    <w:t>布袋除尘</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处理效率99%</w:t>
                  </w:r>
                  <w:r>
                    <w:rPr>
                      <w:rFonts w:hint="default"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rPr>
                    <w:t>+15m排气筒；</w:t>
                  </w:r>
                </w:p>
                <w:p w14:paraId="638FBB7A">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食堂油烟：安装油烟净化器1套，去除效率不低于75%</w:t>
                  </w:r>
                </w:p>
              </w:tc>
              <w:tc>
                <w:tcPr>
                  <w:tcW w:w="721" w:type="dxa"/>
                  <w:vAlign w:val="center"/>
                </w:tcPr>
                <w:p w14:paraId="03BC061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7F8D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12FDD80E">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7B7F6AE7">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废水</w:t>
                  </w:r>
                  <w:r>
                    <w:rPr>
                      <w:rFonts w:hint="default" w:ascii="Times New Roman" w:hAnsi="Times New Roman" w:cs="Times New Roman"/>
                      <w:color w:val="auto"/>
                      <w:sz w:val="21"/>
                      <w:highlight w:val="none"/>
                      <w:lang w:val="en-US" w:eastAsia="zh-CN"/>
                    </w:rPr>
                    <w:t>处理措施</w:t>
                  </w:r>
                </w:p>
              </w:tc>
              <w:tc>
                <w:tcPr>
                  <w:tcW w:w="5026" w:type="dxa"/>
                  <w:shd w:val="clear" w:color="auto" w:fill="auto"/>
                  <w:vAlign w:val="center"/>
                </w:tcPr>
                <w:p w14:paraId="5A1D966E">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生产废水循环使用，不外排</w:t>
                  </w:r>
                  <w:r>
                    <w:rPr>
                      <w:rFonts w:hint="default" w:ascii="Times New Roman" w:hAnsi="Times New Roman"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rPr>
                    <w:t>生活污水</w:t>
                  </w:r>
                  <w:r>
                    <w:rPr>
                      <w:rFonts w:hint="default" w:ascii="Times New Roman" w:hAnsi="Times New Roman" w:eastAsia="宋体" w:cs="Times New Roman"/>
                      <w:color w:val="auto"/>
                      <w:sz w:val="21"/>
                      <w:highlight w:val="none"/>
                      <w:lang w:val="en-US" w:eastAsia="zh-CN"/>
                    </w:rPr>
                    <w:t>经防渗隔油池</w:t>
                  </w:r>
                  <w:r>
                    <w:rPr>
                      <w:rFonts w:hint="default" w:ascii="Times New Roman" w:hAnsi="Times New Roman" w:cs="Times New Roman"/>
                      <w:color w:val="auto"/>
                      <w:sz w:val="21"/>
                      <w:highlight w:val="none"/>
                      <w:lang w:val="en-US" w:eastAsia="zh-CN"/>
                    </w:rPr>
                    <w:t>（5m³）</w:t>
                  </w:r>
                  <w:r>
                    <w:rPr>
                      <w:rFonts w:hint="default" w:ascii="Times New Roman" w:hAnsi="Times New Roman" w:eastAsia="宋体" w:cs="Times New Roman"/>
                      <w:color w:val="auto"/>
                      <w:sz w:val="21"/>
                      <w:highlight w:val="none"/>
                      <w:lang w:val="en-US" w:eastAsia="zh-CN"/>
                    </w:rPr>
                    <w:t>处理后</w:t>
                  </w:r>
                  <w:r>
                    <w:rPr>
                      <w:rFonts w:hint="default" w:ascii="Times New Roman" w:hAnsi="Times New Roman" w:eastAsia="宋体" w:cs="Times New Roman"/>
                      <w:color w:val="auto"/>
                      <w:sz w:val="21"/>
                      <w:szCs w:val="21"/>
                      <w:highlight w:val="none"/>
                    </w:rPr>
                    <w:t>进入园区污水管网</w:t>
                  </w:r>
                </w:p>
              </w:tc>
              <w:tc>
                <w:tcPr>
                  <w:tcW w:w="721" w:type="dxa"/>
                  <w:vAlign w:val="center"/>
                </w:tcPr>
                <w:p w14:paraId="2CCE7B5A">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3CA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39B0977A">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0AA4991F">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噪声</w:t>
                  </w:r>
                  <w:r>
                    <w:rPr>
                      <w:rFonts w:hint="default" w:ascii="Times New Roman" w:hAnsi="Times New Roman" w:cs="Times New Roman"/>
                      <w:color w:val="auto"/>
                      <w:sz w:val="21"/>
                      <w:highlight w:val="none"/>
                      <w:lang w:val="en-US" w:eastAsia="zh-CN"/>
                    </w:rPr>
                    <w:t>处理措施</w:t>
                  </w:r>
                </w:p>
              </w:tc>
              <w:tc>
                <w:tcPr>
                  <w:tcW w:w="5026" w:type="dxa"/>
                  <w:shd w:val="clear" w:color="auto" w:fill="auto"/>
                  <w:vAlign w:val="center"/>
                </w:tcPr>
                <w:p w14:paraId="120B0AE9">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项目设备均位于封闭隔间内，安装减震基座，风机设置有消声器，厂区四周设置绿化带</w:t>
                  </w:r>
                  <w:r>
                    <w:rPr>
                      <w:rFonts w:hint="default" w:ascii="Times New Roman" w:hAnsi="Times New Roman" w:eastAsia="宋体" w:cs="Times New Roman"/>
                      <w:color w:val="auto"/>
                      <w:sz w:val="21"/>
                      <w:highlight w:val="none"/>
                      <w:lang w:eastAsia="zh-CN"/>
                    </w:rPr>
                    <w:t>。</w:t>
                  </w:r>
                </w:p>
              </w:tc>
              <w:tc>
                <w:tcPr>
                  <w:tcW w:w="721" w:type="dxa"/>
                  <w:vAlign w:val="center"/>
                </w:tcPr>
                <w:p w14:paraId="24C5B565">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5CA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7F79EEA9">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35176896">
                  <w:pPr>
                    <w:pStyle w:val="47"/>
                    <w:ind w:firstLine="0" w:firstLineChars="0"/>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固体废物</w:t>
                  </w:r>
                  <w:r>
                    <w:rPr>
                      <w:rFonts w:hint="default" w:ascii="Times New Roman" w:hAnsi="Times New Roman" w:cs="Times New Roman"/>
                      <w:color w:val="auto"/>
                      <w:sz w:val="21"/>
                      <w:highlight w:val="none"/>
                      <w:lang w:val="en-US" w:eastAsia="zh-CN"/>
                    </w:rPr>
                    <w:t>处理措施</w:t>
                  </w:r>
                </w:p>
              </w:tc>
              <w:tc>
                <w:tcPr>
                  <w:tcW w:w="5026" w:type="dxa"/>
                  <w:shd w:val="clear" w:color="auto" w:fill="auto"/>
                  <w:vAlign w:val="center"/>
                </w:tcPr>
                <w:p w14:paraId="66B1D80A">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生活垃圾集中收集设施、危险废物暂存间，</w:t>
                  </w:r>
                  <w:r>
                    <w:rPr>
                      <w:rFonts w:hint="default" w:ascii="Times New Roman" w:hAnsi="Times New Roman" w:cs="Times New Roman"/>
                      <w:color w:val="auto"/>
                      <w:sz w:val="21"/>
                      <w:highlight w:val="none"/>
                      <w:lang w:eastAsia="zh-CN"/>
                    </w:rPr>
                    <w:t>设置</w:t>
                  </w:r>
                  <w:r>
                    <w:rPr>
                      <w:rFonts w:hint="default" w:ascii="Times New Roman" w:hAnsi="Times New Roman" w:eastAsia="宋体" w:cs="Times New Roman"/>
                      <w:color w:val="auto"/>
                      <w:sz w:val="21"/>
                      <w:highlight w:val="none"/>
                    </w:rPr>
                    <w:t>危险废物暂存间面积约10m</w:t>
                  </w:r>
                  <w:r>
                    <w:rPr>
                      <w:rFonts w:hint="default" w:ascii="Times New Roman" w:hAnsi="Times New Roman" w:eastAsia="宋体" w:cs="Times New Roman"/>
                      <w:color w:val="auto"/>
                      <w:sz w:val="21"/>
                      <w:highlight w:val="none"/>
                      <w:vertAlign w:val="superscript"/>
                    </w:rPr>
                    <w:t>2</w:t>
                  </w:r>
                  <w:r>
                    <w:rPr>
                      <w:rFonts w:hint="default" w:ascii="Times New Roman" w:hAnsi="Times New Roman" w:cs="Times New Roman"/>
                      <w:highlight w:val="none"/>
                      <w:lang w:eastAsia="zh-CN"/>
                    </w:rPr>
                    <w:t>，</w:t>
                  </w:r>
                  <w:r>
                    <w:rPr>
                      <w:rFonts w:hint="default" w:ascii="Times New Roman" w:hAnsi="Times New Roman" w:eastAsia="宋体" w:cs="Times New Roman"/>
                      <w:color w:val="auto"/>
                      <w:sz w:val="21"/>
                      <w:highlight w:val="none"/>
                      <w:lang w:val="en-US" w:eastAsia="zh-CN"/>
                    </w:rPr>
                    <w:t>危险废物最大储存量为2t。</w:t>
                  </w:r>
                  <w:r>
                    <w:rPr>
                      <w:rFonts w:hint="default" w:ascii="Times New Roman" w:hAnsi="Times New Roman" w:cs="Times New Roman"/>
                      <w:color w:val="auto"/>
                      <w:sz w:val="21"/>
                      <w:highlight w:val="none"/>
                      <w:lang w:val="en-US" w:eastAsia="zh-CN"/>
                    </w:rPr>
                    <w:t>一般固体废物储存于干粉灭火器报废回收车间东南角，规划面积约为1940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2</w:t>
                  </w:r>
                  <w:r>
                    <w:rPr>
                      <w:rFonts w:hint="default" w:ascii="Times New Roman" w:hAnsi="Times New Roman" w:eastAsia="宋体" w:cs="Times New Roman"/>
                      <w:color w:val="auto"/>
                      <w:sz w:val="21"/>
                      <w:highlight w:val="none"/>
                      <w:vertAlign w:val="baseline"/>
                      <w:lang w:eastAsia="zh-CN"/>
                    </w:rPr>
                    <w:t>。</w:t>
                  </w:r>
                </w:p>
              </w:tc>
              <w:tc>
                <w:tcPr>
                  <w:tcW w:w="721" w:type="dxa"/>
                  <w:vAlign w:val="center"/>
                </w:tcPr>
                <w:p w14:paraId="54B94C8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4D72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vMerge w:val="continue"/>
                  <w:vAlign w:val="center"/>
                </w:tcPr>
                <w:p w14:paraId="61AC263F">
                  <w:pPr>
                    <w:pStyle w:val="47"/>
                    <w:ind w:firstLine="0" w:firstLineChars="0"/>
                    <w:jc w:val="center"/>
                    <w:rPr>
                      <w:rFonts w:hint="default" w:ascii="Times New Roman" w:hAnsi="Times New Roman" w:eastAsia="宋体" w:cs="Times New Roman"/>
                      <w:color w:val="auto"/>
                      <w:sz w:val="21"/>
                      <w:highlight w:val="none"/>
                    </w:rPr>
                  </w:pPr>
                </w:p>
              </w:tc>
              <w:tc>
                <w:tcPr>
                  <w:tcW w:w="1454" w:type="dxa"/>
                  <w:shd w:val="clear" w:color="auto" w:fill="auto"/>
                  <w:vAlign w:val="center"/>
                </w:tcPr>
                <w:p w14:paraId="7C41B6C6">
                  <w:pPr>
                    <w:pStyle w:val="47"/>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防渗处理措施</w:t>
                  </w:r>
                </w:p>
              </w:tc>
              <w:tc>
                <w:tcPr>
                  <w:tcW w:w="5026" w:type="dxa"/>
                  <w:shd w:val="clear" w:color="auto" w:fill="auto"/>
                  <w:vAlign w:val="center"/>
                </w:tcPr>
                <w:p w14:paraId="3D348564">
                  <w:pPr>
                    <w:pStyle w:val="39"/>
                    <w:keepNext w:val="0"/>
                    <w:keepLines w:val="0"/>
                    <w:suppressLineNumbers w:val="0"/>
                    <w:spacing w:before="0" w:beforeAutospacing="0" w:after="0" w:afterAutospacing="0" w:line="242" w:lineRule="auto"/>
                    <w:ind w:left="0" w:leftChars="0" w:right="83"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项目区采取分区防渗，</w:t>
                  </w:r>
                  <w:r>
                    <w:rPr>
                      <w:rFonts w:hint="default" w:ascii="Times New Roman" w:hAnsi="Times New Roman" w:cs="Times New Roman"/>
                      <w:color w:val="auto"/>
                      <w:sz w:val="21"/>
                      <w:szCs w:val="21"/>
                      <w:highlight w:val="none"/>
                      <w:lang w:eastAsia="zh-CN"/>
                    </w:rPr>
                    <w:t>危废暂存间、</w:t>
                  </w:r>
                  <w:r>
                    <w:rPr>
                      <w:rFonts w:hint="default" w:ascii="Times New Roman" w:hAnsi="Times New Roman"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lang w:eastAsia="zh-CN"/>
                    </w:rPr>
                    <w:t>重点防渗区，其余生产生活设施为简单防渗区。</w:t>
                  </w:r>
                  <w:r>
                    <w:rPr>
                      <w:rFonts w:hint="default" w:ascii="Times New Roman" w:hAnsi="Times New Roman" w:cs="Times New Roman"/>
                      <w:color w:val="auto"/>
                      <w:sz w:val="21"/>
                      <w:szCs w:val="21"/>
                      <w:highlight w:val="none"/>
                    </w:rPr>
                    <w:t>重点防渗区</w:t>
                  </w:r>
                  <w:r>
                    <w:rPr>
                      <w:rFonts w:hint="default" w:ascii="Times New Roman" w:hAnsi="Times New Roman" w:eastAsia="宋体" w:cs="Times New Roman"/>
                      <w:color w:val="auto"/>
                      <w:sz w:val="21"/>
                      <w:szCs w:val="21"/>
                      <w:highlight w:val="none"/>
                    </w:rPr>
                    <w:t>混凝土硬化地面并涂刷2层防渗胶层防渗，确保防渗性能与6.0m厚黏土层（渗透系数K≤1×10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cm/s）等效</w:t>
                  </w:r>
                  <w:r>
                    <w:rPr>
                      <w:rFonts w:hint="eastAsia" w:ascii="Times New Roman" w:hAnsi="Times New Roman" w:cs="Times New Roman"/>
                      <w:color w:val="auto"/>
                      <w:sz w:val="21"/>
                      <w:szCs w:val="21"/>
                      <w:highlight w:val="none"/>
                      <w:lang w:eastAsia="zh-CN"/>
                    </w:rPr>
                    <w:t>。</w:t>
                  </w:r>
                </w:p>
              </w:tc>
              <w:tc>
                <w:tcPr>
                  <w:tcW w:w="721" w:type="dxa"/>
                  <w:vAlign w:val="center"/>
                </w:tcPr>
                <w:p w14:paraId="152B7397">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14:paraId="1B5D1F7F">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主要设备</w:t>
            </w:r>
          </w:p>
          <w:p w14:paraId="5BE3DA3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本项目主要生产设备见表2-2。</w:t>
            </w:r>
          </w:p>
          <w:p w14:paraId="71EDE6C5">
            <w:pPr>
              <w:pStyle w:val="37"/>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表2-2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主要设备一览表</w:t>
            </w:r>
          </w:p>
          <w:tbl>
            <w:tblPr>
              <w:tblStyle w:val="29"/>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315"/>
              <w:gridCol w:w="2250"/>
              <w:gridCol w:w="705"/>
              <w:gridCol w:w="791"/>
            </w:tblGrid>
            <w:tr w14:paraId="7E20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trPr>
              <w:tc>
                <w:tcPr>
                  <w:tcW w:w="777" w:type="dxa"/>
                  <w:vAlign w:val="center"/>
                </w:tcPr>
                <w:p w14:paraId="5A855B1F">
                  <w:pPr>
                    <w:pStyle w:val="47"/>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序号</w:t>
                  </w:r>
                </w:p>
              </w:tc>
              <w:tc>
                <w:tcPr>
                  <w:tcW w:w="3315" w:type="dxa"/>
                  <w:vAlign w:val="center"/>
                </w:tcPr>
                <w:p w14:paraId="5CE65557">
                  <w:pPr>
                    <w:pStyle w:val="47"/>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设备名称</w:t>
                  </w:r>
                </w:p>
              </w:tc>
              <w:tc>
                <w:tcPr>
                  <w:tcW w:w="2250" w:type="dxa"/>
                  <w:vAlign w:val="center"/>
                </w:tcPr>
                <w:p w14:paraId="574EE133">
                  <w:pPr>
                    <w:pStyle w:val="47"/>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规格型号</w:t>
                  </w:r>
                </w:p>
              </w:tc>
              <w:tc>
                <w:tcPr>
                  <w:tcW w:w="705" w:type="dxa"/>
                  <w:vAlign w:val="center"/>
                </w:tcPr>
                <w:p w14:paraId="1F3D322C">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单位</w:t>
                  </w:r>
                </w:p>
              </w:tc>
              <w:tc>
                <w:tcPr>
                  <w:tcW w:w="791" w:type="dxa"/>
                  <w:vAlign w:val="center"/>
                </w:tcPr>
                <w:p w14:paraId="026BB71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数量</w:t>
                  </w:r>
                </w:p>
              </w:tc>
            </w:tr>
            <w:tr w14:paraId="5353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67547F7C">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315" w:type="dxa"/>
                  <w:shd w:val="clear" w:color="auto" w:fill="auto"/>
                  <w:vAlign w:val="center"/>
                </w:tcPr>
                <w:p w14:paraId="16D4784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溶解釜</w:t>
                  </w:r>
                </w:p>
              </w:tc>
              <w:tc>
                <w:tcPr>
                  <w:tcW w:w="2250" w:type="dxa"/>
                  <w:shd w:val="clear" w:color="auto" w:fill="auto"/>
                  <w:vAlign w:val="center"/>
                </w:tcPr>
                <w:p w14:paraId="2C0ABC60">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5000L</w:t>
                  </w:r>
                </w:p>
              </w:tc>
              <w:tc>
                <w:tcPr>
                  <w:tcW w:w="705" w:type="dxa"/>
                  <w:vAlign w:val="center"/>
                </w:tcPr>
                <w:p w14:paraId="2B9B39BE">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731907FE">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20</w:t>
                  </w:r>
                </w:p>
              </w:tc>
            </w:tr>
            <w:tr w14:paraId="009F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227D3996">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w:t>
                  </w:r>
                </w:p>
              </w:tc>
              <w:tc>
                <w:tcPr>
                  <w:tcW w:w="3315" w:type="dxa"/>
                  <w:shd w:val="clear" w:color="auto" w:fill="auto"/>
                  <w:vAlign w:val="center"/>
                </w:tcPr>
                <w:p w14:paraId="0256D9B7">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过滤机</w:t>
                  </w:r>
                </w:p>
              </w:tc>
              <w:tc>
                <w:tcPr>
                  <w:tcW w:w="2250" w:type="dxa"/>
                  <w:shd w:val="clear" w:color="auto" w:fill="auto"/>
                  <w:vAlign w:val="center"/>
                </w:tcPr>
                <w:p w14:paraId="68EB6F3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Φ500×1000</w:t>
                  </w:r>
                </w:p>
              </w:tc>
              <w:tc>
                <w:tcPr>
                  <w:tcW w:w="705" w:type="dxa"/>
                  <w:vAlign w:val="center"/>
                </w:tcPr>
                <w:p w14:paraId="0B1C26E5">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7EB45328">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1604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5D4134AD">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w:t>
                  </w:r>
                </w:p>
              </w:tc>
              <w:tc>
                <w:tcPr>
                  <w:tcW w:w="3315" w:type="dxa"/>
                  <w:shd w:val="clear" w:color="auto" w:fill="auto"/>
                  <w:vAlign w:val="center"/>
                </w:tcPr>
                <w:p w14:paraId="4490DCAD">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真空泵</w:t>
                  </w:r>
                </w:p>
              </w:tc>
              <w:tc>
                <w:tcPr>
                  <w:tcW w:w="2250" w:type="dxa"/>
                  <w:shd w:val="clear" w:color="auto" w:fill="auto"/>
                  <w:vAlign w:val="center"/>
                </w:tcPr>
                <w:p w14:paraId="306DC605">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2BV60m</w:t>
                  </w:r>
                  <w:r>
                    <w:rPr>
                      <w:rFonts w:hint="default" w:ascii="Times New Roman" w:hAnsi="Times New Roman" w:eastAsia="宋体" w:cs="Times New Roman"/>
                      <w:color w:val="auto"/>
                      <w:sz w:val="21"/>
                      <w:highlight w:val="none"/>
                      <w:vertAlign w:val="superscript"/>
                    </w:rPr>
                    <w:t>3</w:t>
                  </w:r>
                  <w:r>
                    <w:rPr>
                      <w:rFonts w:hint="default" w:ascii="Times New Roman" w:hAnsi="Times New Roman" w:eastAsia="宋体" w:cs="Times New Roman"/>
                      <w:color w:val="auto"/>
                      <w:sz w:val="21"/>
                      <w:highlight w:val="none"/>
                    </w:rPr>
                    <w:t>/h</w:t>
                  </w:r>
                </w:p>
              </w:tc>
              <w:tc>
                <w:tcPr>
                  <w:tcW w:w="705" w:type="dxa"/>
                  <w:vAlign w:val="center"/>
                </w:tcPr>
                <w:p w14:paraId="55BCB9F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53E5002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385E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6E009EE7">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w:t>
                  </w:r>
                </w:p>
              </w:tc>
              <w:tc>
                <w:tcPr>
                  <w:tcW w:w="3315" w:type="dxa"/>
                  <w:shd w:val="clear" w:color="auto" w:fill="auto"/>
                  <w:vAlign w:val="center"/>
                </w:tcPr>
                <w:p w14:paraId="5981D62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冷却机</w:t>
                  </w:r>
                </w:p>
              </w:tc>
              <w:tc>
                <w:tcPr>
                  <w:tcW w:w="2250" w:type="dxa"/>
                  <w:shd w:val="clear" w:color="auto" w:fill="auto"/>
                  <w:vAlign w:val="center"/>
                </w:tcPr>
                <w:p w14:paraId="1A588745">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DER-5℃~-65℃</w:t>
                  </w:r>
                </w:p>
              </w:tc>
              <w:tc>
                <w:tcPr>
                  <w:tcW w:w="705" w:type="dxa"/>
                  <w:vAlign w:val="center"/>
                </w:tcPr>
                <w:p w14:paraId="3D920F90">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7DBF5A5A">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7EF3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77" w:type="dxa"/>
                  <w:vAlign w:val="center"/>
                </w:tcPr>
                <w:p w14:paraId="32874213">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w:t>
                  </w:r>
                </w:p>
              </w:tc>
              <w:tc>
                <w:tcPr>
                  <w:tcW w:w="3315" w:type="dxa"/>
                  <w:shd w:val="clear" w:color="auto" w:fill="auto"/>
                  <w:vAlign w:val="center"/>
                </w:tcPr>
                <w:p w14:paraId="463F5DA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储槽</w:t>
                  </w:r>
                </w:p>
              </w:tc>
              <w:tc>
                <w:tcPr>
                  <w:tcW w:w="2250" w:type="dxa"/>
                  <w:shd w:val="clear" w:color="auto" w:fill="auto"/>
                  <w:vAlign w:val="center"/>
                </w:tcPr>
                <w:p w14:paraId="12BFED49">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10m</w:t>
                  </w:r>
                  <w:r>
                    <w:rPr>
                      <w:rFonts w:hint="default" w:ascii="Times New Roman" w:hAnsi="Times New Roman" w:eastAsia="宋体" w:cs="Times New Roman"/>
                      <w:color w:val="auto"/>
                      <w:sz w:val="21"/>
                      <w:highlight w:val="none"/>
                      <w:vertAlign w:val="superscript"/>
                    </w:rPr>
                    <w:t>3</w:t>
                  </w:r>
                </w:p>
              </w:tc>
              <w:tc>
                <w:tcPr>
                  <w:tcW w:w="705" w:type="dxa"/>
                  <w:vAlign w:val="center"/>
                </w:tcPr>
                <w:p w14:paraId="001A3EA2">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套</w:t>
                  </w:r>
                </w:p>
              </w:tc>
              <w:tc>
                <w:tcPr>
                  <w:tcW w:w="791" w:type="dxa"/>
                  <w:shd w:val="clear" w:color="auto" w:fill="auto"/>
                  <w:vAlign w:val="center"/>
                </w:tcPr>
                <w:p w14:paraId="57883EC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1E5E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5BA0DE7C">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w:t>
                  </w:r>
                </w:p>
              </w:tc>
              <w:tc>
                <w:tcPr>
                  <w:tcW w:w="3315" w:type="dxa"/>
                  <w:shd w:val="clear" w:color="auto" w:fill="auto"/>
                  <w:vAlign w:val="center"/>
                </w:tcPr>
                <w:p w14:paraId="1A2C88AD">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干燥机</w:t>
                  </w:r>
                </w:p>
              </w:tc>
              <w:tc>
                <w:tcPr>
                  <w:tcW w:w="2250" w:type="dxa"/>
                  <w:shd w:val="clear" w:color="auto" w:fill="auto"/>
                  <w:vAlign w:val="center"/>
                </w:tcPr>
                <w:p w14:paraId="1BC39536">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QG-100</w:t>
                  </w:r>
                </w:p>
              </w:tc>
              <w:tc>
                <w:tcPr>
                  <w:tcW w:w="705" w:type="dxa"/>
                  <w:vAlign w:val="center"/>
                </w:tcPr>
                <w:p w14:paraId="33CB6156">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3641730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45DC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76B105B3">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w:t>
                  </w:r>
                </w:p>
              </w:tc>
              <w:tc>
                <w:tcPr>
                  <w:tcW w:w="3315" w:type="dxa"/>
                  <w:shd w:val="clear" w:color="auto" w:fill="auto"/>
                  <w:vAlign w:val="center"/>
                </w:tcPr>
                <w:p w14:paraId="3E3CD31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给料机</w:t>
                  </w:r>
                </w:p>
              </w:tc>
              <w:tc>
                <w:tcPr>
                  <w:tcW w:w="2250" w:type="dxa"/>
                  <w:shd w:val="clear" w:color="auto" w:fill="auto"/>
                  <w:vAlign w:val="center"/>
                </w:tcPr>
                <w:p w14:paraId="59BD7681">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BG120×400</w:t>
                  </w:r>
                </w:p>
              </w:tc>
              <w:tc>
                <w:tcPr>
                  <w:tcW w:w="705" w:type="dxa"/>
                  <w:vAlign w:val="center"/>
                </w:tcPr>
                <w:p w14:paraId="5A1B9D7D">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1B76F2DF">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r w14:paraId="41C9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vAlign w:val="center"/>
                </w:tcPr>
                <w:p w14:paraId="5B13EDCB">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8</w:t>
                  </w:r>
                </w:p>
              </w:tc>
              <w:tc>
                <w:tcPr>
                  <w:tcW w:w="3315" w:type="dxa"/>
                  <w:shd w:val="clear" w:color="auto" w:fill="auto"/>
                  <w:vAlign w:val="center"/>
                </w:tcPr>
                <w:p w14:paraId="230103CF">
                  <w:pPr>
                    <w:pStyle w:val="47"/>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钢渣破碎机</w:t>
                  </w:r>
                </w:p>
              </w:tc>
              <w:tc>
                <w:tcPr>
                  <w:tcW w:w="2250" w:type="dxa"/>
                  <w:shd w:val="clear" w:color="auto" w:fill="auto"/>
                  <w:vAlign w:val="center"/>
                </w:tcPr>
                <w:p w14:paraId="2227B71E">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pfl-800</w:t>
                  </w:r>
                </w:p>
              </w:tc>
              <w:tc>
                <w:tcPr>
                  <w:tcW w:w="705" w:type="dxa"/>
                  <w:vAlign w:val="center"/>
                </w:tcPr>
                <w:p w14:paraId="2A6894EC">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355EEB85">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p>
              </w:tc>
            </w:tr>
            <w:tr w14:paraId="70B8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77" w:type="dxa"/>
                  <w:shd w:val="clear" w:color="auto" w:fill="auto"/>
                  <w:vAlign w:val="center"/>
                </w:tcPr>
                <w:p w14:paraId="05F42193">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9</w:t>
                  </w:r>
                </w:p>
              </w:tc>
              <w:tc>
                <w:tcPr>
                  <w:tcW w:w="3315" w:type="dxa"/>
                  <w:shd w:val="clear" w:color="auto" w:fill="auto"/>
                  <w:vAlign w:val="center"/>
                </w:tcPr>
                <w:p w14:paraId="5B363287">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负压吸粉装置</w:t>
                  </w:r>
                </w:p>
              </w:tc>
              <w:tc>
                <w:tcPr>
                  <w:tcW w:w="2250" w:type="dxa"/>
                  <w:shd w:val="clear" w:color="auto" w:fill="auto"/>
                  <w:vAlign w:val="center"/>
                </w:tcPr>
                <w:p w14:paraId="01457F11">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bCs/>
                      <w:color w:val="auto"/>
                      <w:spacing w:val="5"/>
                      <w:kern w:val="0"/>
                      <w:sz w:val="21"/>
                      <w:szCs w:val="21"/>
                      <w:highlight w:val="none"/>
                      <w:lang w:val="en-US" w:eastAsia="zh-CN" w:bidi="ar-SA"/>
                    </w:rPr>
                    <w:t>/</w:t>
                  </w:r>
                </w:p>
              </w:tc>
              <w:tc>
                <w:tcPr>
                  <w:tcW w:w="705" w:type="dxa"/>
                  <w:shd w:val="clear" w:color="auto" w:fill="auto"/>
                  <w:vAlign w:val="center"/>
                </w:tcPr>
                <w:p w14:paraId="09C449A2">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台</w:t>
                  </w:r>
                </w:p>
              </w:tc>
              <w:tc>
                <w:tcPr>
                  <w:tcW w:w="791" w:type="dxa"/>
                  <w:shd w:val="clear" w:color="auto" w:fill="auto"/>
                  <w:vAlign w:val="center"/>
                </w:tcPr>
                <w:p w14:paraId="5F455229">
                  <w:pPr>
                    <w:pStyle w:val="47"/>
                    <w:ind w:firstLine="0" w:firstLineChars="0"/>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w:t>
                  </w:r>
                </w:p>
              </w:tc>
            </w:tr>
            <w:tr w14:paraId="5778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0" w:type="auto"/>
                  <w:shd w:val="clear" w:color="auto" w:fill="auto"/>
                  <w:vAlign w:val="center"/>
                </w:tcPr>
                <w:p w14:paraId="352BA569">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9</w:t>
                  </w:r>
                </w:p>
              </w:tc>
              <w:tc>
                <w:tcPr>
                  <w:tcW w:w="0" w:type="auto"/>
                  <w:shd w:val="clear" w:color="auto" w:fill="auto"/>
                  <w:vAlign w:val="center"/>
                </w:tcPr>
                <w:p w14:paraId="3D6E9117">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半自动拆解机</w:t>
                  </w:r>
                </w:p>
              </w:tc>
              <w:tc>
                <w:tcPr>
                  <w:tcW w:w="0" w:type="auto"/>
                  <w:shd w:val="clear" w:color="auto" w:fill="auto"/>
                  <w:vAlign w:val="center"/>
                </w:tcPr>
                <w:p w14:paraId="206AC9B6">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bCs/>
                      <w:color w:val="auto"/>
                      <w:spacing w:val="5"/>
                      <w:kern w:val="0"/>
                      <w:sz w:val="21"/>
                      <w:szCs w:val="21"/>
                      <w:highlight w:val="none"/>
                      <w:lang w:val="en-US" w:eastAsia="zh-CN" w:bidi="ar-SA"/>
                    </w:rPr>
                    <w:t>/</w:t>
                  </w:r>
                </w:p>
              </w:tc>
              <w:tc>
                <w:tcPr>
                  <w:tcW w:w="0" w:type="auto"/>
                  <w:shd w:val="clear" w:color="auto" w:fill="auto"/>
                  <w:vAlign w:val="center"/>
                </w:tcPr>
                <w:p w14:paraId="1A40973D">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台</w:t>
                  </w:r>
                </w:p>
              </w:tc>
              <w:tc>
                <w:tcPr>
                  <w:tcW w:w="791" w:type="dxa"/>
                </w:tcPr>
                <w:p w14:paraId="4342B68E">
                  <w:pPr>
                    <w:pStyle w:val="47"/>
                    <w:rPr>
                      <w:rFonts w:hint="default" w:ascii="Times New Roman" w:hAnsi="Times New Roman"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w:t>
                  </w:r>
                </w:p>
              </w:tc>
            </w:tr>
          </w:tbl>
          <w:p w14:paraId="4CC92F70">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主要原辅材料及能源消耗</w:t>
            </w:r>
          </w:p>
          <w:p w14:paraId="3BFEE80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项目主要原辅材料及能源消耗量见表2-3。</w:t>
            </w:r>
          </w:p>
          <w:p w14:paraId="6DCB25AB">
            <w:pPr>
              <w:pStyle w:val="5"/>
              <w:ind w:firstLine="422"/>
              <w:jc w:val="center"/>
              <w:rPr>
                <w:rFonts w:hint="default" w:ascii="Times New Roman" w:hAnsi="Times New Roman" w:cs="Times New Roman"/>
                <w:color w:val="auto"/>
                <w:highlight w:val="none"/>
              </w:rPr>
            </w:pPr>
            <w:r>
              <w:rPr>
                <w:rFonts w:hint="default" w:ascii="Times New Roman" w:hAnsi="Times New Roman" w:cs="Times New Roman"/>
                <w:b/>
                <w:color w:val="auto"/>
                <w:kern w:val="0"/>
                <w:sz w:val="21"/>
                <w:szCs w:val="20"/>
                <w:highlight w:val="none"/>
              </w:rPr>
              <w:t xml:space="preserve">表2-3  </w:t>
            </w:r>
            <w:r>
              <w:rPr>
                <w:rFonts w:hint="default" w:ascii="Times New Roman" w:hAnsi="Times New Roman" w:cs="Times New Roman"/>
                <w:b/>
                <w:color w:val="auto"/>
                <w:kern w:val="0"/>
                <w:sz w:val="21"/>
                <w:szCs w:val="20"/>
                <w:highlight w:val="none"/>
                <w:lang w:val="en-US" w:eastAsia="zh-CN"/>
              </w:rPr>
              <w:t xml:space="preserve"> </w:t>
            </w:r>
            <w:r>
              <w:rPr>
                <w:rFonts w:hint="default" w:ascii="Times New Roman" w:hAnsi="Times New Roman" w:cs="Times New Roman"/>
                <w:b/>
                <w:color w:val="auto"/>
                <w:kern w:val="0"/>
                <w:sz w:val="21"/>
                <w:szCs w:val="20"/>
                <w:highlight w:val="none"/>
              </w:rPr>
              <w:t>项目主要原辅材料及能源消耗量一览表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65"/>
              <w:gridCol w:w="3658"/>
              <w:gridCol w:w="1523"/>
              <w:gridCol w:w="1118"/>
            </w:tblGrid>
            <w:tr w14:paraId="5915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3" w:type="dxa"/>
                  <w:vAlign w:val="center"/>
                </w:tcPr>
                <w:p w14:paraId="479DFE2C">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序号</w:t>
                  </w:r>
                </w:p>
              </w:tc>
              <w:tc>
                <w:tcPr>
                  <w:tcW w:w="4523" w:type="dxa"/>
                  <w:gridSpan w:val="2"/>
                  <w:vAlign w:val="center"/>
                </w:tcPr>
                <w:p w14:paraId="2E8C498F">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w:t>
                  </w:r>
                </w:p>
              </w:tc>
              <w:tc>
                <w:tcPr>
                  <w:tcW w:w="1523" w:type="dxa"/>
                  <w:vAlign w:val="center"/>
                </w:tcPr>
                <w:p w14:paraId="09990B80">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消耗量</w:t>
                  </w:r>
                </w:p>
              </w:tc>
              <w:tc>
                <w:tcPr>
                  <w:tcW w:w="1118" w:type="dxa"/>
                  <w:vAlign w:val="center"/>
                </w:tcPr>
                <w:p w14:paraId="684EEC2B">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来源</w:t>
                  </w:r>
                </w:p>
              </w:tc>
            </w:tr>
            <w:tr w14:paraId="0986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73" w:type="dxa"/>
                  <w:vAlign w:val="center"/>
                </w:tcPr>
                <w:p w14:paraId="3E68C56D">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865" w:type="dxa"/>
                  <w:vMerge w:val="restart"/>
                  <w:vAlign w:val="center"/>
                </w:tcPr>
                <w:p w14:paraId="66014FD4">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原辅料</w:t>
                  </w:r>
                </w:p>
              </w:tc>
              <w:tc>
                <w:tcPr>
                  <w:tcW w:w="3658" w:type="dxa"/>
                  <w:vAlign w:val="center"/>
                </w:tcPr>
                <w:p w14:paraId="5FDD62FE">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szCs w:val="21"/>
                    </w:rPr>
                    <w:t>干粉灭火器废料</w:t>
                  </w:r>
                  <w:r>
                    <w:rPr>
                      <w:rFonts w:hint="default" w:ascii="Times New Roman" w:hAnsi="Times New Roman" w:cs="Times New Roman"/>
                      <w:szCs w:val="21"/>
                      <w:lang w:eastAsia="zh-CN"/>
                    </w:rPr>
                    <w:t>（</w:t>
                  </w:r>
                  <w:r>
                    <w:rPr>
                      <w:rFonts w:hint="default" w:ascii="Times New Roman" w:hAnsi="Times New Roman" w:cs="Times New Roman"/>
                      <w:szCs w:val="21"/>
                    </w:rPr>
                    <w:t>磷酸二氢铵</w:t>
                  </w:r>
                  <w:r>
                    <w:rPr>
                      <w:rFonts w:hint="default" w:ascii="Times New Roman" w:hAnsi="Times New Roman" w:cs="Times New Roman"/>
                      <w:szCs w:val="21"/>
                      <w:lang w:eastAsia="zh-CN"/>
                    </w:rPr>
                    <w:t>）</w:t>
                  </w:r>
                </w:p>
              </w:tc>
              <w:tc>
                <w:tcPr>
                  <w:tcW w:w="1523" w:type="dxa"/>
                  <w:vAlign w:val="center"/>
                </w:tcPr>
                <w:p w14:paraId="31784558">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szCs w:val="21"/>
                      <w:lang w:val="en-US" w:eastAsia="zh-CN"/>
                    </w:rPr>
                    <w:t>40000吨</w:t>
                  </w:r>
                  <w:r>
                    <w:rPr>
                      <w:rFonts w:hint="default" w:ascii="Times New Roman" w:hAnsi="Times New Roman" w:eastAsia="宋体" w:cs="Times New Roman"/>
                      <w:color w:val="auto"/>
                      <w:sz w:val="21"/>
                      <w:highlight w:val="none"/>
                      <w:lang w:val="en-US" w:eastAsia="zh-CN"/>
                    </w:rPr>
                    <w:t>/年</w:t>
                  </w:r>
                </w:p>
              </w:tc>
              <w:tc>
                <w:tcPr>
                  <w:tcW w:w="1118" w:type="dxa"/>
                  <w:vMerge w:val="restart"/>
                  <w:vAlign w:val="center"/>
                </w:tcPr>
                <w:p w14:paraId="4D06EF39">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巴州供销社对外收购运输到厂区</w:t>
                  </w:r>
                </w:p>
              </w:tc>
            </w:tr>
            <w:tr w14:paraId="729E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73" w:type="dxa"/>
                  <w:vAlign w:val="center"/>
                </w:tcPr>
                <w:p w14:paraId="357FACAA">
                  <w:pPr>
                    <w:pStyle w:val="47"/>
                    <w:snapToGrid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p>
              </w:tc>
              <w:tc>
                <w:tcPr>
                  <w:tcW w:w="865" w:type="dxa"/>
                  <w:vMerge w:val="continue"/>
                  <w:vAlign w:val="center"/>
                </w:tcPr>
                <w:p w14:paraId="3504C7B9">
                  <w:pPr>
                    <w:pStyle w:val="47"/>
                    <w:snapToGrid w:val="0"/>
                    <w:rPr>
                      <w:rFonts w:hint="default" w:ascii="Times New Roman" w:hAnsi="Times New Roman" w:eastAsia="宋体" w:cs="Times New Roman"/>
                      <w:color w:val="auto"/>
                      <w:sz w:val="21"/>
                      <w:highlight w:val="none"/>
                      <w:lang w:val="en-US" w:eastAsia="zh-CN"/>
                    </w:rPr>
                  </w:pPr>
                </w:p>
              </w:tc>
              <w:tc>
                <w:tcPr>
                  <w:tcW w:w="3658" w:type="dxa"/>
                  <w:vAlign w:val="center"/>
                </w:tcPr>
                <w:p w14:paraId="20976564">
                  <w:pPr>
                    <w:pStyle w:val="47"/>
                    <w:snapToGrid w:val="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废弃灭火器</w:t>
                  </w:r>
                </w:p>
              </w:tc>
              <w:tc>
                <w:tcPr>
                  <w:tcW w:w="1523" w:type="dxa"/>
                  <w:vAlign w:val="center"/>
                </w:tcPr>
                <w:p w14:paraId="208A2806">
                  <w:pPr>
                    <w:pStyle w:val="47"/>
                    <w:snapToGrid w:val="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31000吨</w:t>
                  </w:r>
                  <w:r>
                    <w:rPr>
                      <w:rFonts w:hint="default" w:ascii="Times New Roman" w:hAnsi="Times New Roman" w:eastAsia="宋体" w:cs="Times New Roman"/>
                      <w:color w:val="auto"/>
                      <w:sz w:val="21"/>
                      <w:highlight w:val="none"/>
                      <w:lang w:val="en-US" w:eastAsia="zh-CN"/>
                    </w:rPr>
                    <w:t>/年</w:t>
                  </w:r>
                </w:p>
              </w:tc>
              <w:tc>
                <w:tcPr>
                  <w:tcW w:w="1118" w:type="dxa"/>
                  <w:vMerge w:val="continue"/>
                  <w:vAlign w:val="center"/>
                </w:tcPr>
                <w:p w14:paraId="76BF5CD0">
                  <w:pPr>
                    <w:pStyle w:val="47"/>
                    <w:snapToGrid w:val="0"/>
                    <w:rPr>
                      <w:rFonts w:hint="default" w:ascii="Times New Roman" w:hAnsi="Times New Roman" w:eastAsia="宋体" w:cs="Times New Roman"/>
                      <w:color w:val="auto"/>
                      <w:sz w:val="21"/>
                      <w:highlight w:val="none"/>
                      <w:lang w:val="en-US" w:eastAsia="zh-CN"/>
                    </w:rPr>
                  </w:pPr>
                </w:p>
              </w:tc>
            </w:tr>
            <w:tr w14:paraId="6F09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shd w:val="clear" w:color="auto" w:fill="auto"/>
                  <w:vAlign w:val="center"/>
                </w:tcPr>
                <w:p w14:paraId="7E2EF069">
                  <w:pPr>
                    <w:spacing w:line="400" w:lineRule="exact"/>
                    <w:ind w:left="0" w:leftChars="0" w:firstLine="0" w:firstLineChars="0"/>
                    <w:jc w:val="center"/>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865" w:type="dxa"/>
                  <w:vMerge w:val="restart"/>
                  <w:vAlign w:val="center"/>
                </w:tcPr>
                <w:p w14:paraId="351F8C0C">
                  <w:pPr>
                    <w:pStyle w:val="47"/>
                    <w:snapToGrid w:val="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能源</w:t>
                  </w:r>
                </w:p>
              </w:tc>
              <w:tc>
                <w:tcPr>
                  <w:tcW w:w="3658" w:type="dxa"/>
                  <w:vAlign w:val="center"/>
                </w:tcPr>
                <w:p w14:paraId="648DB33B">
                  <w:pPr>
                    <w:pStyle w:val="47"/>
                    <w:snapToGrid w:val="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电</w:t>
                  </w:r>
                </w:p>
              </w:tc>
              <w:tc>
                <w:tcPr>
                  <w:tcW w:w="1523" w:type="dxa"/>
                  <w:vAlign w:val="center"/>
                </w:tcPr>
                <w:p w14:paraId="0D4CE38E">
                  <w:pPr>
                    <w:pStyle w:val="47"/>
                    <w:snapToGrid w:val="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359.414</w:t>
                  </w:r>
                  <w:r>
                    <w:rPr>
                      <w:rFonts w:hint="default" w:ascii="Times New Roman" w:hAnsi="Times New Roman" w:cs="Times New Roman"/>
                      <w:color w:val="auto"/>
                      <w:sz w:val="21"/>
                      <w:highlight w:val="none"/>
                    </w:rPr>
                    <w:t>万</w:t>
                  </w:r>
                  <w:r>
                    <w:rPr>
                      <w:rFonts w:hint="default" w:ascii="Times New Roman" w:hAnsi="Times New Roman" w:cs="Times New Roman"/>
                      <w:color w:val="auto"/>
                      <w:sz w:val="21"/>
                      <w:highlight w:val="none"/>
                      <w:lang w:eastAsia="zh-CN"/>
                    </w:rPr>
                    <w:t>kW</w:t>
                  </w:r>
                  <w:r>
                    <w:rPr>
                      <w:rFonts w:hint="default" w:ascii="Times New Roman" w:hAnsi="Times New Roman" w:cs="Times New Roman"/>
                      <w:color w:val="auto"/>
                      <w:sz w:val="21"/>
                      <w:highlight w:val="none"/>
                    </w:rPr>
                    <w:t>・h/a</w:t>
                  </w:r>
                </w:p>
              </w:tc>
              <w:tc>
                <w:tcPr>
                  <w:tcW w:w="1118" w:type="dxa"/>
                  <w:vAlign w:val="center"/>
                </w:tcPr>
                <w:p w14:paraId="37F909CC">
                  <w:pPr>
                    <w:pStyle w:val="47"/>
                    <w:snapToGrid w:val="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园区电网</w:t>
                  </w:r>
                </w:p>
              </w:tc>
            </w:tr>
            <w:tr w14:paraId="2CE3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3" w:type="dxa"/>
                  <w:vAlign w:val="center"/>
                </w:tcPr>
                <w:p w14:paraId="04356D46">
                  <w:pPr>
                    <w:spacing w:line="400" w:lineRule="exact"/>
                    <w:ind w:left="0" w:lef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865" w:type="dxa"/>
                  <w:vMerge w:val="continue"/>
                  <w:vAlign w:val="center"/>
                </w:tcPr>
                <w:p w14:paraId="489287AC">
                  <w:pPr>
                    <w:pStyle w:val="47"/>
                    <w:snapToGrid w:val="0"/>
                    <w:jc w:val="center"/>
                    <w:rPr>
                      <w:rFonts w:hint="default" w:ascii="Times New Roman" w:hAnsi="Times New Roman" w:cs="Times New Roman"/>
                      <w:color w:val="auto"/>
                      <w:sz w:val="21"/>
                      <w:highlight w:val="none"/>
                      <w:lang w:val="en-US" w:eastAsia="zh-CN"/>
                    </w:rPr>
                  </w:pPr>
                </w:p>
              </w:tc>
              <w:tc>
                <w:tcPr>
                  <w:tcW w:w="3658" w:type="dxa"/>
                  <w:vAlign w:val="center"/>
                </w:tcPr>
                <w:p w14:paraId="57CB0B6D">
                  <w:pPr>
                    <w:pStyle w:val="47"/>
                    <w:snapToGrid w:val="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水</w:t>
                  </w:r>
                </w:p>
              </w:tc>
              <w:tc>
                <w:tcPr>
                  <w:tcW w:w="1523" w:type="dxa"/>
                  <w:vAlign w:val="center"/>
                </w:tcPr>
                <w:p w14:paraId="619E55E8">
                  <w:pPr>
                    <w:pStyle w:val="47"/>
                    <w:snapToGrid w:val="0"/>
                    <w:jc w:val="center"/>
                    <w:rPr>
                      <w:rFonts w:hint="default" w:ascii="Times New Roman" w:hAnsi="Times New Roman" w:cs="Times New Roman"/>
                      <w:color w:val="auto"/>
                      <w:sz w:val="21"/>
                      <w:szCs w:val="21"/>
                      <w:highlight w:val="none"/>
                    </w:rPr>
                  </w:pPr>
                  <w:r>
                    <w:rPr>
                      <w:rFonts w:hint="eastAsia" w:ascii="Times New Roman" w:hAnsi="Times New Roman" w:cs="Times New Roman"/>
                      <w:i w:val="0"/>
                      <w:iCs w:val="0"/>
                      <w:caps w:val="0"/>
                      <w:color w:val="auto"/>
                      <w:spacing w:val="0"/>
                      <w:sz w:val="21"/>
                      <w:szCs w:val="21"/>
                      <w:highlight w:val="none"/>
                      <w:shd w:val="clear" w:fill="FFFFFF"/>
                      <w:lang w:val="en-US" w:eastAsia="zh-CN"/>
                    </w:rPr>
                    <w:t>92628</w:t>
                  </w:r>
                  <w:r>
                    <w:rPr>
                      <w:rFonts w:hint="default" w:ascii="Times New Roman" w:hAnsi="Times New Roman" w:cs="Times New Roman"/>
                      <w:i w:val="0"/>
                      <w:iCs w:val="0"/>
                      <w:caps w:val="0"/>
                      <w:color w:val="auto"/>
                      <w:spacing w:val="0"/>
                      <w:sz w:val="21"/>
                      <w:szCs w:val="21"/>
                      <w:highlight w:val="none"/>
                      <w:shd w:val="clear" w:fill="FFFFFF"/>
                      <w:lang w:val="en-US" w:eastAsia="zh-CN"/>
                    </w:rPr>
                    <w:t>m³</w:t>
                  </w:r>
                  <w:r>
                    <w:rPr>
                      <w:rFonts w:hint="default" w:ascii="Times New Roman" w:hAnsi="Times New Roman" w:eastAsia="Segoe UI" w:cs="Times New Roman"/>
                      <w:i w:val="0"/>
                      <w:iCs w:val="0"/>
                      <w:caps w:val="0"/>
                      <w:color w:val="auto"/>
                      <w:spacing w:val="0"/>
                      <w:sz w:val="21"/>
                      <w:szCs w:val="21"/>
                      <w:highlight w:val="none"/>
                      <w:shd w:val="clear" w:fill="FFFFFF"/>
                    </w:rPr>
                    <w:t>/a</w:t>
                  </w:r>
                </w:p>
              </w:tc>
              <w:tc>
                <w:tcPr>
                  <w:tcW w:w="1118" w:type="dxa"/>
                  <w:vAlign w:val="center"/>
                </w:tcPr>
                <w:p w14:paraId="2BC1792C">
                  <w:pPr>
                    <w:pStyle w:val="47"/>
                    <w:snapToGrid w:val="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由园区供水管网</w:t>
                  </w:r>
                </w:p>
              </w:tc>
            </w:tr>
          </w:tbl>
          <w:p w14:paraId="2472E1E8">
            <w:pPr>
              <w:pStyle w:val="37"/>
              <w:rPr>
                <w:rFonts w:hint="default" w:ascii="Times New Roman" w:hAnsi="Times New Roman" w:cs="Times New Roman"/>
                <w:color w:val="auto"/>
                <w:highlight w:val="none"/>
              </w:rPr>
            </w:pPr>
            <w:r>
              <w:rPr>
                <w:rFonts w:hint="default" w:ascii="Times New Roman" w:hAnsi="Times New Roman" w:cs="Times New Roman"/>
                <w:color w:val="auto"/>
                <w:highlight w:val="none"/>
              </w:rPr>
              <w:t>表2-4   主要原辅材料理化性质</w:t>
            </w:r>
          </w:p>
          <w:tbl>
            <w:tblPr>
              <w:tblStyle w:val="29"/>
              <w:tblW w:w="7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471"/>
              <w:gridCol w:w="5907"/>
            </w:tblGrid>
            <w:tr w14:paraId="31B4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46" w:type="dxa"/>
                  <w:vAlign w:val="center"/>
                </w:tcPr>
                <w:p w14:paraId="36B1DE4B">
                  <w:pPr>
                    <w:pStyle w:val="47"/>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序号</w:t>
                  </w:r>
                </w:p>
              </w:tc>
              <w:tc>
                <w:tcPr>
                  <w:tcW w:w="1471" w:type="dxa"/>
                  <w:vAlign w:val="center"/>
                </w:tcPr>
                <w:p w14:paraId="5C8BE573">
                  <w:pPr>
                    <w:pStyle w:val="47"/>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名称</w:t>
                  </w:r>
                </w:p>
              </w:tc>
              <w:tc>
                <w:tcPr>
                  <w:tcW w:w="5907" w:type="dxa"/>
                  <w:vAlign w:val="center"/>
                </w:tcPr>
                <w:p w14:paraId="027B218E">
                  <w:pPr>
                    <w:pStyle w:val="47"/>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理化特性和毒理性</w:t>
                  </w:r>
                </w:p>
              </w:tc>
            </w:tr>
            <w:tr w14:paraId="2CFB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782E7FDB">
                  <w:pPr>
                    <w:pStyle w:val="47"/>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val="en-US" w:eastAsia="zh-CN"/>
                    </w:rPr>
                    <w:t>1</w:t>
                  </w:r>
                </w:p>
              </w:tc>
              <w:tc>
                <w:tcPr>
                  <w:tcW w:w="1471" w:type="dxa"/>
                  <w:vAlign w:val="center"/>
                </w:tcPr>
                <w:p w14:paraId="269D2DC7">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磷酸二氢铵</w:t>
                  </w:r>
                </w:p>
              </w:tc>
              <w:tc>
                <w:tcPr>
                  <w:tcW w:w="5907" w:type="dxa"/>
                  <w:vAlign w:val="center"/>
                </w:tcPr>
                <w:p w14:paraId="1F8F52DE">
                  <w:pPr>
                    <w:pStyle w:val="47"/>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val="0"/>
                      <w:color w:val="auto"/>
                      <w:sz w:val="21"/>
                      <w:highlight w:val="none"/>
                    </w:rPr>
                    <w:t>物理性质：</w:t>
                  </w:r>
                  <w:r>
                    <w:rPr>
                      <w:rFonts w:hint="default" w:ascii="Times New Roman" w:hAnsi="Times New Roman" w:eastAsia="宋体" w:cs="Times New Roman"/>
                      <w:color w:val="auto"/>
                      <w:sz w:val="21"/>
                      <w:highlight w:val="none"/>
                    </w:rPr>
                    <w:t>白色结晶性粉末，相对密度1.803，熔点190℃。易溶于水，微溶于乙醇，不溶于丙酮。在空气中稳定，吸湿性小。</w:t>
                  </w:r>
                </w:p>
                <w:p w14:paraId="575881DF">
                  <w:pPr>
                    <w:pStyle w:val="47"/>
                    <w:jc w:val="left"/>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val="0"/>
                      <w:color w:val="auto"/>
                      <w:sz w:val="21"/>
                      <w:highlight w:val="none"/>
                    </w:rPr>
                    <w:t>化学性质：</w:t>
                  </w:r>
                  <w:r>
                    <w:rPr>
                      <w:rFonts w:hint="default" w:ascii="Times New Roman" w:hAnsi="Times New Roman" w:eastAsia="宋体" w:cs="Times New Roman"/>
                      <w:color w:val="auto"/>
                      <w:sz w:val="21"/>
                      <w:highlight w:val="none"/>
                    </w:rPr>
                    <w:t>水溶液呈酸性，因为磷酸二氢根在水中会发生电离，使溶液中氢离子浓度增加。能与碱反应，如与氢氧化钠反应会生成磷酸氢二钠、氨气和水；与某些金属离子（如钙、镁等）能形成难溶性的磷酸盐沉淀。</w:t>
                  </w:r>
                </w:p>
                <w:p w14:paraId="0F1FA250">
                  <w:pPr>
                    <w:pStyle w:val="47"/>
                    <w:jc w:val="left"/>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急性毒性：</w:t>
                  </w:r>
                  <w:r>
                    <w:rPr>
                      <w:rFonts w:hint="default" w:ascii="Times New Roman" w:hAnsi="Times New Roman" w:eastAsia="宋体" w:cs="Times New Roman"/>
                      <w:b w:val="0"/>
                      <w:bCs/>
                      <w:color w:val="auto"/>
                      <w:sz w:val="21"/>
                      <w:highlight w:val="none"/>
                    </w:rPr>
                    <w:t>磷酸二氢铵本身的急性毒性较低，大鼠经口的半数致死量（LD50）大于2000mg/kg（体重），按照化学品急性毒性分级标准，属于实际无毒类物质。在正常接触情况下，短时间内不会对人体造成严重的急性中毒症状。</w:t>
                  </w:r>
                </w:p>
                <w:p w14:paraId="05FFB18C">
                  <w:pPr>
                    <w:pStyle w:val="47"/>
                    <w:jc w:val="left"/>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慢性毒性：</w:t>
                  </w:r>
                  <w:r>
                    <w:rPr>
                      <w:rFonts w:hint="default" w:ascii="Times New Roman" w:hAnsi="Times New Roman" w:eastAsia="宋体" w:cs="Times New Roman"/>
                      <w:b w:val="0"/>
                      <w:bCs/>
                      <w:color w:val="auto"/>
                      <w:sz w:val="21"/>
                      <w:highlight w:val="none"/>
                    </w:rPr>
                    <w:t>目前尚未有明确证据表明长期低剂量接触磷酸二氢铵会对人体产生严重的慢性毒性影响。但在职业暴露环境中，长期</w:t>
                  </w:r>
                  <w:r>
                    <w:rPr>
                      <w:rFonts w:hint="default" w:ascii="Times New Roman" w:hAnsi="Times New Roman" w:cs="Times New Roman"/>
                      <w:b w:val="0"/>
                      <w:bCs/>
                      <w:color w:val="auto"/>
                      <w:sz w:val="21"/>
                      <w:highlight w:val="none"/>
                      <w:lang w:eastAsia="zh-CN"/>
                    </w:rPr>
                    <w:t>吸入</w:t>
                  </w:r>
                  <w:r>
                    <w:rPr>
                      <w:rFonts w:hint="default" w:ascii="Times New Roman" w:hAnsi="Times New Roman" w:eastAsia="宋体" w:cs="Times New Roman"/>
                      <w:b w:val="0"/>
                      <w:bCs/>
                      <w:color w:val="auto"/>
                      <w:sz w:val="21"/>
                      <w:highlight w:val="none"/>
                    </w:rPr>
                    <w:t>粉尘，可能会对呼吸道黏膜产生一定的刺激作用，导致咳嗽、咳痰、呼吸不畅等呼吸道不适症状。</w:t>
                  </w:r>
                </w:p>
                <w:p w14:paraId="7344FE38">
                  <w:pPr>
                    <w:pStyle w:val="47"/>
                    <w:jc w:val="left"/>
                    <w:rPr>
                      <w:rFonts w:hint="default"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eastAsia="宋体" w:cs="Times New Roman"/>
                      <w:b w:val="0"/>
                      <w:bCs/>
                      <w:color w:val="auto"/>
                      <w:sz w:val="21"/>
                      <w:highlight w:val="none"/>
                    </w:rPr>
                    <w:t>对其他生物的毒性：对水生生物而言，磷酸二氢铵中含有的磷元素，若大量进入水体，可能会导致水体富营养化，使藻类等浮游生物大量繁殖，进而影响水体的生态平衡，威胁鱼类等水生动物的生存。但在正常使用和排放情况下，其对水生生物的危害相对可控。</w:t>
                  </w:r>
                </w:p>
              </w:tc>
            </w:tr>
            <w:tr w14:paraId="79E9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dxa"/>
                  <w:vAlign w:val="center"/>
                </w:tcPr>
                <w:p w14:paraId="14DCF32F">
                  <w:pPr>
                    <w:pStyle w:val="47"/>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p>
              </w:tc>
              <w:tc>
                <w:tcPr>
                  <w:tcW w:w="1471" w:type="dxa"/>
                  <w:vAlign w:val="center"/>
                </w:tcPr>
                <w:p w14:paraId="4A59598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滑石粉</w:t>
                  </w:r>
                </w:p>
              </w:tc>
              <w:tc>
                <w:tcPr>
                  <w:tcW w:w="5907" w:type="dxa"/>
                  <w:vAlign w:val="center"/>
                </w:tcPr>
                <w:p w14:paraId="7BCD9C55">
                  <w:pPr>
                    <w:pStyle w:val="47"/>
                    <w:jc w:val="left"/>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
                      <w:bCs w:val="0"/>
                      <w:color w:val="auto"/>
                      <w:sz w:val="21"/>
                      <w:highlight w:val="none"/>
                      <w:lang w:val="en-US" w:eastAsia="zh-CN"/>
                    </w:rPr>
                    <w:t>物理性质：</w:t>
                  </w:r>
                  <w:r>
                    <w:rPr>
                      <w:rFonts w:hint="default" w:ascii="Times New Roman" w:hAnsi="Times New Roman" w:eastAsia="宋体" w:cs="Times New Roman"/>
                      <w:color w:val="auto"/>
                      <w:sz w:val="21"/>
                      <w:highlight w:val="none"/>
                      <w:lang w:val="en-US" w:eastAsia="zh-CN"/>
                    </w:rPr>
                    <w:t>通常为白色、灰白色或淡黄色的微细粉末，手感滑腻，无臭无味。粉末颗粒极细，具有良好的流动性和分散性。不溶于水、稀酸和碱溶液，仅在热的浓磷酸中会缓慢溶解。</w:t>
                  </w:r>
                </w:p>
                <w:p w14:paraId="0D4B94A2">
                  <w:pPr>
                    <w:pStyle w:val="47"/>
                    <w:jc w:val="left"/>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
                      <w:bCs w:val="0"/>
                      <w:color w:val="auto"/>
                      <w:sz w:val="21"/>
                      <w:highlight w:val="none"/>
                      <w:lang w:val="en-US" w:eastAsia="zh-CN"/>
                    </w:rPr>
                    <w:t>化学性质：</w:t>
                  </w:r>
                  <w:r>
                    <w:rPr>
                      <w:rFonts w:hint="default" w:ascii="Times New Roman" w:hAnsi="Times New Roman" w:eastAsia="宋体" w:cs="Times New Roman"/>
                      <w:color w:val="auto"/>
                      <w:sz w:val="21"/>
                      <w:highlight w:val="none"/>
                      <w:lang w:val="en-US" w:eastAsia="zh-CN"/>
                    </w:rPr>
                    <w:t>在常温常压下化学性质稳定，不易与其他物质发生反应，也不易被氧化或分解。</w:t>
                  </w:r>
                </w:p>
                <w:p w14:paraId="37EB73B0">
                  <w:pPr>
                    <w:pStyle w:val="47"/>
                    <w:jc w:val="left"/>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b/>
                      <w:bCs w:val="0"/>
                      <w:color w:val="auto"/>
                      <w:sz w:val="21"/>
                      <w:highlight w:val="none"/>
                      <w:lang w:val="en-US" w:eastAsia="zh-CN"/>
                    </w:rPr>
                    <w:t>毒理性：</w:t>
                  </w:r>
                  <w:r>
                    <w:rPr>
                      <w:rFonts w:hint="default" w:ascii="Times New Roman" w:hAnsi="Times New Roman" w:eastAsia="宋体" w:cs="Times New Roman"/>
                      <w:color w:val="auto"/>
                      <w:sz w:val="21"/>
                      <w:highlight w:val="none"/>
                      <w:lang w:val="en-US" w:eastAsia="zh-CN"/>
                    </w:rPr>
                    <w:t>滑石粉的毒理性与其纯度（尤其是是否含有杂质石棉）密切相关。天然滑石可能与石棉矿共生，导致滑石粉中混入石棉纤维，而石棉是明确的致癌物，因此需重点关注杂质影响。</w:t>
                  </w:r>
                </w:p>
              </w:tc>
            </w:tr>
          </w:tbl>
          <w:p w14:paraId="308E2C0C">
            <w:pPr>
              <w:numPr>
                <w:ilvl w:val="255"/>
                <w:numId w:val="0"/>
              </w:numPr>
              <w:rPr>
                <w:rFonts w:hint="default" w:ascii="Times New Roman" w:hAnsi="Times New Roman" w:cs="Times New Roman"/>
                <w:b/>
              </w:rPr>
            </w:pPr>
            <w:r>
              <w:rPr>
                <w:rFonts w:hint="default" w:ascii="Times New Roman" w:hAnsi="Times New Roman" w:cs="Times New Roman"/>
                <w:b/>
                <w:lang w:val="en-US" w:eastAsia="zh-CN"/>
              </w:rPr>
              <w:t>6.</w:t>
            </w:r>
            <w:r>
              <w:rPr>
                <w:rFonts w:hint="default" w:ascii="Times New Roman" w:hAnsi="Times New Roman" w:cs="Times New Roman"/>
                <w:b/>
              </w:rPr>
              <w:t>原材料平衡表及原辅材料平衡图</w:t>
            </w:r>
          </w:p>
          <w:p w14:paraId="1AE730E4">
            <w:pPr>
              <w:ind w:firstLine="480"/>
              <w:rPr>
                <w:rFonts w:hint="default" w:ascii="Times New Roman" w:hAnsi="Times New Roman" w:cs="Times New Roman"/>
              </w:rPr>
            </w:pPr>
            <w:r>
              <w:rPr>
                <w:rFonts w:hint="default" w:ascii="Times New Roman" w:hAnsi="Times New Roman" w:cs="Times New Roman"/>
              </w:rPr>
              <w:t>项目主要原辅材料平衡表及平衡图见表2-5。</w:t>
            </w:r>
          </w:p>
          <w:p w14:paraId="435AB194">
            <w:pPr>
              <w:pStyle w:val="37"/>
              <w:rPr>
                <w:rFonts w:hint="default" w:ascii="Times New Roman" w:hAnsi="Times New Roman" w:cs="Times New Roman"/>
              </w:rPr>
            </w:pPr>
            <w:r>
              <w:rPr>
                <w:rFonts w:hint="default" w:ascii="Times New Roman" w:hAnsi="Times New Roman" w:cs="Times New Roman"/>
              </w:rPr>
              <w:t>表2-5   主要原辅材料平衡表</w:t>
            </w:r>
          </w:p>
          <w:tbl>
            <w:tblPr>
              <w:tblStyle w:val="30"/>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115"/>
              <w:gridCol w:w="2085"/>
              <w:gridCol w:w="1720"/>
            </w:tblGrid>
            <w:tr w14:paraId="1195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54" w:type="dxa"/>
                  <w:vAlign w:val="center"/>
                </w:tcPr>
                <w:p w14:paraId="1C7CBFF1">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原辅材料</w:t>
                  </w:r>
                </w:p>
              </w:tc>
              <w:tc>
                <w:tcPr>
                  <w:tcW w:w="2115" w:type="dxa"/>
                  <w:vAlign w:val="center"/>
                </w:tcPr>
                <w:p w14:paraId="4B0642A0">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使用量（t/a）</w:t>
                  </w:r>
                </w:p>
              </w:tc>
              <w:tc>
                <w:tcPr>
                  <w:tcW w:w="2085" w:type="dxa"/>
                  <w:vAlign w:val="center"/>
                </w:tcPr>
                <w:p w14:paraId="30A67224">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最终产品</w:t>
                  </w:r>
                </w:p>
              </w:tc>
              <w:tc>
                <w:tcPr>
                  <w:tcW w:w="1720" w:type="dxa"/>
                  <w:vAlign w:val="center"/>
                </w:tcPr>
                <w:p w14:paraId="23A34823">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产品量（t/a）</w:t>
                  </w:r>
                </w:p>
              </w:tc>
            </w:tr>
            <w:tr w14:paraId="0332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054" w:type="dxa"/>
                  <w:shd w:val="clear" w:color="auto" w:fill="auto"/>
                  <w:vAlign w:val="center"/>
                </w:tcPr>
                <w:p w14:paraId="5CAE072C">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干粉灭火器废料</w:t>
                  </w:r>
                </w:p>
              </w:tc>
              <w:tc>
                <w:tcPr>
                  <w:tcW w:w="2115" w:type="dxa"/>
                  <w:shd w:val="clear" w:color="auto" w:fill="auto"/>
                  <w:vAlign w:val="center"/>
                </w:tcPr>
                <w:p w14:paraId="030FEE9E">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40000</w:t>
                  </w:r>
                </w:p>
              </w:tc>
              <w:tc>
                <w:tcPr>
                  <w:tcW w:w="2085" w:type="dxa"/>
                  <w:shd w:val="clear" w:color="auto" w:fill="auto"/>
                  <w:vAlign w:val="center"/>
                </w:tcPr>
                <w:p w14:paraId="56AB51D2">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复合肥母液</w:t>
                  </w:r>
                </w:p>
              </w:tc>
              <w:tc>
                <w:tcPr>
                  <w:tcW w:w="1720" w:type="dxa"/>
                  <w:shd w:val="clear" w:color="auto" w:fill="auto"/>
                  <w:vAlign w:val="center"/>
                </w:tcPr>
                <w:p w14:paraId="11FC1719">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114149</w:t>
                  </w:r>
                </w:p>
              </w:tc>
            </w:tr>
            <w:tr w14:paraId="1950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Merge w:val="restart"/>
                  <w:shd w:val="clear" w:color="auto" w:fill="auto"/>
                  <w:vAlign w:val="center"/>
                </w:tcPr>
                <w:p w14:paraId="57F56806">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w:t>
                  </w:r>
                </w:p>
              </w:tc>
              <w:tc>
                <w:tcPr>
                  <w:tcW w:w="2115" w:type="dxa"/>
                  <w:vMerge w:val="restart"/>
                  <w:shd w:val="clear" w:color="auto" w:fill="auto"/>
                  <w:vAlign w:val="center"/>
                </w:tcPr>
                <w:p w14:paraId="55731149">
                  <w:pPr>
                    <w:pStyle w:val="47"/>
                    <w:snapToGrid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80000</w:t>
                  </w:r>
                </w:p>
              </w:tc>
              <w:tc>
                <w:tcPr>
                  <w:tcW w:w="2085" w:type="dxa"/>
                  <w:shd w:val="clear" w:color="auto" w:fill="auto"/>
                  <w:vAlign w:val="center"/>
                </w:tcPr>
                <w:p w14:paraId="5FE76F77">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滑石粉</w:t>
                  </w:r>
                </w:p>
              </w:tc>
              <w:tc>
                <w:tcPr>
                  <w:tcW w:w="1720" w:type="dxa"/>
                  <w:shd w:val="clear" w:color="auto" w:fill="auto"/>
                  <w:vAlign w:val="center"/>
                </w:tcPr>
                <w:p w14:paraId="56BD1539">
                  <w:pPr>
                    <w:pStyle w:val="47"/>
                    <w:snapToGrid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5800</w:t>
                  </w:r>
                </w:p>
              </w:tc>
            </w:tr>
            <w:tr w14:paraId="0A3F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Merge w:val="continue"/>
                  <w:shd w:val="clear" w:color="auto" w:fill="auto"/>
                  <w:vAlign w:val="center"/>
                </w:tcPr>
                <w:p w14:paraId="3C241E42">
                  <w:pPr>
                    <w:pStyle w:val="47"/>
                    <w:snapToGrid w:val="0"/>
                    <w:ind w:firstLine="0" w:firstLineChars="0"/>
                    <w:jc w:val="center"/>
                    <w:rPr>
                      <w:rFonts w:hint="default" w:ascii="Times New Roman" w:hAnsi="Times New Roman" w:eastAsia="宋体" w:cs="Times New Roman"/>
                      <w:sz w:val="21"/>
                      <w:szCs w:val="21"/>
                      <w:lang w:val="en-US" w:eastAsia="zh-CN"/>
                    </w:rPr>
                  </w:pPr>
                </w:p>
              </w:tc>
              <w:tc>
                <w:tcPr>
                  <w:tcW w:w="2115" w:type="dxa"/>
                  <w:vMerge w:val="continue"/>
                  <w:shd w:val="clear" w:color="auto" w:fill="auto"/>
                  <w:vAlign w:val="center"/>
                </w:tcPr>
                <w:p w14:paraId="6D8C4FB1">
                  <w:pPr>
                    <w:pStyle w:val="47"/>
                    <w:snapToGrid w:val="0"/>
                    <w:ind w:firstLine="0" w:firstLineChars="0"/>
                    <w:jc w:val="center"/>
                    <w:rPr>
                      <w:rFonts w:hint="default" w:ascii="Times New Roman" w:hAnsi="Times New Roman" w:cs="Times New Roman"/>
                      <w:sz w:val="21"/>
                      <w:szCs w:val="21"/>
                      <w:lang w:val="en-US" w:eastAsia="zh-CN"/>
                    </w:rPr>
                  </w:pPr>
                </w:p>
              </w:tc>
              <w:tc>
                <w:tcPr>
                  <w:tcW w:w="2085" w:type="dxa"/>
                  <w:shd w:val="clear" w:color="auto" w:fill="auto"/>
                  <w:vAlign w:val="center"/>
                </w:tcPr>
                <w:p w14:paraId="5C912ECB">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废气</w:t>
                  </w:r>
                </w:p>
              </w:tc>
              <w:tc>
                <w:tcPr>
                  <w:tcW w:w="1720" w:type="dxa"/>
                  <w:shd w:val="clear" w:color="auto" w:fill="auto"/>
                  <w:vAlign w:val="center"/>
                </w:tcPr>
                <w:p w14:paraId="7CFE2DB2">
                  <w:pPr>
                    <w:pStyle w:val="47"/>
                    <w:snapToGrid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51</w:t>
                  </w:r>
                </w:p>
              </w:tc>
            </w:tr>
            <w:tr w14:paraId="6321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Merge w:val="restart"/>
                  <w:shd w:val="clear" w:color="auto" w:fill="auto"/>
                  <w:vAlign w:val="center"/>
                </w:tcPr>
                <w:p w14:paraId="60580B51">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废弃灭火器</w:t>
                  </w:r>
                </w:p>
              </w:tc>
              <w:tc>
                <w:tcPr>
                  <w:tcW w:w="2115" w:type="dxa"/>
                  <w:vMerge w:val="restart"/>
                  <w:shd w:val="clear" w:color="auto" w:fill="auto"/>
                  <w:vAlign w:val="center"/>
                </w:tcPr>
                <w:p w14:paraId="3F88BC3C">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31000</w:t>
                  </w:r>
                </w:p>
              </w:tc>
              <w:tc>
                <w:tcPr>
                  <w:tcW w:w="2085" w:type="dxa"/>
                  <w:shd w:val="clear" w:color="auto" w:fill="auto"/>
                  <w:vAlign w:val="center"/>
                </w:tcPr>
                <w:p w14:paraId="3B4E550C">
                  <w:pPr>
                    <w:pStyle w:val="47"/>
                    <w:snapToGrid w:val="0"/>
                    <w:ind w:firstLine="0" w:firstLineChars="0"/>
                    <w:jc w:val="center"/>
                    <w:rPr>
                      <w:rFonts w:hint="default" w:ascii="Times New Roman" w:hAnsi="Times New Roman" w:eastAsia="宋体" w:cs="Times New Roman"/>
                      <w:bCs/>
                      <w:spacing w:val="5"/>
                      <w:kern w:val="0"/>
                      <w:sz w:val="21"/>
                      <w:szCs w:val="21"/>
                      <w:lang w:val="en-US" w:eastAsia="zh-CN" w:bidi="ar-SA"/>
                    </w:rPr>
                  </w:pPr>
                  <w:r>
                    <w:rPr>
                      <w:rFonts w:hint="default" w:ascii="Times New Roman" w:hAnsi="Times New Roman" w:eastAsia="宋体" w:cs="Times New Roman"/>
                      <w:sz w:val="21"/>
                      <w:szCs w:val="21"/>
                      <w:lang w:val="en-US" w:eastAsia="zh-CN"/>
                    </w:rPr>
                    <w:t>钢渣</w:t>
                  </w:r>
                </w:p>
              </w:tc>
              <w:tc>
                <w:tcPr>
                  <w:tcW w:w="1720" w:type="dxa"/>
                  <w:shd w:val="clear" w:color="auto" w:fill="auto"/>
                  <w:vAlign w:val="center"/>
                </w:tcPr>
                <w:p w14:paraId="299666EE">
                  <w:pPr>
                    <w:pStyle w:val="47"/>
                    <w:snapToGrid w:val="0"/>
                    <w:ind w:firstLine="0" w:firstLineChars="0"/>
                    <w:jc w:val="center"/>
                    <w:rPr>
                      <w:rFonts w:hint="default" w:ascii="Times New Roman" w:hAnsi="Times New Roman" w:eastAsia="宋体" w:cs="Times New Roman"/>
                      <w:bCs/>
                      <w:spacing w:val="5"/>
                      <w:kern w:val="0"/>
                      <w:sz w:val="21"/>
                      <w:szCs w:val="21"/>
                      <w:lang w:val="en-US" w:eastAsia="zh-CN" w:bidi="ar-SA"/>
                    </w:rPr>
                  </w:pPr>
                  <w:r>
                    <w:rPr>
                      <w:rFonts w:hint="default" w:ascii="Times New Roman" w:hAnsi="Times New Roman" w:cs="Times New Roman"/>
                      <w:sz w:val="21"/>
                      <w:szCs w:val="21"/>
                      <w:lang w:val="en-US" w:eastAsia="zh-CN"/>
                    </w:rPr>
                    <w:t>28800</w:t>
                  </w:r>
                </w:p>
              </w:tc>
            </w:tr>
            <w:tr w14:paraId="0205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Merge w:val="continue"/>
                  <w:vAlign w:val="center"/>
                </w:tcPr>
                <w:p w14:paraId="30BBA093">
                  <w:pPr>
                    <w:pStyle w:val="47"/>
                    <w:snapToGrid w:val="0"/>
                    <w:ind w:firstLine="0" w:firstLineChars="0"/>
                    <w:jc w:val="center"/>
                    <w:rPr>
                      <w:rFonts w:hint="default" w:ascii="Times New Roman" w:hAnsi="Times New Roman" w:eastAsia="宋体" w:cs="Times New Roman"/>
                      <w:sz w:val="21"/>
                      <w:szCs w:val="21"/>
                      <w:lang w:val="en-US" w:eastAsia="zh-CN"/>
                    </w:rPr>
                  </w:pPr>
                </w:p>
              </w:tc>
              <w:tc>
                <w:tcPr>
                  <w:tcW w:w="2115" w:type="dxa"/>
                  <w:vMerge w:val="continue"/>
                  <w:vAlign w:val="center"/>
                </w:tcPr>
                <w:p w14:paraId="2E9487AE">
                  <w:pPr>
                    <w:pStyle w:val="47"/>
                    <w:snapToGrid w:val="0"/>
                    <w:ind w:firstLine="0" w:firstLineChars="0"/>
                    <w:jc w:val="center"/>
                    <w:rPr>
                      <w:rFonts w:hint="default" w:ascii="Times New Roman" w:hAnsi="Times New Roman" w:eastAsia="宋体" w:cs="Times New Roman"/>
                      <w:sz w:val="21"/>
                      <w:szCs w:val="21"/>
                      <w:lang w:val="en-US" w:eastAsia="zh-CN"/>
                    </w:rPr>
                  </w:pPr>
                </w:p>
              </w:tc>
              <w:tc>
                <w:tcPr>
                  <w:tcW w:w="2085" w:type="dxa"/>
                  <w:shd w:val="clear" w:color="auto" w:fill="auto"/>
                  <w:vAlign w:val="center"/>
                </w:tcPr>
                <w:p w14:paraId="3A8E5890">
                  <w:pPr>
                    <w:pStyle w:val="47"/>
                    <w:snapToGrid w:val="0"/>
                    <w:ind w:firstLine="0" w:firstLineChars="0"/>
                    <w:jc w:val="center"/>
                    <w:rPr>
                      <w:rFonts w:hint="default" w:ascii="Times New Roman" w:hAnsi="Times New Roman" w:eastAsia="宋体" w:cs="Times New Roman"/>
                      <w:bCs/>
                      <w:spacing w:val="5"/>
                      <w:kern w:val="0"/>
                      <w:sz w:val="21"/>
                      <w:szCs w:val="21"/>
                      <w:lang w:val="en-US" w:eastAsia="zh-CN" w:bidi="ar-SA"/>
                    </w:rPr>
                  </w:pPr>
                  <w:r>
                    <w:rPr>
                      <w:rFonts w:hint="default" w:ascii="Times New Roman" w:hAnsi="Times New Roman" w:eastAsia="宋体" w:cs="Times New Roman"/>
                      <w:sz w:val="21"/>
                      <w:szCs w:val="21"/>
                      <w:lang w:val="en-US" w:eastAsia="zh-CN"/>
                    </w:rPr>
                    <w:t>废铜</w:t>
                  </w:r>
                </w:p>
              </w:tc>
              <w:tc>
                <w:tcPr>
                  <w:tcW w:w="1720" w:type="dxa"/>
                  <w:shd w:val="clear" w:color="auto" w:fill="auto"/>
                  <w:vAlign w:val="center"/>
                </w:tcPr>
                <w:p w14:paraId="48076650">
                  <w:pPr>
                    <w:pStyle w:val="47"/>
                    <w:snapToGrid w:val="0"/>
                    <w:ind w:firstLine="0" w:firstLineChars="0"/>
                    <w:jc w:val="center"/>
                    <w:rPr>
                      <w:rFonts w:hint="default" w:ascii="Times New Roman" w:hAnsi="Times New Roman" w:eastAsia="宋体" w:cs="Times New Roman"/>
                      <w:bCs/>
                      <w:spacing w:val="5"/>
                      <w:kern w:val="0"/>
                      <w:sz w:val="21"/>
                      <w:szCs w:val="21"/>
                      <w:lang w:val="en-US" w:eastAsia="zh-CN" w:bidi="ar-SA"/>
                    </w:rPr>
                  </w:pPr>
                  <w:r>
                    <w:rPr>
                      <w:rFonts w:hint="default" w:ascii="Times New Roman" w:hAnsi="Times New Roman" w:cs="Times New Roman"/>
                      <w:sz w:val="21"/>
                      <w:szCs w:val="21"/>
                      <w:lang w:val="en-US" w:eastAsia="zh-CN"/>
                    </w:rPr>
                    <w:t>1000</w:t>
                  </w:r>
                </w:p>
              </w:tc>
            </w:tr>
            <w:tr w14:paraId="506A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Merge w:val="continue"/>
                  <w:vAlign w:val="center"/>
                </w:tcPr>
                <w:p w14:paraId="7D54F204">
                  <w:pPr>
                    <w:pStyle w:val="47"/>
                    <w:snapToGrid w:val="0"/>
                    <w:ind w:firstLine="0" w:firstLineChars="0"/>
                    <w:jc w:val="center"/>
                    <w:rPr>
                      <w:rFonts w:hint="default" w:ascii="Times New Roman" w:hAnsi="Times New Roman" w:eastAsia="宋体" w:cs="Times New Roman"/>
                      <w:sz w:val="21"/>
                      <w:szCs w:val="21"/>
                      <w:lang w:val="en-US" w:eastAsia="zh-CN"/>
                    </w:rPr>
                  </w:pPr>
                </w:p>
              </w:tc>
              <w:tc>
                <w:tcPr>
                  <w:tcW w:w="2115" w:type="dxa"/>
                  <w:vMerge w:val="continue"/>
                  <w:vAlign w:val="center"/>
                </w:tcPr>
                <w:p w14:paraId="601C424A">
                  <w:pPr>
                    <w:pStyle w:val="47"/>
                    <w:snapToGrid w:val="0"/>
                    <w:ind w:firstLine="0" w:firstLineChars="0"/>
                    <w:jc w:val="center"/>
                    <w:rPr>
                      <w:rFonts w:hint="default" w:ascii="Times New Roman" w:hAnsi="Times New Roman" w:eastAsia="宋体" w:cs="Times New Roman"/>
                      <w:sz w:val="21"/>
                      <w:szCs w:val="21"/>
                      <w:lang w:val="en-US" w:eastAsia="zh-CN"/>
                    </w:rPr>
                  </w:pPr>
                </w:p>
              </w:tc>
              <w:tc>
                <w:tcPr>
                  <w:tcW w:w="2085" w:type="dxa"/>
                  <w:shd w:val="clear" w:color="auto" w:fill="auto"/>
                  <w:vAlign w:val="center"/>
                </w:tcPr>
                <w:p w14:paraId="390A5C6A">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漆渣</w:t>
                  </w:r>
                </w:p>
              </w:tc>
              <w:tc>
                <w:tcPr>
                  <w:tcW w:w="1720" w:type="dxa"/>
                  <w:shd w:val="clear" w:color="auto" w:fill="auto"/>
                  <w:vAlign w:val="center"/>
                </w:tcPr>
                <w:p w14:paraId="0A7426AD">
                  <w:pPr>
                    <w:pStyle w:val="47"/>
                    <w:snapToGrid w:val="0"/>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1200</w:t>
                  </w:r>
                </w:p>
              </w:tc>
            </w:tr>
            <w:tr w14:paraId="4696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4" w:type="dxa"/>
                  <w:vAlign w:val="center"/>
                </w:tcPr>
                <w:p w14:paraId="2ED07EB9">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2115" w:type="dxa"/>
                  <w:vAlign w:val="center"/>
                </w:tcPr>
                <w:p w14:paraId="4B461259">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151000</w:t>
                  </w:r>
                </w:p>
              </w:tc>
              <w:tc>
                <w:tcPr>
                  <w:tcW w:w="2085" w:type="dxa"/>
                  <w:vAlign w:val="center"/>
                </w:tcPr>
                <w:p w14:paraId="779B356C">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720" w:type="dxa"/>
                  <w:vAlign w:val="center"/>
                </w:tcPr>
                <w:p w14:paraId="00B73EA5">
                  <w:pPr>
                    <w:pStyle w:val="47"/>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151000</w:t>
                  </w:r>
                </w:p>
              </w:tc>
            </w:tr>
          </w:tbl>
          <w:p w14:paraId="1EDCCC7D">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6.</w:t>
            </w:r>
            <w:r>
              <w:rPr>
                <w:rFonts w:hint="default" w:ascii="Times New Roman" w:hAnsi="Times New Roman" w:cs="Times New Roman"/>
                <w:b/>
                <w:color w:val="auto"/>
                <w:highlight w:val="none"/>
              </w:rPr>
              <w:t>产品方案</w:t>
            </w:r>
          </w:p>
          <w:p w14:paraId="65AB83A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根据企业提供资料，产品方案具体见表2-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5B5EA774">
            <w:pPr>
              <w:pStyle w:val="37"/>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 xml:space="preserve">6 </w:t>
            </w:r>
            <w:r>
              <w:rPr>
                <w:rFonts w:hint="default" w:ascii="Times New Roman" w:hAnsi="Times New Roman" w:cs="Times New Roman"/>
                <w:color w:val="auto"/>
                <w:highlight w:val="none"/>
              </w:rPr>
              <w:t xml:space="preserve">  项目产品生产规模表</w:t>
            </w:r>
          </w:p>
          <w:tbl>
            <w:tblPr>
              <w:tblStyle w:val="29"/>
              <w:tblW w:w="7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952"/>
              <w:gridCol w:w="1772"/>
              <w:gridCol w:w="3364"/>
            </w:tblGrid>
            <w:tr w14:paraId="17F8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05" w:type="dxa"/>
                  <w:vAlign w:val="center"/>
                </w:tcPr>
                <w:p w14:paraId="5BB02CBF">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952" w:type="dxa"/>
                  <w:vAlign w:val="center"/>
                </w:tcPr>
                <w:p w14:paraId="5014D53A">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1772" w:type="dxa"/>
                  <w:vAlign w:val="center"/>
                </w:tcPr>
                <w:p w14:paraId="250A0888">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设计</w:t>
                  </w:r>
                  <w:r>
                    <w:rPr>
                      <w:rFonts w:hint="default" w:ascii="Times New Roman" w:hAnsi="Times New Roman" w:eastAsia="宋体" w:cs="Times New Roman"/>
                      <w:sz w:val="21"/>
                      <w:szCs w:val="21"/>
                      <w:lang w:val="en-US" w:eastAsia="zh-CN"/>
                    </w:rPr>
                    <w:t>年</w:t>
                  </w:r>
                  <w:r>
                    <w:rPr>
                      <w:rFonts w:hint="default" w:ascii="Times New Roman" w:hAnsi="Times New Roman" w:eastAsia="宋体" w:cs="Times New Roman"/>
                      <w:sz w:val="21"/>
                      <w:szCs w:val="21"/>
                    </w:rPr>
                    <w:t>产量</w:t>
                  </w:r>
                </w:p>
              </w:tc>
              <w:tc>
                <w:tcPr>
                  <w:tcW w:w="3364" w:type="dxa"/>
                  <w:vAlign w:val="center"/>
                </w:tcPr>
                <w:p w14:paraId="7437F838">
                  <w:pPr>
                    <w:spacing w:line="320" w:lineRule="exact"/>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备注</w:t>
                  </w:r>
                </w:p>
              </w:tc>
            </w:tr>
            <w:tr w14:paraId="127F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vAlign w:val="center"/>
                </w:tcPr>
                <w:p w14:paraId="5A630C8C">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952" w:type="dxa"/>
                  <w:shd w:val="clear" w:color="auto" w:fill="auto"/>
                  <w:vAlign w:val="center"/>
                </w:tcPr>
                <w:p w14:paraId="7A7F2D9D">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复合肥母液</w:t>
                  </w:r>
                </w:p>
              </w:tc>
              <w:tc>
                <w:tcPr>
                  <w:tcW w:w="1772" w:type="dxa"/>
                  <w:shd w:val="clear" w:color="auto" w:fill="auto"/>
                  <w:vAlign w:val="center"/>
                </w:tcPr>
                <w:p w14:paraId="4EBE2EE6">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114149</w:t>
                  </w:r>
                </w:p>
              </w:tc>
              <w:tc>
                <w:tcPr>
                  <w:tcW w:w="3364" w:type="dxa"/>
                  <w:vAlign w:val="center"/>
                </w:tcPr>
                <w:p w14:paraId="6DFB428C">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外售，</w:t>
                  </w:r>
                  <w:r>
                    <w:rPr>
                      <w:rFonts w:hint="default" w:ascii="Times New Roman" w:hAnsi="Times New Roman" w:cs="Times New Roman"/>
                      <w:sz w:val="21"/>
                      <w:szCs w:val="21"/>
                      <w:lang w:val="en-US" w:eastAsia="zh-CN"/>
                    </w:rPr>
                    <w:t>液态，罐装</w:t>
                  </w:r>
                </w:p>
              </w:tc>
            </w:tr>
            <w:tr w14:paraId="01A4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tcPr>
                <w:p w14:paraId="3C043DED">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952" w:type="dxa"/>
                  <w:shd w:val="clear" w:color="auto" w:fill="auto"/>
                  <w:vAlign w:val="center"/>
                </w:tcPr>
                <w:p w14:paraId="6844F57E">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滑石粉</w:t>
                  </w:r>
                </w:p>
              </w:tc>
              <w:tc>
                <w:tcPr>
                  <w:tcW w:w="1772" w:type="dxa"/>
                  <w:shd w:val="clear" w:color="auto" w:fill="auto"/>
                  <w:vAlign w:val="center"/>
                </w:tcPr>
                <w:p w14:paraId="1A14CBEF">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5800</w:t>
                  </w:r>
                </w:p>
              </w:tc>
              <w:tc>
                <w:tcPr>
                  <w:tcW w:w="3364" w:type="dxa"/>
                </w:tcPr>
                <w:p w14:paraId="4E2D5BE6">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外售，</w:t>
                  </w:r>
                  <w:r>
                    <w:rPr>
                      <w:rFonts w:hint="default" w:ascii="Times New Roman" w:hAnsi="Times New Roman" w:eastAsia="宋体" w:cs="Times New Roman"/>
                      <w:sz w:val="21"/>
                      <w:szCs w:val="21"/>
                    </w:rPr>
                    <w:t>吨袋</w:t>
                  </w:r>
                  <w:r>
                    <w:rPr>
                      <w:rFonts w:hint="default" w:ascii="Times New Roman" w:hAnsi="Times New Roman" w:eastAsia="宋体" w:cs="Times New Roman"/>
                      <w:sz w:val="21"/>
                      <w:szCs w:val="21"/>
                      <w:lang w:val="en-US" w:eastAsia="zh-CN"/>
                    </w:rPr>
                    <w:t>，500</w:t>
                  </w:r>
                  <w:r>
                    <w:rPr>
                      <w:rFonts w:hint="default" w:ascii="Times New Roman" w:hAnsi="Times New Roman" w:eastAsia="宋体" w:cs="Times New Roman"/>
                      <w:sz w:val="21"/>
                      <w:szCs w:val="21"/>
                    </w:rPr>
                    <w:t>kg</w:t>
                  </w:r>
                  <w:r>
                    <w:rPr>
                      <w:rFonts w:hint="default" w:ascii="Times New Roman" w:hAnsi="Times New Roman" w:eastAsia="宋体" w:cs="Times New Roman"/>
                      <w:sz w:val="21"/>
                      <w:szCs w:val="21"/>
                      <w:lang w:val="en-US" w:eastAsia="zh-CN"/>
                    </w:rPr>
                    <w:t>装</w:t>
                  </w:r>
                </w:p>
              </w:tc>
            </w:tr>
            <w:tr w14:paraId="120D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tcPr>
                <w:p w14:paraId="59AEA918">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952" w:type="dxa"/>
                  <w:shd w:val="clear" w:color="auto" w:fill="auto"/>
                  <w:vAlign w:val="center"/>
                </w:tcPr>
                <w:p w14:paraId="76252688">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钢渣</w:t>
                  </w:r>
                </w:p>
              </w:tc>
              <w:tc>
                <w:tcPr>
                  <w:tcW w:w="1772" w:type="dxa"/>
                  <w:shd w:val="clear" w:color="auto" w:fill="auto"/>
                  <w:vAlign w:val="center"/>
                </w:tcPr>
                <w:p w14:paraId="129EBFF4">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28800</w:t>
                  </w:r>
                </w:p>
              </w:tc>
              <w:tc>
                <w:tcPr>
                  <w:tcW w:w="3364" w:type="dxa"/>
                </w:tcPr>
                <w:p w14:paraId="5739B327">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外售，</w:t>
                  </w:r>
                  <w:r>
                    <w:rPr>
                      <w:rFonts w:hint="default" w:ascii="Times New Roman" w:hAnsi="Times New Roman" w:cs="Times New Roman"/>
                      <w:sz w:val="21"/>
                      <w:szCs w:val="21"/>
                      <w:lang w:val="en-US" w:eastAsia="zh-CN"/>
                    </w:rPr>
                    <w:t>货车直接运输</w:t>
                  </w:r>
                </w:p>
              </w:tc>
            </w:tr>
            <w:tr w14:paraId="44F3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tcPr>
                <w:p w14:paraId="3F5E58C7">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952" w:type="dxa"/>
                  <w:shd w:val="clear" w:color="auto" w:fill="auto"/>
                  <w:vAlign w:val="center"/>
                </w:tcPr>
                <w:p w14:paraId="6C876DB4">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废铜</w:t>
                  </w:r>
                </w:p>
              </w:tc>
              <w:tc>
                <w:tcPr>
                  <w:tcW w:w="1772" w:type="dxa"/>
                  <w:shd w:val="clear" w:color="auto" w:fill="auto"/>
                  <w:vAlign w:val="center"/>
                </w:tcPr>
                <w:p w14:paraId="5E0A60CD">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1000</w:t>
                  </w:r>
                </w:p>
              </w:tc>
              <w:tc>
                <w:tcPr>
                  <w:tcW w:w="3364" w:type="dxa"/>
                </w:tcPr>
                <w:p w14:paraId="0E04EC0F">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外售，吨袋</w:t>
                  </w:r>
                </w:p>
              </w:tc>
            </w:tr>
          </w:tbl>
          <w:p w14:paraId="7E35D258">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根据《复合肥料》GB/T15063-2020、GB/T 15342-2023《滑石粉》（2024年7月实施）可知本项目产品质量，详情见下表。</w:t>
            </w:r>
          </w:p>
          <w:p w14:paraId="75944827">
            <w:pPr>
              <w:pStyle w:val="37"/>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 xml:space="preserve">7 </w:t>
            </w:r>
            <w:r>
              <w:rPr>
                <w:rFonts w:hint="default" w:ascii="Times New Roman" w:hAnsi="Times New Roman" w:cs="Times New Roman"/>
                <w:color w:val="auto"/>
                <w:highlight w:val="none"/>
              </w:rPr>
              <w:t xml:space="preserve">  项目产品</w:t>
            </w:r>
            <w:r>
              <w:rPr>
                <w:rFonts w:hint="default" w:ascii="Times New Roman" w:hAnsi="Times New Roman" w:cs="Times New Roman"/>
                <w:color w:val="auto"/>
                <w:highlight w:val="none"/>
                <w:lang w:val="en-US" w:eastAsia="zh-CN"/>
              </w:rPr>
              <w:t>质量标准</w:t>
            </w:r>
          </w:p>
          <w:tbl>
            <w:tblPr>
              <w:tblStyle w:val="29"/>
              <w:tblW w:w="7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66"/>
              <w:gridCol w:w="6422"/>
            </w:tblGrid>
            <w:tr w14:paraId="56A0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705" w:type="dxa"/>
                  <w:vAlign w:val="center"/>
                </w:tcPr>
                <w:p w14:paraId="352241DB">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666" w:type="dxa"/>
                  <w:vAlign w:val="center"/>
                </w:tcPr>
                <w:p w14:paraId="41C0BFD9">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6422" w:type="dxa"/>
                  <w:vAlign w:val="center"/>
                </w:tcPr>
                <w:p w14:paraId="0526997F">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质量标准</w:t>
                  </w:r>
                </w:p>
              </w:tc>
            </w:tr>
            <w:tr w14:paraId="701B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vAlign w:val="center"/>
                </w:tcPr>
                <w:p w14:paraId="3968BEF1">
                  <w:pPr>
                    <w:spacing w:line="320" w:lineRule="exact"/>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66" w:type="dxa"/>
                  <w:shd w:val="clear" w:color="auto" w:fill="auto"/>
                  <w:vAlign w:val="center"/>
                </w:tcPr>
                <w:p w14:paraId="1831B70B">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复合肥母液</w:t>
                  </w:r>
                </w:p>
              </w:tc>
              <w:tc>
                <w:tcPr>
                  <w:tcW w:w="6422" w:type="dxa"/>
                  <w:shd w:val="clear" w:color="auto" w:fill="auto"/>
                  <w:vAlign w:val="center"/>
                </w:tcPr>
                <w:p w14:paraId="6A7A466D">
                  <w:pPr>
                    <w:spacing w:line="320" w:lineRule="exact"/>
                    <w:ind w:left="0" w:lef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液体，密度：1.25</w:t>
                  </w:r>
                  <w:r>
                    <w:rPr>
                      <w:rFonts w:hint="eastAsia" w:cs="Times New Roman"/>
                      <w:sz w:val="21"/>
                      <w:szCs w:val="21"/>
                      <w:lang w:val="en-US" w:eastAsia="zh-CN"/>
                    </w:rPr>
                    <w:t>～</w:t>
                  </w:r>
                  <w:r>
                    <w:rPr>
                      <w:rFonts w:hint="default" w:ascii="Times New Roman" w:hAnsi="Times New Roman" w:cs="Times New Roman"/>
                      <w:sz w:val="21"/>
                      <w:szCs w:val="21"/>
                      <w:lang w:val="en-US" w:eastAsia="zh-CN"/>
                    </w:rPr>
                    <w:t>1.35g/cm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,pH5.5-7，</w:t>
                  </w:r>
                  <w:r>
                    <w:rPr>
                      <w:rFonts w:hint="default" w:ascii="Times New Roman" w:hAnsi="Times New Roman" w:cs="Times New Roman"/>
                      <w:sz w:val="21"/>
                      <w:szCs w:val="21"/>
                      <w:lang w:val="en-US" w:eastAsia="zh-CN"/>
                    </w:rPr>
                    <w:t>总养分（N+P</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+K</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50%，</w:t>
                  </w:r>
                </w:p>
              </w:tc>
            </w:tr>
            <w:tr w14:paraId="676B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05" w:type="dxa"/>
                </w:tcPr>
                <w:p w14:paraId="6B035792">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66" w:type="dxa"/>
                  <w:shd w:val="clear" w:color="auto" w:fill="auto"/>
                  <w:vAlign w:val="center"/>
                </w:tcPr>
                <w:p w14:paraId="3CD931F1">
                  <w:pPr>
                    <w:spacing w:line="320" w:lineRule="exact"/>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滑石粉</w:t>
                  </w:r>
                </w:p>
              </w:tc>
              <w:tc>
                <w:tcPr>
                  <w:tcW w:w="6422" w:type="dxa"/>
                  <w:shd w:val="clear" w:color="auto" w:fill="auto"/>
                  <w:vAlign w:val="center"/>
                </w:tcPr>
                <w:p w14:paraId="46454937">
                  <w:pPr>
                    <w:spacing w:line="320" w:lineRule="exact"/>
                    <w:ind w:left="0" w:leftChars="0" w:firstLine="0" w:firstLineChars="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白色/浅灰白色细粉末，无结块、无异味，手感细腻</w:t>
                  </w:r>
                  <w:r>
                    <w:rPr>
                      <w:rFonts w:hint="default" w:ascii="Times New Roman" w:hAnsi="Times New Roman" w:eastAsia="宋体" w:cs="Times New Roman"/>
                      <w:sz w:val="21"/>
                      <w:szCs w:val="21"/>
                      <w:lang w:eastAsia="zh-CN"/>
                    </w:rPr>
                    <w:t>；</w:t>
                  </w:r>
                </w:p>
                <w:p w14:paraId="4E0DB963">
                  <w:pPr>
                    <w:spacing w:line="320" w:lineRule="exact"/>
                    <w:ind w:left="0" w:leftChars="0" w:firstLine="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325目（粒径≤45μm）、600目（粒径≤25μm），筛余≤0.5%；</w:t>
                  </w:r>
                </w:p>
                <w:p w14:paraId="49C45404">
                  <w:pPr>
                    <w:spacing w:line="320" w:lineRule="exact"/>
                    <w:ind w:left="0" w:lef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滑石含量（以3MgO・4SiO₂・H₂O计）：≥90%（工业级）、≥95%（精细级/化妆品级）</w:t>
                  </w:r>
                  <w:r>
                    <w:rPr>
                      <w:rFonts w:hint="default" w:ascii="Times New Roman" w:hAnsi="Times New Roman" w:eastAsia="宋体" w:cs="Times New Roman"/>
                      <w:sz w:val="21"/>
                      <w:szCs w:val="21"/>
                      <w:lang w:eastAsia="zh-CN"/>
                    </w:rPr>
                    <w:t>；</w:t>
                  </w:r>
                </w:p>
              </w:tc>
            </w:tr>
          </w:tbl>
          <w:p w14:paraId="295C1D8F">
            <w:pPr>
              <w:ind w:firstLine="0" w:firstLineChars="0"/>
              <w:jc w:val="both"/>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劳动定员及工作班制</w:t>
            </w:r>
          </w:p>
          <w:p w14:paraId="6E92C3BA">
            <w:pPr>
              <w:pStyle w:val="6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项目劳动定员</w:t>
            </w:r>
            <w:r>
              <w:rPr>
                <w:rFonts w:hint="default" w:ascii="Times New Roman" w:hAnsi="Times New Roman" w:cs="Times New Roman"/>
                <w:snapToGrid w:val="0"/>
                <w:color w:val="auto"/>
                <w:highlight w:val="none"/>
                <w:lang w:val="en-US" w:eastAsia="zh-CN"/>
              </w:rPr>
              <w:t>140</w:t>
            </w:r>
            <w:r>
              <w:rPr>
                <w:rFonts w:hint="default" w:ascii="Times New Roman" w:hAnsi="Times New Roman" w:cs="Times New Roman"/>
                <w:snapToGrid w:val="0"/>
                <w:color w:val="auto"/>
                <w:highlight w:val="none"/>
              </w:rPr>
              <w:t>人，均在厂区内食宿，年生产时间300天，</w:t>
            </w:r>
            <w:r>
              <w:rPr>
                <w:rFonts w:hint="default" w:ascii="Times New Roman" w:hAnsi="Times New Roman" w:cs="Times New Roman"/>
                <w:snapToGrid w:val="0"/>
                <w:color w:val="auto"/>
                <w:highlight w:val="none"/>
                <w:lang w:val="en-US" w:eastAsia="zh-CN"/>
              </w:rPr>
              <w:t>四班三倒，年生产7200小时</w:t>
            </w:r>
            <w:r>
              <w:rPr>
                <w:rFonts w:hint="default" w:ascii="Times New Roman" w:hAnsi="Times New Roman" w:cs="Times New Roman"/>
                <w:snapToGrid w:val="0"/>
                <w:color w:val="auto"/>
                <w:highlight w:val="none"/>
              </w:rPr>
              <w:t>。</w:t>
            </w:r>
          </w:p>
          <w:p w14:paraId="2CC3DBAD">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8.</w:t>
            </w:r>
            <w:r>
              <w:rPr>
                <w:rFonts w:hint="default" w:ascii="Times New Roman" w:hAnsi="Times New Roman" w:cs="Times New Roman"/>
                <w:b/>
                <w:color w:val="auto"/>
                <w:highlight w:val="none"/>
              </w:rPr>
              <w:t>公用工程</w:t>
            </w:r>
          </w:p>
          <w:p w14:paraId="45D90630">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.1给水</w:t>
            </w:r>
          </w:p>
          <w:p w14:paraId="35F41D10">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snapToGrid w:val="0"/>
                <w:color w:val="auto"/>
                <w:kern w:val="0"/>
                <w:sz w:val="24"/>
                <w:szCs w:val="24"/>
                <w:highlight w:val="none"/>
              </w:rPr>
              <w:t>项目用水由园区给水管网提供，供水能满足项目用水的要求</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bCs/>
                <w:color w:val="auto"/>
                <w:sz w:val="24"/>
                <w:szCs w:val="24"/>
                <w:highlight w:val="none"/>
              </w:rPr>
              <w:t>项目用水主要有</w:t>
            </w:r>
            <w:r>
              <w:rPr>
                <w:rFonts w:hint="default" w:ascii="Times New Roman" w:hAnsi="Times New Roman" w:cs="Times New Roman"/>
                <w:color w:val="auto"/>
                <w:sz w:val="24"/>
                <w:szCs w:val="24"/>
                <w:highlight w:val="none"/>
              </w:rPr>
              <w:t>生活</w:t>
            </w:r>
            <w:r>
              <w:rPr>
                <w:rFonts w:hint="default" w:ascii="Times New Roman" w:hAnsi="Times New Roman" w:cs="Times New Roman"/>
                <w:color w:val="auto"/>
                <w:sz w:val="24"/>
                <w:szCs w:val="24"/>
                <w:highlight w:val="none"/>
                <w:lang w:val="en-US" w:eastAsia="zh-CN"/>
              </w:rPr>
              <w:t>用</w:t>
            </w:r>
            <w:r>
              <w:rPr>
                <w:rFonts w:hint="default" w:ascii="Times New Roman" w:hAnsi="Times New Roman" w:cs="Times New Roman"/>
                <w:color w:val="auto"/>
                <w:sz w:val="24"/>
                <w:szCs w:val="24"/>
                <w:highlight w:val="none"/>
              </w:rPr>
              <w:t>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绿化用水</w:t>
            </w:r>
            <w:r>
              <w:rPr>
                <w:rFonts w:hint="default" w:ascii="Times New Roman" w:hAnsi="Times New Roman" w:cs="Times New Roman"/>
                <w:bCs/>
                <w:color w:val="auto"/>
                <w:sz w:val="24"/>
                <w:szCs w:val="24"/>
                <w:highlight w:val="none"/>
              </w:rPr>
              <w:t>。</w:t>
            </w:r>
          </w:p>
          <w:p w14:paraId="22C200ED">
            <w:pPr>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生活用水：</w:t>
            </w:r>
            <w:r>
              <w:rPr>
                <w:rFonts w:hint="default" w:ascii="Times New Roman" w:hAnsi="Times New Roman" w:cs="Times New Roman"/>
                <w:color w:val="auto"/>
                <w:sz w:val="24"/>
                <w:szCs w:val="24"/>
                <w:highlight w:val="none"/>
              </w:rPr>
              <w:t>厂区生活</w:t>
            </w:r>
            <w:r>
              <w:rPr>
                <w:rFonts w:hint="default" w:ascii="Times New Roman" w:hAnsi="Times New Roman" w:cs="Times New Roman"/>
                <w:color w:val="auto"/>
                <w:sz w:val="24"/>
                <w:szCs w:val="24"/>
                <w:highlight w:val="none"/>
                <w:lang w:val="en-US" w:eastAsia="zh-CN"/>
              </w:rPr>
              <w:t>污</w:t>
            </w:r>
            <w:r>
              <w:rPr>
                <w:rFonts w:hint="default" w:ascii="Times New Roman" w:hAnsi="Times New Roman" w:cs="Times New Roman"/>
                <w:color w:val="auto"/>
                <w:sz w:val="24"/>
                <w:szCs w:val="24"/>
                <w:highlight w:val="none"/>
              </w:rPr>
              <w:t>水按照《新疆维吾尔自治区生活用水定额》，南疆地区城镇居民住宅，人均用水量为70～85L/d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住宿人员用水量按</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L/人·d计，项目劳动定员</w:t>
            </w:r>
            <w:r>
              <w:rPr>
                <w:rFonts w:hint="default" w:ascii="Times New Roman" w:hAnsi="Times New Roman" w:cs="Times New Roman"/>
                <w:color w:val="auto"/>
                <w:sz w:val="24"/>
                <w:szCs w:val="24"/>
                <w:highlight w:val="none"/>
                <w:lang w:val="en-US" w:eastAsia="zh-CN"/>
              </w:rPr>
              <w:t>140</w:t>
            </w:r>
            <w:r>
              <w:rPr>
                <w:rFonts w:hint="default" w:ascii="Times New Roman" w:hAnsi="Times New Roman" w:cs="Times New Roman"/>
                <w:color w:val="auto"/>
                <w:sz w:val="24"/>
                <w:szCs w:val="24"/>
                <w:highlight w:val="none"/>
              </w:rPr>
              <w:t>人，</w:t>
            </w:r>
            <w:r>
              <w:rPr>
                <w:rFonts w:hint="default" w:ascii="Times New Roman" w:hAnsi="Times New Roman" w:cs="Times New Roman"/>
                <w:snapToGrid w:val="0"/>
                <w:color w:val="auto"/>
                <w:kern w:val="0"/>
                <w:sz w:val="24"/>
                <w:szCs w:val="24"/>
                <w:highlight w:val="none"/>
              </w:rPr>
              <w:t>均在厂区内食宿，</w:t>
            </w:r>
            <w:r>
              <w:rPr>
                <w:rFonts w:hint="default" w:ascii="Times New Roman" w:hAnsi="Times New Roman" w:cs="Times New Roman"/>
                <w:color w:val="auto"/>
                <w:sz w:val="24"/>
                <w:szCs w:val="24"/>
                <w:highlight w:val="none"/>
              </w:rPr>
              <w:t>则</w:t>
            </w:r>
            <w:r>
              <w:rPr>
                <w:rFonts w:hint="default" w:ascii="Times New Roman" w:hAnsi="Times New Roman" w:cs="Times New Roman"/>
                <w:color w:val="auto"/>
                <w:sz w:val="24"/>
                <w:szCs w:val="24"/>
                <w:highlight w:val="none"/>
                <w:lang w:val="en-US" w:eastAsia="zh-CN"/>
              </w:rPr>
              <w:t>生活用水量为11.2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3360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14:paraId="4B96BEB7">
            <w:pPr>
              <w:ind w:firstLine="480"/>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b/>
                <w:bCs/>
                <w:snapToGrid w:val="0"/>
                <w:color w:val="auto"/>
                <w:kern w:val="0"/>
                <w:sz w:val="24"/>
                <w:szCs w:val="24"/>
                <w:highlight w:val="none"/>
                <w:lang w:val="en-US" w:eastAsia="zh-CN"/>
              </w:rPr>
              <w:t>绿化用水：</w:t>
            </w:r>
            <w:r>
              <w:rPr>
                <w:rFonts w:hint="default" w:ascii="Times New Roman" w:hAnsi="Times New Roman" w:eastAsia="宋体" w:cs="Times New Roman"/>
                <w:snapToGrid w:val="0"/>
                <w:color w:val="auto"/>
                <w:kern w:val="0"/>
                <w:sz w:val="24"/>
                <w:szCs w:val="24"/>
                <w:highlight w:val="none"/>
              </w:rPr>
              <w:t>本项目绿化面积</w:t>
            </w:r>
            <w:r>
              <w:rPr>
                <w:rFonts w:hint="default" w:ascii="Times New Roman" w:hAnsi="Times New Roman" w:eastAsia="宋体" w:cs="Times New Roman"/>
                <w:snapToGrid w:val="0"/>
                <w:color w:val="auto"/>
                <w:kern w:val="0"/>
                <w:sz w:val="24"/>
                <w:szCs w:val="24"/>
                <w:highlight w:val="none"/>
                <w:lang w:val="en-US" w:eastAsia="zh-CN"/>
              </w:rPr>
              <w:t>15443.4</w:t>
            </w:r>
            <w:r>
              <w:rPr>
                <w:rFonts w:hint="default" w:ascii="Times New Roman" w:hAnsi="Times New Roman" w:eastAsia="宋体" w:cs="Times New Roman"/>
                <w:snapToGrid w:val="0"/>
                <w:color w:val="auto"/>
                <w:kern w:val="0"/>
                <w:sz w:val="24"/>
                <w:szCs w:val="24"/>
                <w:highlight w:val="none"/>
              </w:rPr>
              <w:t>m</w:t>
            </w:r>
            <w:r>
              <w:rPr>
                <w:rFonts w:hint="default" w:ascii="Times New Roman" w:hAnsi="Times New Roman" w:eastAsia="宋体" w:cs="Times New Roman"/>
                <w:snapToGrid w:val="0"/>
                <w:color w:val="auto"/>
                <w:kern w:val="0"/>
                <w:sz w:val="24"/>
                <w:szCs w:val="24"/>
                <w:highlight w:val="none"/>
                <w:vertAlign w:val="superscript"/>
              </w:rPr>
              <w:t>2</w:t>
            </w:r>
            <w:r>
              <w:rPr>
                <w:rFonts w:hint="default" w:ascii="Times New Roman" w:hAnsi="Times New Roman" w:eastAsia="宋体" w:cs="Times New Roman"/>
                <w:snapToGrid w:val="0"/>
                <w:color w:val="auto"/>
                <w:kern w:val="0"/>
                <w:sz w:val="24"/>
                <w:szCs w:val="24"/>
                <w:highlight w:val="none"/>
              </w:rPr>
              <w:t>（</w:t>
            </w:r>
            <w:r>
              <w:rPr>
                <w:rFonts w:hint="default" w:ascii="Times New Roman" w:hAnsi="Times New Roman" w:eastAsia="宋体" w:cs="Times New Roman"/>
                <w:snapToGrid w:val="0"/>
                <w:color w:val="auto"/>
                <w:kern w:val="0"/>
                <w:sz w:val="24"/>
                <w:szCs w:val="24"/>
                <w:highlight w:val="none"/>
                <w:lang w:val="en-US" w:eastAsia="zh-CN"/>
              </w:rPr>
              <w:t>23.17</w:t>
            </w:r>
            <w:r>
              <w:rPr>
                <w:rFonts w:hint="default" w:ascii="Times New Roman" w:hAnsi="Times New Roman" w:eastAsia="宋体" w:cs="Times New Roman"/>
                <w:snapToGrid w:val="0"/>
                <w:color w:val="auto"/>
                <w:kern w:val="0"/>
                <w:sz w:val="24"/>
                <w:szCs w:val="24"/>
                <w:highlight w:val="none"/>
              </w:rPr>
              <w:t>亩），依据《新疆维吾尔自治区工业和生活用水定额》（2007.7.31），绿化用水400m</w:t>
            </w:r>
            <w:r>
              <w:rPr>
                <w:rFonts w:hint="default" w:ascii="Times New Roman" w:hAnsi="Times New Roman" w:eastAsia="宋体" w:cs="Times New Roman"/>
                <w:snapToGrid w:val="0"/>
                <w:color w:val="auto"/>
                <w:kern w:val="0"/>
                <w:sz w:val="24"/>
                <w:szCs w:val="24"/>
                <w:highlight w:val="none"/>
                <w:vertAlign w:val="superscript"/>
              </w:rPr>
              <w:t>3</w:t>
            </w:r>
            <w:r>
              <w:rPr>
                <w:rFonts w:hint="default" w:ascii="Times New Roman" w:hAnsi="Times New Roman" w:eastAsia="宋体" w:cs="Times New Roman"/>
                <w:snapToGrid w:val="0"/>
                <w:color w:val="auto"/>
                <w:kern w:val="0"/>
                <w:sz w:val="24"/>
                <w:szCs w:val="24"/>
                <w:highlight w:val="none"/>
              </w:rPr>
              <w:t>/亩·年，则本项目绿化用水</w:t>
            </w:r>
            <w:r>
              <w:rPr>
                <w:rFonts w:hint="default" w:ascii="Times New Roman" w:hAnsi="Times New Roman" w:eastAsia="宋体" w:cs="Times New Roman"/>
                <w:snapToGrid w:val="0"/>
                <w:color w:val="auto"/>
                <w:kern w:val="0"/>
                <w:sz w:val="24"/>
                <w:szCs w:val="24"/>
                <w:highlight w:val="none"/>
                <w:lang w:val="en-US" w:eastAsia="zh-CN"/>
              </w:rPr>
              <w:t>30.89</w:t>
            </w:r>
            <w:r>
              <w:rPr>
                <w:rFonts w:hint="default" w:ascii="Times New Roman" w:hAnsi="Times New Roman" w:eastAsia="宋体" w:cs="Times New Roman"/>
                <w:snapToGrid w:val="0"/>
                <w:color w:val="auto"/>
                <w:kern w:val="0"/>
                <w:sz w:val="24"/>
                <w:szCs w:val="24"/>
                <w:highlight w:val="none"/>
              </w:rPr>
              <w:t>m</w:t>
            </w:r>
            <w:r>
              <w:rPr>
                <w:rFonts w:hint="default" w:ascii="Times New Roman" w:hAnsi="Times New Roman" w:eastAsia="宋体" w:cs="Times New Roman"/>
                <w:snapToGrid w:val="0"/>
                <w:color w:val="auto"/>
                <w:kern w:val="0"/>
                <w:sz w:val="24"/>
                <w:szCs w:val="24"/>
                <w:highlight w:val="none"/>
                <w:vertAlign w:val="superscript"/>
              </w:rPr>
              <w:t>3</w:t>
            </w:r>
            <w:r>
              <w:rPr>
                <w:rFonts w:hint="default" w:ascii="Times New Roman" w:hAnsi="Times New Roman" w:eastAsia="宋体" w:cs="Times New Roman"/>
                <w:snapToGrid w:val="0"/>
                <w:color w:val="auto"/>
                <w:kern w:val="0"/>
                <w:sz w:val="24"/>
                <w:szCs w:val="24"/>
                <w:highlight w:val="none"/>
              </w:rPr>
              <w:t>/d（</w:t>
            </w:r>
            <w:r>
              <w:rPr>
                <w:rFonts w:hint="default" w:ascii="Times New Roman" w:hAnsi="Times New Roman" w:eastAsia="宋体" w:cs="Times New Roman"/>
                <w:snapToGrid w:val="0"/>
                <w:color w:val="auto"/>
                <w:kern w:val="0"/>
                <w:sz w:val="24"/>
                <w:szCs w:val="24"/>
                <w:highlight w:val="none"/>
                <w:lang w:val="en-US" w:eastAsia="zh-CN"/>
              </w:rPr>
              <w:t>926</w:t>
            </w:r>
            <w:r>
              <w:rPr>
                <w:rFonts w:hint="default" w:ascii="Times New Roman" w:hAnsi="Times New Roman" w:cs="Times New Roman"/>
                <w:snapToGrid w:val="0"/>
                <w:color w:val="auto"/>
                <w:kern w:val="0"/>
                <w:sz w:val="24"/>
                <w:szCs w:val="24"/>
                <w:highlight w:val="none"/>
                <w:lang w:val="en-US" w:eastAsia="zh-CN"/>
              </w:rPr>
              <w:t>8</w:t>
            </w:r>
            <w:r>
              <w:rPr>
                <w:rFonts w:hint="default" w:ascii="Times New Roman" w:hAnsi="Times New Roman" w:eastAsia="宋体" w:cs="Times New Roman"/>
                <w:snapToGrid w:val="0"/>
                <w:color w:val="auto"/>
                <w:kern w:val="0"/>
                <w:sz w:val="24"/>
                <w:szCs w:val="24"/>
                <w:highlight w:val="none"/>
              </w:rPr>
              <w:t>m</w:t>
            </w:r>
            <w:r>
              <w:rPr>
                <w:rFonts w:hint="default" w:ascii="Times New Roman" w:hAnsi="Times New Roman" w:eastAsia="宋体" w:cs="Times New Roman"/>
                <w:snapToGrid w:val="0"/>
                <w:color w:val="auto"/>
                <w:kern w:val="0"/>
                <w:sz w:val="24"/>
                <w:szCs w:val="24"/>
                <w:highlight w:val="none"/>
                <w:vertAlign w:val="superscript"/>
              </w:rPr>
              <w:t>3</w:t>
            </w:r>
            <w:r>
              <w:rPr>
                <w:rFonts w:hint="default" w:ascii="Times New Roman" w:hAnsi="Times New Roman" w:eastAsia="宋体" w:cs="Times New Roman"/>
                <w:snapToGrid w:val="0"/>
                <w:color w:val="auto"/>
                <w:kern w:val="0"/>
                <w:sz w:val="24"/>
                <w:szCs w:val="24"/>
                <w:highlight w:val="none"/>
              </w:rPr>
              <w:t>/a）</w:t>
            </w:r>
            <w:r>
              <w:rPr>
                <w:rFonts w:hint="default" w:ascii="Times New Roman" w:hAnsi="Times New Roman" w:eastAsia="宋体" w:cs="Times New Roman"/>
                <w:snapToGrid w:val="0"/>
                <w:color w:val="auto"/>
                <w:kern w:val="0"/>
                <w:sz w:val="24"/>
                <w:szCs w:val="24"/>
                <w:highlight w:val="none"/>
                <w:lang w:eastAsia="zh-CN"/>
              </w:rPr>
              <w:t>。</w:t>
            </w:r>
          </w:p>
          <w:p w14:paraId="37B827D1">
            <w:pPr>
              <w:ind w:firstLine="480"/>
              <w:rPr>
                <w:rFonts w:hint="default" w:ascii="Times New Roman" w:hAnsi="Times New Roman" w:cs="Times New Roman"/>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生产用水：</w:t>
            </w:r>
            <w:r>
              <w:rPr>
                <w:rFonts w:hint="default" w:ascii="Times New Roman" w:hAnsi="Times New Roman" w:eastAsia="宋体" w:cs="Times New Roman"/>
                <w:snapToGrid w:val="0"/>
                <w:color w:val="auto"/>
                <w:kern w:val="0"/>
                <w:sz w:val="24"/>
                <w:szCs w:val="24"/>
                <w:highlight w:val="none"/>
                <w:lang w:val="en-US" w:eastAsia="zh-CN"/>
              </w:rPr>
              <w:t>根据本项目生产工艺生产用水与</w:t>
            </w:r>
            <w:r>
              <w:rPr>
                <w:rFonts w:hint="default" w:ascii="Times New Roman" w:hAnsi="Times New Roman" w:eastAsia="宋体" w:cs="Times New Roman"/>
                <w:snapToGrid w:val="0"/>
                <w:color w:val="auto"/>
                <w:kern w:val="0"/>
                <w:sz w:val="24"/>
                <w:szCs w:val="24"/>
                <w:highlight w:val="none"/>
              </w:rPr>
              <w:t>干粉灭火剂重</w:t>
            </w:r>
            <w:r>
              <w:rPr>
                <w:rFonts w:hint="default" w:ascii="Times New Roman" w:hAnsi="Times New Roman" w:eastAsia="宋体" w:cs="Times New Roman"/>
                <w:snapToGrid w:val="0"/>
                <w:color w:val="auto"/>
                <w:kern w:val="0"/>
                <w:sz w:val="24"/>
                <w:szCs w:val="24"/>
                <w:highlight w:val="none"/>
                <w:lang w:val="en-US" w:eastAsia="zh-CN"/>
              </w:rPr>
              <w:t>量比例为</w:t>
            </w:r>
            <w:r>
              <w:rPr>
                <w:rFonts w:hint="eastAsia" w:cs="Times New Roman"/>
                <w:snapToGrid w:val="0"/>
                <w:color w:val="auto"/>
                <w:kern w:val="0"/>
                <w:sz w:val="24"/>
                <w:szCs w:val="24"/>
                <w:highlight w:val="none"/>
                <w:lang w:val="en-US" w:eastAsia="zh-CN"/>
              </w:rPr>
              <w:t>2</w:t>
            </w:r>
            <w:r>
              <w:rPr>
                <w:rFonts w:hint="default" w:ascii="Times New Roman" w:hAnsi="Times New Roman" w:cs="Times New Roman"/>
                <w:snapToGrid w:val="0"/>
                <w:color w:val="auto"/>
                <w:kern w:val="0"/>
                <w:sz w:val="24"/>
                <w:szCs w:val="24"/>
                <w:highlight w:val="none"/>
                <w:lang w:eastAsia="zh-CN"/>
              </w:rPr>
              <w:t>:</w:t>
            </w:r>
            <w:r>
              <w:rPr>
                <w:rFonts w:hint="default" w:ascii="Times New Roman" w:hAnsi="Times New Roman" w:cs="Times New Roman"/>
                <w:snapToGrid w:val="0"/>
                <w:color w:val="auto"/>
                <w:kern w:val="0"/>
                <w:sz w:val="24"/>
                <w:szCs w:val="24"/>
                <w:highlight w:val="none"/>
                <w:lang w:val="en-US" w:eastAsia="zh-CN"/>
              </w:rPr>
              <w:t>1</w:t>
            </w:r>
            <w:r>
              <w:rPr>
                <w:rFonts w:hint="default" w:ascii="Times New Roman" w:hAnsi="Times New Roman" w:eastAsia="宋体" w:cs="Times New Roman"/>
                <w:snapToGrid w:val="0"/>
                <w:color w:val="auto"/>
                <w:kern w:val="0"/>
                <w:sz w:val="24"/>
                <w:szCs w:val="24"/>
                <w:highlight w:val="none"/>
                <w:lang w:val="en-US" w:eastAsia="zh-CN"/>
              </w:rPr>
              <w:t>，</w:t>
            </w:r>
            <w:r>
              <w:rPr>
                <w:rFonts w:hint="default" w:ascii="Times New Roman" w:hAnsi="Times New Roman" w:cs="Times New Roman"/>
                <w:snapToGrid w:val="0"/>
                <w:color w:val="auto"/>
                <w:kern w:val="0"/>
                <w:sz w:val="24"/>
                <w:szCs w:val="24"/>
                <w:highlight w:val="none"/>
                <w:lang w:eastAsia="zh-CN"/>
              </w:rPr>
              <w:t>ABC干粉灭火剂年用量为40000吨</w:t>
            </w:r>
            <w:r>
              <w:rPr>
                <w:rFonts w:hint="default" w:ascii="Times New Roman" w:hAnsi="Times New Roman" w:eastAsia="宋体" w:cs="Times New Roman"/>
                <w:snapToGrid w:val="0"/>
                <w:color w:val="auto"/>
                <w:kern w:val="0"/>
                <w:sz w:val="24"/>
                <w:szCs w:val="24"/>
                <w:highlight w:val="none"/>
                <w:lang w:val="en-US" w:eastAsia="zh-CN"/>
              </w:rPr>
              <w:t>，本项目年生产用水量为</w:t>
            </w:r>
            <w:r>
              <w:rPr>
                <w:rFonts w:hint="default" w:ascii="Times New Roman" w:hAnsi="Times New Roman" w:cs="Times New Roman"/>
                <w:snapToGrid w:val="0"/>
                <w:color w:val="auto"/>
                <w:kern w:val="0"/>
                <w:sz w:val="24"/>
                <w:szCs w:val="24"/>
                <w:highlight w:val="none"/>
                <w:lang w:val="en-US" w:eastAsia="zh-CN"/>
              </w:rPr>
              <w:t>2</w:t>
            </w:r>
            <w:r>
              <w:rPr>
                <w:rFonts w:hint="default" w:ascii="Times New Roman" w:hAnsi="Times New Roman" w:cs="Times New Roman"/>
                <w:snapToGrid w:val="0"/>
                <w:color w:val="auto"/>
                <w:kern w:val="0"/>
                <w:sz w:val="24"/>
                <w:szCs w:val="24"/>
                <w:highlight w:val="none"/>
                <w:lang w:eastAsia="zh-CN"/>
              </w:rPr>
              <w:t>66.67</w:t>
            </w:r>
            <w:r>
              <w:rPr>
                <w:rFonts w:hint="default" w:ascii="Times New Roman" w:hAnsi="Times New Roman" w:eastAsia="宋体" w:cs="Times New Roman"/>
                <w:snapToGrid w:val="0"/>
                <w:color w:val="auto"/>
                <w:kern w:val="0"/>
                <w:sz w:val="24"/>
                <w:szCs w:val="24"/>
                <w:highlight w:val="none"/>
                <w:lang w:val="en-US" w:eastAsia="zh-CN"/>
              </w:rPr>
              <w:t>m</w:t>
            </w:r>
            <w:r>
              <w:rPr>
                <w:rFonts w:hint="default" w:ascii="Times New Roman" w:hAnsi="Times New Roman" w:eastAsia="宋体" w:cs="Times New Roman"/>
                <w:snapToGrid w:val="0"/>
                <w:color w:val="auto"/>
                <w:kern w:val="0"/>
                <w:sz w:val="24"/>
                <w:szCs w:val="24"/>
                <w:highlight w:val="none"/>
                <w:vertAlign w:val="superscript"/>
                <w:lang w:val="en-US" w:eastAsia="zh-CN"/>
              </w:rPr>
              <w:t>3</w:t>
            </w:r>
            <w:r>
              <w:rPr>
                <w:rFonts w:hint="default" w:ascii="Times New Roman" w:hAnsi="Times New Roman" w:eastAsia="宋体" w:cs="Times New Roman"/>
                <w:snapToGrid w:val="0"/>
                <w:color w:val="auto"/>
                <w:kern w:val="0"/>
                <w:sz w:val="24"/>
                <w:szCs w:val="24"/>
                <w:highlight w:val="none"/>
                <w:lang w:val="en-US" w:eastAsia="zh-CN"/>
              </w:rPr>
              <w:t>/d（</w:t>
            </w:r>
            <w:r>
              <w:rPr>
                <w:rFonts w:hint="default" w:ascii="Times New Roman" w:hAnsi="Times New Roman" w:cs="Times New Roman"/>
                <w:snapToGrid w:val="0"/>
                <w:color w:val="auto"/>
                <w:kern w:val="0"/>
                <w:sz w:val="24"/>
                <w:szCs w:val="24"/>
                <w:highlight w:val="none"/>
                <w:lang w:val="en-US" w:eastAsia="zh-CN"/>
              </w:rPr>
              <w:t>80000</w:t>
            </w:r>
            <w:r>
              <w:rPr>
                <w:rFonts w:hint="default" w:ascii="Times New Roman" w:hAnsi="Times New Roman" w:eastAsia="宋体" w:cs="Times New Roman"/>
                <w:snapToGrid w:val="0"/>
                <w:color w:val="auto"/>
                <w:kern w:val="0"/>
                <w:sz w:val="24"/>
                <w:szCs w:val="24"/>
                <w:highlight w:val="none"/>
                <w:lang w:val="en-US" w:eastAsia="zh-CN"/>
              </w:rPr>
              <w:t>m</w:t>
            </w:r>
            <w:r>
              <w:rPr>
                <w:rFonts w:hint="default" w:ascii="Times New Roman" w:hAnsi="Times New Roman" w:eastAsia="宋体" w:cs="Times New Roman"/>
                <w:snapToGrid w:val="0"/>
                <w:color w:val="auto"/>
                <w:kern w:val="0"/>
                <w:sz w:val="24"/>
                <w:szCs w:val="24"/>
                <w:highlight w:val="none"/>
                <w:vertAlign w:val="superscript"/>
                <w:lang w:val="en-US" w:eastAsia="zh-CN"/>
              </w:rPr>
              <w:t>3</w:t>
            </w:r>
            <w:r>
              <w:rPr>
                <w:rFonts w:hint="default" w:ascii="Times New Roman" w:hAnsi="Times New Roman" w:eastAsia="宋体" w:cs="Times New Roman"/>
                <w:snapToGrid w:val="0"/>
                <w:color w:val="auto"/>
                <w:kern w:val="0"/>
                <w:sz w:val="24"/>
                <w:szCs w:val="24"/>
                <w:highlight w:val="none"/>
                <w:lang w:val="en-US" w:eastAsia="zh-CN"/>
              </w:rPr>
              <w:t>/a）</w:t>
            </w:r>
            <w:r>
              <w:rPr>
                <w:rFonts w:hint="default" w:ascii="Times New Roman" w:hAnsi="Times New Roman" w:cs="Times New Roman"/>
                <w:snapToGrid w:val="0"/>
                <w:color w:val="auto"/>
                <w:kern w:val="0"/>
                <w:sz w:val="24"/>
                <w:szCs w:val="24"/>
                <w:highlight w:val="none"/>
                <w:lang w:val="en-US" w:eastAsia="zh-CN"/>
              </w:rPr>
              <w:t>，其中11918.7</w:t>
            </w:r>
            <w:r>
              <w:rPr>
                <w:rFonts w:hint="default" w:ascii="Times New Roman" w:hAnsi="Times New Roman" w:eastAsia="宋体" w:cs="Times New Roman"/>
                <w:snapToGrid w:val="0"/>
                <w:color w:val="auto"/>
                <w:kern w:val="0"/>
                <w:sz w:val="24"/>
                <w:szCs w:val="24"/>
                <w:highlight w:val="none"/>
                <w:lang w:val="en-US" w:eastAsia="zh-CN"/>
              </w:rPr>
              <w:t>m</w:t>
            </w:r>
            <w:r>
              <w:rPr>
                <w:rFonts w:hint="default" w:ascii="Times New Roman" w:hAnsi="Times New Roman" w:eastAsia="宋体" w:cs="Times New Roman"/>
                <w:snapToGrid w:val="0"/>
                <w:color w:val="auto"/>
                <w:kern w:val="0"/>
                <w:sz w:val="24"/>
                <w:szCs w:val="24"/>
                <w:highlight w:val="none"/>
                <w:vertAlign w:val="superscript"/>
                <w:lang w:val="en-US" w:eastAsia="zh-CN"/>
              </w:rPr>
              <w:t>3</w:t>
            </w:r>
            <w:r>
              <w:rPr>
                <w:rFonts w:hint="default" w:ascii="Times New Roman" w:hAnsi="Times New Roman" w:eastAsia="宋体" w:cs="Times New Roman"/>
                <w:snapToGrid w:val="0"/>
                <w:color w:val="auto"/>
                <w:kern w:val="0"/>
                <w:sz w:val="24"/>
                <w:szCs w:val="24"/>
                <w:highlight w:val="none"/>
                <w:lang w:val="en-US" w:eastAsia="zh-CN"/>
              </w:rPr>
              <w:t>/a为设备清洗废水回用</w:t>
            </w:r>
            <w:r>
              <w:rPr>
                <w:rFonts w:hint="default" w:ascii="Times New Roman" w:hAnsi="Times New Roman" w:cs="Times New Roman"/>
                <w:snapToGrid w:val="0"/>
                <w:color w:val="auto"/>
                <w:kern w:val="0"/>
                <w:sz w:val="24"/>
                <w:szCs w:val="24"/>
                <w:highlight w:val="none"/>
                <w:lang w:val="en-US" w:eastAsia="zh-CN"/>
              </w:rPr>
              <w:t>。</w:t>
            </w:r>
          </w:p>
          <w:p w14:paraId="682CDFE1">
            <w:pPr>
              <w:ind w:firstLine="480"/>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cs="Times New Roman"/>
                <w:b/>
                <w:bCs/>
                <w:snapToGrid w:val="0"/>
                <w:color w:val="auto"/>
                <w:kern w:val="0"/>
                <w:sz w:val="24"/>
                <w:szCs w:val="24"/>
                <w:highlight w:val="none"/>
                <w:lang w:val="en-US" w:eastAsia="zh-CN"/>
              </w:rPr>
              <w:t>设备清洗废水：</w:t>
            </w:r>
            <w:r>
              <w:rPr>
                <w:rFonts w:hint="default" w:ascii="Times New Roman" w:hAnsi="Times New Roman" w:eastAsia="宋体" w:cs="Times New Roman"/>
                <w:snapToGrid w:val="0"/>
                <w:color w:val="auto"/>
                <w:kern w:val="0"/>
                <w:sz w:val="24"/>
                <w:szCs w:val="24"/>
                <w:highlight w:val="none"/>
                <w:lang w:val="en-US" w:eastAsia="zh-CN"/>
              </w:rPr>
              <w:t>本项目溶解釜、过滤机每批次清洗一次，真空泵、干燥机、给料机每周清洗一次，详情见表2-8。</w:t>
            </w:r>
          </w:p>
          <w:p w14:paraId="575FBA62">
            <w:pPr>
              <w:ind w:left="0" w:leftChars="0" w:firstLine="0" w:firstLineChars="0"/>
              <w:jc w:val="center"/>
              <w:rPr>
                <w:rFonts w:hint="default" w:ascii="Times New Roman" w:hAnsi="Times New Roman" w:eastAsia="宋体" w:cs="Times New Roman"/>
                <w:b/>
                <w:color w:val="auto"/>
                <w:kern w:val="0"/>
                <w:sz w:val="21"/>
                <w:szCs w:val="20"/>
                <w:highlight w:val="none"/>
                <w:lang w:val="en-US" w:eastAsia="zh-CN" w:bidi="zh-CN"/>
              </w:rPr>
            </w:pPr>
            <w:r>
              <w:rPr>
                <w:rFonts w:hint="default" w:ascii="Times New Roman" w:hAnsi="Times New Roman" w:eastAsia="宋体" w:cs="Times New Roman"/>
                <w:b/>
                <w:color w:val="auto"/>
                <w:kern w:val="0"/>
                <w:sz w:val="21"/>
                <w:szCs w:val="20"/>
                <w:highlight w:val="none"/>
                <w:lang w:val="en-US" w:eastAsia="zh-CN" w:bidi="zh-CN"/>
              </w:rPr>
              <w:t>表2-8   项目主要设备一览表</w:t>
            </w:r>
          </w:p>
          <w:tbl>
            <w:tblPr>
              <w:tblStyle w:val="30"/>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22"/>
              <w:gridCol w:w="736"/>
              <w:gridCol w:w="750"/>
              <w:gridCol w:w="1146"/>
              <w:gridCol w:w="804"/>
              <w:gridCol w:w="1146"/>
              <w:gridCol w:w="1290"/>
            </w:tblGrid>
            <w:tr w14:paraId="1425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40ABF36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序号</w:t>
                  </w:r>
                </w:p>
              </w:tc>
              <w:tc>
                <w:tcPr>
                  <w:tcW w:w="1222" w:type="dxa"/>
                  <w:vAlign w:val="center"/>
                </w:tcPr>
                <w:p w14:paraId="332509D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需清洗设备</w:t>
                  </w:r>
                </w:p>
              </w:tc>
              <w:tc>
                <w:tcPr>
                  <w:tcW w:w="736" w:type="dxa"/>
                  <w:vAlign w:val="center"/>
                </w:tcPr>
                <w:p w14:paraId="23EA2F03">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数量</w:t>
                  </w:r>
                </w:p>
              </w:tc>
              <w:tc>
                <w:tcPr>
                  <w:tcW w:w="750" w:type="dxa"/>
                  <w:vAlign w:val="center"/>
                </w:tcPr>
                <w:p w14:paraId="65B214D9">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清洗方式</w:t>
                  </w:r>
                </w:p>
              </w:tc>
              <w:tc>
                <w:tcPr>
                  <w:tcW w:w="1146" w:type="dxa"/>
                  <w:vAlign w:val="center"/>
                </w:tcPr>
                <w:p w14:paraId="0E71B23C">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清洗频次</w:t>
                  </w:r>
                </w:p>
              </w:tc>
              <w:tc>
                <w:tcPr>
                  <w:tcW w:w="804" w:type="dxa"/>
                  <w:vAlign w:val="center"/>
                </w:tcPr>
                <w:p w14:paraId="21299A2A">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单台耗水量</w:t>
                  </w:r>
                </w:p>
              </w:tc>
              <w:tc>
                <w:tcPr>
                  <w:tcW w:w="1146" w:type="dxa"/>
                  <w:vAlign w:val="center"/>
                </w:tcPr>
                <w:p w14:paraId="3B2E609B">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总耗水量（m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/d）</w:t>
                  </w:r>
                </w:p>
              </w:tc>
              <w:tc>
                <w:tcPr>
                  <w:tcW w:w="1290" w:type="dxa"/>
                  <w:vAlign w:val="center"/>
                </w:tcPr>
                <w:p w14:paraId="79DF076E">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总耗水量（m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/a</w:t>
                  </w:r>
                  <w:r>
                    <w:rPr>
                      <w:rFonts w:hint="eastAsia" w:ascii="Times New Roman" w:hAnsi="Times New Roman" w:cs="Times New Roman"/>
                      <w:color w:val="auto"/>
                      <w:sz w:val="21"/>
                      <w:highlight w:val="none"/>
                      <w:lang w:val="en-US" w:eastAsia="zh-CN"/>
                    </w:rPr>
                    <w:t>）</w:t>
                  </w:r>
                </w:p>
              </w:tc>
            </w:tr>
            <w:tr w14:paraId="7CFD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727035C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1222" w:type="dxa"/>
                  <w:shd w:val="clear" w:color="auto" w:fill="auto"/>
                  <w:vAlign w:val="center"/>
                </w:tcPr>
                <w:p w14:paraId="203DEBF4">
                  <w:pPr>
                    <w:pStyle w:val="47"/>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溶解釜</w:t>
                  </w:r>
                </w:p>
              </w:tc>
              <w:tc>
                <w:tcPr>
                  <w:tcW w:w="736" w:type="dxa"/>
                  <w:shd w:val="clear" w:color="auto" w:fill="auto"/>
                  <w:vAlign w:val="center"/>
                </w:tcPr>
                <w:p w14:paraId="480AF3DD">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10</w:t>
                  </w:r>
                </w:p>
              </w:tc>
              <w:tc>
                <w:tcPr>
                  <w:tcW w:w="750" w:type="dxa"/>
                  <w:vMerge w:val="restart"/>
                  <w:vAlign w:val="center"/>
                </w:tcPr>
                <w:p w14:paraId="772A8427">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使用自来水清洗</w:t>
                  </w:r>
                </w:p>
              </w:tc>
              <w:tc>
                <w:tcPr>
                  <w:tcW w:w="1146" w:type="dxa"/>
                  <w:vAlign w:val="center"/>
                </w:tcPr>
                <w:p w14:paraId="7249FE79">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1批/次</w:t>
                  </w:r>
                </w:p>
              </w:tc>
              <w:tc>
                <w:tcPr>
                  <w:tcW w:w="804" w:type="dxa"/>
                  <w:shd w:val="clear" w:color="auto" w:fill="auto"/>
                  <w:vAlign w:val="center"/>
                </w:tcPr>
                <w:p w14:paraId="5978B8CC">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1146" w:type="dxa"/>
                  <w:vAlign w:val="center"/>
                </w:tcPr>
                <w:p w14:paraId="2F74DBE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30</w:t>
                  </w:r>
                </w:p>
              </w:tc>
              <w:tc>
                <w:tcPr>
                  <w:tcW w:w="1290" w:type="dxa"/>
                  <w:vAlign w:val="center"/>
                </w:tcPr>
                <w:p w14:paraId="1691C621">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900</w:t>
                  </w:r>
                </w:p>
              </w:tc>
            </w:tr>
            <w:tr w14:paraId="01A7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33AF7087">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w:t>
                  </w:r>
                </w:p>
              </w:tc>
              <w:tc>
                <w:tcPr>
                  <w:tcW w:w="1222" w:type="dxa"/>
                  <w:shd w:val="clear" w:color="auto" w:fill="auto"/>
                  <w:vAlign w:val="center"/>
                </w:tcPr>
                <w:p w14:paraId="3C1107DC">
                  <w:pPr>
                    <w:pStyle w:val="47"/>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过滤机</w:t>
                  </w:r>
                </w:p>
              </w:tc>
              <w:tc>
                <w:tcPr>
                  <w:tcW w:w="736" w:type="dxa"/>
                  <w:shd w:val="clear" w:color="auto" w:fill="auto"/>
                  <w:vAlign w:val="center"/>
                </w:tcPr>
                <w:p w14:paraId="12E42B2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750" w:type="dxa"/>
                  <w:vMerge w:val="continue"/>
                  <w:vAlign w:val="center"/>
                </w:tcPr>
                <w:p w14:paraId="37AC9313">
                  <w:pPr>
                    <w:pStyle w:val="47"/>
                    <w:jc w:val="center"/>
                    <w:rPr>
                      <w:rFonts w:hint="default" w:ascii="Times New Roman" w:hAnsi="Times New Roman" w:eastAsia="宋体" w:cs="Times New Roman"/>
                      <w:color w:val="auto"/>
                      <w:sz w:val="21"/>
                      <w:highlight w:val="none"/>
                      <w:lang w:val="en-US" w:eastAsia="zh-CN"/>
                    </w:rPr>
                  </w:pPr>
                </w:p>
              </w:tc>
              <w:tc>
                <w:tcPr>
                  <w:tcW w:w="1146" w:type="dxa"/>
                  <w:vAlign w:val="center"/>
                </w:tcPr>
                <w:p w14:paraId="142C0359">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1批/次</w:t>
                  </w:r>
                </w:p>
              </w:tc>
              <w:tc>
                <w:tcPr>
                  <w:tcW w:w="804" w:type="dxa"/>
                  <w:shd w:val="clear" w:color="auto" w:fill="auto"/>
                  <w:vAlign w:val="center"/>
                </w:tcPr>
                <w:p w14:paraId="3A0D1DA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0.5</w:t>
                  </w:r>
                </w:p>
              </w:tc>
              <w:tc>
                <w:tcPr>
                  <w:tcW w:w="1146" w:type="dxa"/>
                  <w:vAlign w:val="center"/>
                </w:tcPr>
                <w:p w14:paraId="33C9D7A4">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15</w:t>
                  </w:r>
                </w:p>
              </w:tc>
              <w:tc>
                <w:tcPr>
                  <w:tcW w:w="1290" w:type="dxa"/>
                  <w:vAlign w:val="center"/>
                </w:tcPr>
                <w:p w14:paraId="6DBFE270">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4500</w:t>
                  </w:r>
                </w:p>
              </w:tc>
            </w:tr>
            <w:tr w14:paraId="4CA4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4AD5B2CB">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3</w:t>
                  </w:r>
                </w:p>
              </w:tc>
              <w:tc>
                <w:tcPr>
                  <w:tcW w:w="1222" w:type="dxa"/>
                  <w:shd w:val="clear" w:color="auto" w:fill="auto"/>
                  <w:vAlign w:val="center"/>
                </w:tcPr>
                <w:p w14:paraId="3ED34631">
                  <w:pPr>
                    <w:pStyle w:val="47"/>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储槽</w:t>
                  </w:r>
                </w:p>
              </w:tc>
              <w:tc>
                <w:tcPr>
                  <w:tcW w:w="736" w:type="dxa"/>
                  <w:shd w:val="clear" w:color="auto" w:fill="auto"/>
                  <w:vAlign w:val="center"/>
                </w:tcPr>
                <w:p w14:paraId="5F15E00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750" w:type="dxa"/>
                  <w:vMerge w:val="continue"/>
                  <w:vAlign w:val="center"/>
                </w:tcPr>
                <w:p w14:paraId="52BF4139">
                  <w:pPr>
                    <w:pStyle w:val="47"/>
                    <w:jc w:val="center"/>
                    <w:rPr>
                      <w:rFonts w:hint="default" w:ascii="Times New Roman" w:hAnsi="Times New Roman" w:eastAsia="宋体" w:cs="Times New Roman"/>
                      <w:color w:val="auto"/>
                      <w:sz w:val="21"/>
                      <w:highlight w:val="none"/>
                      <w:lang w:val="en-US" w:eastAsia="zh-CN"/>
                    </w:rPr>
                  </w:pPr>
                </w:p>
              </w:tc>
              <w:tc>
                <w:tcPr>
                  <w:tcW w:w="1146" w:type="dxa"/>
                  <w:vAlign w:val="center"/>
                </w:tcPr>
                <w:p w14:paraId="3A5E15F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1批/次</w:t>
                  </w:r>
                </w:p>
              </w:tc>
              <w:tc>
                <w:tcPr>
                  <w:tcW w:w="804" w:type="dxa"/>
                  <w:shd w:val="clear" w:color="auto" w:fill="auto"/>
                  <w:vAlign w:val="center"/>
                </w:tcPr>
                <w:p w14:paraId="04A88D15">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0.8</w:t>
                  </w:r>
                </w:p>
              </w:tc>
              <w:tc>
                <w:tcPr>
                  <w:tcW w:w="1146" w:type="dxa"/>
                  <w:vAlign w:val="center"/>
                </w:tcPr>
                <w:p w14:paraId="5BB7D303">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24</w:t>
                  </w:r>
                </w:p>
              </w:tc>
              <w:tc>
                <w:tcPr>
                  <w:tcW w:w="1290" w:type="dxa"/>
                  <w:vAlign w:val="center"/>
                </w:tcPr>
                <w:p w14:paraId="0F7C6183">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7200</w:t>
                  </w:r>
                </w:p>
              </w:tc>
            </w:tr>
            <w:tr w14:paraId="356F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51203D4B">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4</w:t>
                  </w:r>
                </w:p>
              </w:tc>
              <w:tc>
                <w:tcPr>
                  <w:tcW w:w="1222" w:type="dxa"/>
                  <w:shd w:val="clear" w:color="auto" w:fill="auto"/>
                  <w:vAlign w:val="center"/>
                </w:tcPr>
                <w:p w14:paraId="2EC7B22C">
                  <w:pPr>
                    <w:pStyle w:val="47"/>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干燥机</w:t>
                  </w:r>
                </w:p>
              </w:tc>
              <w:tc>
                <w:tcPr>
                  <w:tcW w:w="736" w:type="dxa"/>
                  <w:shd w:val="clear" w:color="auto" w:fill="auto"/>
                  <w:vAlign w:val="center"/>
                </w:tcPr>
                <w:p w14:paraId="45B432C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750" w:type="dxa"/>
                  <w:vMerge w:val="continue"/>
                  <w:vAlign w:val="center"/>
                </w:tcPr>
                <w:p w14:paraId="7BD0EABD">
                  <w:pPr>
                    <w:pStyle w:val="47"/>
                    <w:jc w:val="center"/>
                    <w:rPr>
                      <w:rFonts w:hint="default" w:ascii="Times New Roman" w:hAnsi="Times New Roman" w:eastAsia="宋体" w:cs="Times New Roman"/>
                      <w:color w:val="auto"/>
                      <w:sz w:val="21"/>
                      <w:highlight w:val="none"/>
                      <w:lang w:val="en-US" w:eastAsia="zh-CN"/>
                    </w:rPr>
                  </w:pPr>
                </w:p>
              </w:tc>
              <w:tc>
                <w:tcPr>
                  <w:tcW w:w="1146" w:type="dxa"/>
                  <w:vAlign w:val="center"/>
                </w:tcPr>
                <w:p w14:paraId="4C4C48FF">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1周/次</w:t>
                  </w:r>
                </w:p>
              </w:tc>
              <w:tc>
                <w:tcPr>
                  <w:tcW w:w="804" w:type="dxa"/>
                  <w:shd w:val="clear" w:color="auto" w:fill="auto"/>
                  <w:vAlign w:val="center"/>
                </w:tcPr>
                <w:p w14:paraId="22F68B8B">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1.2</w:t>
                  </w:r>
                </w:p>
              </w:tc>
              <w:tc>
                <w:tcPr>
                  <w:tcW w:w="1146" w:type="dxa"/>
                  <w:vAlign w:val="center"/>
                </w:tcPr>
                <w:p w14:paraId="58F5348F">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1.71</w:t>
                  </w:r>
                </w:p>
              </w:tc>
              <w:tc>
                <w:tcPr>
                  <w:tcW w:w="1290" w:type="dxa"/>
                  <w:vAlign w:val="center"/>
                </w:tcPr>
                <w:p w14:paraId="726B1637">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514</w:t>
                  </w:r>
                </w:p>
              </w:tc>
            </w:tr>
            <w:tr w14:paraId="1582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328074D9">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w:t>
                  </w:r>
                </w:p>
              </w:tc>
              <w:tc>
                <w:tcPr>
                  <w:tcW w:w="1222" w:type="dxa"/>
                  <w:shd w:val="clear" w:color="auto" w:fill="auto"/>
                  <w:vAlign w:val="center"/>
                </w:tcPr>
                <w:p w14:paraId="4B13B916">
                  <w:pPr>
                    <w:pStyle w:val="47"/>
                    <w:jc w:val="center"/>
                    <w:rPr>
                      <w:rFonts w:hint="default" w:ascii="Times New Roman" w:hAnsi="Times New Roman" w:eastAsia="宋体" w:cs="Times New Roman"/>
                      <w:color w:val="auto"/>
                      <w:sz w:val="21"/>
                      <w:highlight w:val="none"/>
                      <w:lang w:val="en-US" w:eastAsia="en-US"/>
                    </w:rPr>
                  </w:pPr>
                  <w:r>
                    <w:rPr>
                      <w:rFonts w:hint="default" w:ascii="Times New Roman" w:hAnsi="Times New Roman" w:eastAsia="宋体" w:cs="Times New Roman"/>
                      <w:color w:val="auto"/>
                      <w:sz w:val="21"/>
                      <w:highlight w:val="none"/>
                    </w:rPr>
                    <w:t>给料机</w:t>
                  </w:r>
                </w:p>
              </w:tc>
              <w:tc>
                <w:tcPr>
                  <w:tcW w:w="736" w:type="dxa"/>
                  <w:shd w:val="clear" w:color="auto" w:fill="auto"/>
                  <w:vAlign w:val="center"/>
                </w:tcPr>
                <w:p w14:paraId="2CB1611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10</w:t>
                  </w:r>
                </w:p>
              </w:tc>
              <w:tc>
                <w:tcPr>
                  <w:tcW w:w="750" w:type="dxa"/>
                  <w:vMerge w:val="continue"/>
                  <w:vAlign w:val="center"/>
                </w:tcPr>
                <w:p w14:paraId="4B488A70">
                  <w:pPr>
                    <w:pStyle w:val="47"/>
                    <w:jc w:val="center"/>
                    <w:rPr>
                      <w:rFonts w:hint="default" w:ascii="Times New Roman" w:hAnsi="Times New Roman" w:eastAsia="宋体" w:cs="Times New Roman"/>
                      <w:color w:val="auto"/>
                      <w:sz w:val="21"/>
                      <w:highlight w:val="none"/>
                      <w:lang w:val="en-US" w:eastAsia="zh-CN"/>
                    </w:rPr>
                  </w:pPr>
                </w:p>
              </w:tc>
              <w:tc>
                <w:tcPr>
                  <w:tcW w:w="1146" w:type="dxa"/>
                  <w:vAlign w:val="center"/>
                </w:tcPr>
                <w:p w14:paraId="1A9CD540">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1周/次</w:t>
                  </w:r>
                </w:p>
              </w:tc>
              <w:tc>
                <w:tcPr>
                  <w:tcW w:w="804" w:type="dxa"/>
                  <w:shd w:val="clear" w:color="auto" w:fill="auto"/>
                  <w:vAlign w:val="center"/>
                </w:tcPr>
                <w:p w14:paraId="2C1D331F">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0.3</w:t>
                  </w:r>
                </w:p>
              </w:tc>
              <w:tc>
                <w:tcPr>
                  <w:tcW w:w="1146" w:type="dxa"/>
                  <w:vAlign w:val="center"/>
                </w:tcPr>
                <w:p w14:paraId="20A3EA0D">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0.43</w:t>
                  </w:r>
                </w:p>
              </w:tc>
              <w:tc>
                <w:tcPr>
                  <w:tcW w:w="1290" w:type="dxa"/>
                  <w:vAlign w:val="center"/>
                </w:tcPr>
                <w:p w14:paraId="399B982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129</w:t>
                  </w:r>
                </w:p>
              </w:tc>
            </w:tr>
            <w:tr w14:paraId="402D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3" w:type="dxa"/>
                  <w:gridSpan w:val="7"/>
                  <w:vAlign w:val="center"/>
                </w:tcPr>
                <w:p w14:paraId="664BCD0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合计</w:t>
                  </w:r>
                </w:p>
              </w:tc>
              <w:tc>
                <w:tcPr>
                  <w:tcW w:w="1290" w:type="dxa"/>
                  <w:vAlign w:val="center"/>
                </w:tcPr>
                <w:p w14:paraId="7D947AF4">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13243</w:t>
                  </w:r>
                </w:p>
              </w:tc>
            </w:tr>
          </w:tbl>
          <w:p w14:paraId="2B2998F5">
            <w:pPr>
              <w:pStyle w:val="37"/>
              <w:ind w:firstLine="482" w:firstLineChars="200"/>
              <w:jc w:val="both"/>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项目水平衡表如下：</w:t>
            </w:r>
          </w:p>
          <w:p w14:paraId="09D9123D">
            <w:pPr>
              <w:pStyle w:val="37"/>
              <w:rPr>
                <w:rFonts w:hint="default" w:ascii="Times New Roman" w:hAnsi="Times New Roman" w:cs="Times New Roman"/>
                <w:color w:val="auto"/>
                <w:sz w:val="24"/>
                <w:highlight w:val="none"/>
                <w:lang w:eastAsia="zh-CN"/>
              </w:rPr>
            </w:pP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项目水量平衡</w:t>
            </w:r>
            <w:r>
              <w:rPr>
                <w:rFonts w:hint="default" w:ascii="Times New Roman" w:hAnsi="Times New Roman" w:cs="Times New Roman"/>
                <w:color w:val="auto"/>
                <w:highlight w:val="none"/>
                <w:lang w:eastAsia="zh-CN"/>
              </w:rPr>
              <w:t>情况</w:t>
            </w:r>
            <w:r>
              <w:rPr>
                <w:rFonts w:hint="default" w:ascii="Times New Roman" w:hAnsi="Times New Roman" w:cs="Times New Roman"/>
                <w:color w:val="auto"/>
                <w:highlight w:val="none"/>
                <w:lang w:val="en-US" w:eastAsia="zh-CN"/>
              </w:rPr>
              <w:t>表（单位m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bl>
            <w:tblPr>
              <w:tblStyle w:val="29"/>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718"/>
              <w:gridCol w:w="1620"/>
              <w:gridCol w:w="2340"/>
              <w:gridCol w:w="1136"/>
            </w:tblGrid>
            <w:tr w14:paraId="6F2A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9" w:type="dxa"/>
                  <w:vAlign w:val="center"/>
                </w:tcPr>
                <w:p w14:paraId="26D47718">
                  <w:pPr>
                    <w:pStyle w:val="47"/>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序号</w:t>
                  </w:r>
                </w:p>
              </w:tc>
              <w:tc>
                <w:tcPr>
                  <w:tcW w:w="1718" w:type="dxa"/>
                  <w:vAlign w:val="center"/>
                </w:tcPr>
                <w:p w14:paraId="2FB03802">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w:t>
                  </w:r>
                </w:p>
              </w:tc>
              <w:tc>
                <w:tcPr>
                  <w:tcW w:w="1620" w:type="dxa"/>
                  <w:vAlign w:val="center"/>
                </w:tcPr>
                <w:p w14:paraId="29EB6253">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新鲜水量</w:t>
                  </w:r>
                </w:p>
              </w:tc>
              <w:tc>
                <w:tcPr>
                  <w:tcW w:w="2340" w:type="dxa"/>
                  <w:vAlign w:val="center"/>
                </w:tcPr>
                <w:p w14:paraId="4F741734">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损耗量</w:t>
                  </w:r>
                </w:p>
              </w:tc>
              <w:tc>
                <w:tcPr>
                  <w:tcW w:w="1136" w:type="dxa"/>
                  <w:vAlign w:val="center"/>
                </w:tcPr>
                <w:p w14:paraId="3A5B901A">
                  <w:pPr>
                    <w:pStyle w:val="47"/>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排放量</w:t>
                  </w:r>
                </w:p>
              </w:tc>
            </w:tr>
            <w:tr w14:paraId="5412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9" w:type="dxa"/>
                  <w:vAlign w:val="center"/>
                </w:tcPr>
                <w:p w14:paraId="2BCBD960">
                  <w:pPr>
                    <w:pStyle w:val="47"/>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1718" w:type="dxa"/>
                  <w:vAlign w:val="center"/>
                </w:tcPr>
                <w:p w14:paraId="1FBD5C2C">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生活</w:t>
                  </w:r>
                  <w:r>
                    <w:rPr>
                      <w:rFonts w:hint="default" w:ascii="Times New Roman" w:hAnsi="Times New Roman" w:cs="Times New Roman"/>
                      <w:color w:val="auto"/>
                      <w:sz w:val="21"/>
                      <w:highlight w:val="none"/>
                      <w:lang w:val="en-US" w:eastAsia="zh-CN"/>
                    </w:rPr>
                    <w:t>污水</w:t>
                  </w:r>
                </w:p>
              </w:tc>
              <w:tc>
                <w:tcPr>
                  <w:tcW w:w="1620" w:type="dxa"/>
                  <w:vAlign w:val="center"/>
                </w:tcPr>
                <w:p w14:paraId="4E18404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3360</w:t>
                  </w:r>
                </w:p>
              </w:tc>
              <w:tc>
                <w:tcPr>
                  <w:tcW w:w="2340" w:type="dxa"/>
                  <w:vAlign w:val="center"/>
                </w:tcPr>
                <w:p w14:paraId="7ABCFDCA">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672</w:t>
                  </w:r>
                </w:p>
              </w:tc>
              <w:tc>
                <w:tcPr>
                  <w:tcW w:w="1136" w:type="dxa"/>
                  <w:vAlign w:val="center"/>
                </w:tcPr>
                <w:p w14:paraId="2C95C43C">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2688</w:t>
                  </w:r>
                </w:p>
              </w:tc>
            </w:tr>
            <w:tr w14:paraId="4F78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9" w:type="dxa"/>
                  <w:vAlign w:val="center"/>
                </w:tcPr>
                <w:p w14:paraId="5B99051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p>
              </w:tc>
              <w:tc>
                <w:tcPr>
                  <w:tcW w:w="1718" w:type="dxa"/>
                  <w:vAlign w:val="center"/>
                </w:tcPr>
                <w:p w14:paraId="4D99AB0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绿化用水</w:t>
                  </w:r>
                </w:p>
              </w:tc>
              <w:tc>
                <w:tcPr>
                  <w:tcW w:w="1620" w:type="dxa"/>
                  <w:vAlign w:val="center"/>
                </w:tcPr>
                <w:p w14:paraId="3DC991F6">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9268</w:t>
                  </w:r>
                </w:p>
              </w:tc>
              <w:tc>
                <w:tcPr>
                  <w:tcW w:w="2340" w:type="dxa"/>
                  <w:vAlign w:val="center"/>
                </w:tcPr>
                <w:p w14:paraId="7F96DB12">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9268</w:t>
                  </w:r>
                </w:p>
              </w:tc>
              <w:tc>
                <w:tcPr>
                  <w:tcW w:w="1136" w:type="dxa"/>
                  <w:vAlign w:val="center"/>
                </w:tcPr>
                <w:p w14:paraId="16842358">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r>
            <w:tr w14:paraId="1C17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9" w:type="dxa"/>
                  <w:vAlign w:val="center"/>
                </w:tcPr>
                <w:p w14:paraId="63FEDC5F">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w:t>
                  </w:r>
                </w:p>
              </w:tc>
              <w:tc>
                <w:tcPr>
                  <w:tcW w:w="1718" w:type="dxa"/>
                  <w:vAlign w:val="center"/>
                </w:tcPr>
                <w:p w14:paraId="09730521">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生产用水</w:t>
                  </w:r>
                </w:p>
              </w:tc>
              <w:tc>
                <w:tcPr>
                  <w:tcW w:w="1620" w:type="dxa"/>
                  <w:vAlign w:val="center"/>
                </w:tcPr>
                <w:p w14:paraId="35561839">
                  <w:pPr>
                    <w:pStyle w:val="47"/>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66757</w:t>
                  </w:r>
                </w:p>
              </w:tc>
              <w:tc>
                <w:tcPr>
                  <w:tcW w:w="2340" w:type="dxa"/>
                  <w:vAlign w:val="center"/>
                </w:tcPr>
                <w:p w14:paraId="74AD926E">
                  <w:pPr>
                    <w:pStyle w:val="47"/>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66757</w:t>
                  </w:r>
                </w:p>
              </w:tc>
              <w:tc>
                <w:tcPr>
                  <w:tcW w:w="1136" w:type="dxa"/>
                  <w:vAlign w:val="center"/>
                </w:tcPr>
                <w:p w14:paraId="45A00642">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r>
            <w:tr w14:paraId="4C04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9" w:type="dxa"/>
                  <w:vAlign w:val="center"/>
                </w:tcPr>
                <w:p w14:paraId="0721A6E5">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w:t>
                  </w:r>
                </w:p>
              </w:tc>
              <w:tc>
                <w:tcPr>
                  <w:tcW w:w="1718" w:type="dxa"/>
                  <w:vAlign w:val="center"/>
                </w:tcPr>
                <w:p w14:paraId="44326685">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设备清洗用水</w:t>
                  </w:r>
                </w:p>
              </w:tc>
              <w:tc>
                <w:tcPr>
                  <w:tcW w:w="1620" w:type="dxa"/>
                  <w:vAlign w:val="center"/>
                </w:tcPr>
                <w:p w14:paraId="5B49C508">
                  <w:pPr>
                    <w:pStyle w:val="47"/>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13243</w:t>
                  </w:r>
                </w:p>
              </w:tc>
              <w:tc>
                <w:tcPr>
                  <w:tcW w:w="2340" w:type="dxa"/>
                  <w:vAlign w:val="center"/>
                </w:tcPr>
                <w:p w14:paraId="419102B6">
                  <w:pPr>
                    <w:pStyle w:val="47"/>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13243（其中11918.7回用生产）</w:t>
                  </w:r>
                </w:p>
              </w:tc>
              <w:tc>
                <w:tcPr>
                  <w:tcW w:w="1136" w:type="dxa"/>
                  <w:vAlign w:val="center"/>
                </w:tcPr>
                <w:p w14:paraId="68F1EDD9">
                  <w:pPr>
                    <w:pStyle w:val="47"/>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r>
            <w:tr w14:paraId="4AB5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7" w:type="dxa"/>
                  <w:gridSpan w:val="2"/>
                  <w:vAlign w:val="center"/>
                </w:tcPr>
                <w:p w14:paraId="742D908A">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合计</w:t>
                  </w:r>
                </w:p>
              </w:tc>
              <w:tc>
                <w:tcPr>
                  <w:tcW w:w="1620" w:type="dxa"/>
                  <w:vAlign w:val="center"/>
                </w:tcPr>
                <w:p w14:paraId="0EDE49CE">
                  <w:pPr>
                    <w:pStyle w:val="47"/>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92628</w:t>
                  </w:r>
                </w:p>
              </w:tc>
              <w:tc>
                <w:tcPr>
                  <w:tcW w:w="2340" w:type="dxa"/>
                  <w:vAlign w:val="center"/>
                </w:tcPr>
                <w:p w14:paraId="73B19A43">
                  <w:pPr>
                    <w:pStyle w:val="47"/>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89940</w:t>
                  </w:r>
                </w:p>
              </w:tc>
              <w:tc>
                <w:tcPr>
                  <w:tcW w:w="1136" w:type="dxa"/>
                  <w:vAlign w:val="center"/>
                </w:tcPr>
                <w:p w14:paraId="79A88BE7">
                  <w:pPr>
                    <w:pStyle w:val="47"/>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2688</w:t>
                  </w:r>
                </w:p>
              </w:tc>
            </w:tr>
          </w:tbl>
          <w:p w14:paraId="41811B33">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.2排水</w:t>
            </w:r>
          </w:p>
          <w:p w14:paraId="13A782F0">
            <w:pPr>
              <w:adjustRightInd w:val="0"/>
              <w:snapToGrid w:val="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w:t>
            </w:r>
            <w:r>
              <w:rPr>
                <w:rFonts w:hint="default" w:ascii="Times New Roman" w:hAnsi="Times New Roman" w:cs="Times New Roman"/>
                <w:color w:val="auto"/>
                <w:sz w:val="24"/>
                <w:szCs w:val="24"/>
                <w:highlight w:val="none"/>
                <w:lang w:val="en-US" w:eastAsia="zh-CN"/>
              </w:rPr>
              <w:t>污水</w:t>
            </w:r>
            <w:r>
              <w:rPr>
                <w:rFonts w:hint="default" w:ascii="Times New Roman" w:hAnsi="Times New Roman" w:cs="Times New Roman"/>
                <w:color w:val="auto"/>
                <w:sz w:val="24"/>
                <w:szCs w:val="24"/>
                <w:highlight w:val="none"/>
              </w:rPr>
              <w:t>产生量按用水量的80%计，则生活</w:t>
            </w:r>
            <w:r>
              <w:rPr>
                <w:rFonts w:hint="default" w:ascii="Times New Roman" w:hAnsi="Times New Roman" w:cs="Times New Roman"/>
                <w:color w:val="auto"/>
                <w:sz w:val="24"/>
                <w:szCs w:val="24"/>
                <w:highlight w:val="none"/>
                <w:lang w:val="en-US" w:eastAsia="zh-CN"/>
              </w:rPr>
              <w:t>污水</w:t>
            </w:r>
            <w:r>
              <w:rPr>
                <w:rFonts w:hint="default" w:ascii="Times New Roman" w:hAnsi="Times New Roman" w:cs="Times New Roman"/>
                <w:color w:val="auto"/>
                <w:sz w:val="24"/>
                <w:szCs w:val="24"/>
                <w:highlight w:val="none"/>
              </w:rPr>
              <w:t>产生量为</w:t>
            </w:r>
            <w:r>
              <w:rPr>
                <w:rFonts w:hint="default" w:ascii="Times New Roman" w:hAnsi="Times New Roman" w:cs="Times New Roman"/>
                <w:color w:val="auto"/>
                <w:sz w:val="24"/>
                <w:szCs w:val="24"/>
                <w:highlight w:val="none"/>
                <w:lang w:val="en-US" w:eastAsia="zh-CN"/>
              </w:rPr>
              <w:t>2688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/a。生活</w:t>
            </w:r>
            <w:r>
              <w:rPr>
                <w:rFonts w:hint="default" w:ascii="Times New Roman" w:hAnsi="Times New Roman" w:cs="Times New Roman"/>
                <w:color w:val="auto"/>
                <w:sz w:val="24"/>
                <w:szCs w:val="24"/>
                <w:highlight w:val="none"/>
                <w:lang w:val="en-US" w:eastAsia="zh-CN"/>
              </w:rPr>
              <w:t>污</w:t>
            </w:r>
            <w:r>
              <w:rPr>
                <w:rFonts w:hint="default" w:ascii="Times New Roman" w:hAnsi="Times New Roman" w:cs="Times New Roman"/>
                <w:color w:val="auto"/>
                <w:sz w:val="24"/>
                <w:szCs w:val="24"/>
                <w:highlight w:val="none"/>
              </w:rPr>
              <w:t>水经</w:t>
            </w:r>
            <w:r>
              <w:rPr>
                <w:rFonts w:hint="default" w:ascii="Times New Roman" w:hAnsi="Times New Roman" w:cs="Times New Roman"/>
                <w:color w:val="auto"/>
                <w:sz w:val="24"/>
                <w:szCs w:val="24"/>
                <w:highlight w:val="none"/>
                <w:lang w:val="en-US" w:eastAsia="zh-CN"/>
              </w:rPr>
              <w:t>防渗隔油池处理</w:t>
            </w:r>
            <w:r>
              <w:rPr>
                <w:rFonts w:hint="default" w:ascii="Times New Roman" w:hAnsi="Times New Roman" w:cs="Times New Roman"/>
                <w:color w:val="auto"/>
                <w:sz w:val="24"/>
                <w:szCs w:val="24"/>
                <w:highlight w:val="none"/>
              </w:rPr>
              <w:t>后通过园区管网排至铁门关市污水处理厂。</w:t>
            </w:r>
          </w:p>
          <w:p w14:paraId="2631B562">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本项目生产过程中，生产用水可循环使用不外排。</w:t>
            </w:r>
          </w:p>
          <w:p w14:paraId="2FED2324">
            <w:pPr>
              <w:ind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highlight w:val="none"/>
                <w:lang w:eastAsia="zh-CN"/>
              </w:rPr>
              <w:drawing>
                <wp:anchor distT="0" distB="0" distL="114300" distR="114300" simplePos="0" relativeHeight="251662336" behindDoc="1" locked="0" layoutInCell="1" allowOverlap="1">
                  <wp:simplePos x="0" y="0"/>
                  <wp:positionH relativeFrom="column">
                    <wp:posOffset>71755</wp:posOffset>
                  </wp:positionH>
                  <wp:positionV relativeFrom="paragraph">
                    <wp:posOffset>545465</wp:posOffset>
                  </wp:positionV>
                  <wp:extent cx="4876800" cy="1508760"/>
                  <wp:effectExtent l="0" t="0" r="0" b="15240"/>
                  <wp:wrapNone/>
                  <wp:docPr id="12" name="图片 12" des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
                          <pic:cNvPicPr>
                            <a:picLocks noChangeAspect="1"/>
                          </pic:cNvPicPr>
                        </pic:nvPicPr>
                        <pic:blipFill>
                          <a:blip r:embed="rId23"/>
                          <a:stretch>
                            <a:fillRect/>
                          </a:stretch>
                        </pic:blipFill>
                        <pic:spPr>
                          <a:xfrm>
                            <a:off x="0" y="0"/>
                            <a:ext cx="4876800" cy="1508760"/>
                          </a:xfrm>
                          <a:prstGeom prst="rect">
                            <a:avLst/>
                          </a:prstGeom>
                        </pic:spPr>
                      </pic:pic>
                    </a:graphicData>
                  </a:graphic>
                </wp:anchor>
              </w:drawing>
            </w:r>
            <w:r>
              <w:rPr>
                <w:rFonts w:hint="default" w:ascii="Times New Roman" w:hAnsi="Times New Roman" w:cs="Times New Roman"/>
                <w:color w:val="auto"/>
                <w:sz w:val="24"/>
                <w:szCs w:val="24"/>
                <w:highlight w:val="none"/>
                <w:lang w:val="en-US" w:eastAsia="zh-CN"/>
              </w:rPr>
              <w:t>本项目清洗废水中主要为滑石粉、未溶解的废灭火器粉、悬浮物经沉淀池+格栅处理后可循环利用，回用率为90%，</w:t>
            </w:r>
            <w:r>
              <w:rPr>
                <w:rFonts w:hint="default" w:ascii="Times New Roman" w:hAnsi="Times New Roman" w:cs="Times New Roman"/>
                <w:color w:val="auto"/>
                <w:sz w:val="24"/>
                <w:szCs w:val="24"/>
                <w:highlight w:val="none"/>
              </w:rPr>
              <w:t>项目水量平衡情况见图2-</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6AFD96AC">
            <w:pPr>
              <w:ind w:left="0" w:leftChars="0" w:firstLine="0" w:firstLineChars="0"/>
              <w:rPr>
                <w:rFonts w:hint="default" w:ascii="Times New Roman" w:hAnsi="Times New Roman" w:eastAsia="宋体" w:cs="Times New Roman"/>
                <w:color w:val="auto"/>
                <w:highlight w:val="none"/>
                <w:lang w:eastAsia="zh-CN"/>
              </w:rPr>
            </w:pPr>
          </w:p>
          <w:p w14:paraId="517E9AA4">
            <w:pPr>
              <w:pStyle w:val="2"/>
              <w:rPr>
                <w:rFonts w:hint="default"/>
                <w:lang w:eastAsia="zh-CN"/>
              </w:rPr>
            </w:pPr>
          </w:p>
          <w:p w14:paraId="0A145BE2">
            <w:pPr>
              <w:pStyle w:val="2"/>
              <w:rPr>
                <w:rFonts w:hint="default" w:ascii="Times New Roman" w:hAnsi="Times New Roman" w:eastAsia="宋体" w:cs="Times New Roman"/>
                <w:color w:val="auto"/>
                <w:highlight w:val="none"/>
                <w:lang w:eastAsia="zh-CN"/>
              </w:rPr>
            </w:pPr>
          </w:p>
          <w:p w14:paraId="3593326C">
            <w:pPr>
              <w:rPr>
                <w:rFonts w:hint="default" w:ascii="Times New Roman" w:hAnsi="Times New Roman" w:eastAsia="宋体" w:cs="Times New Roman"/>
                <w:color w:val="auto"/>
                <w:highlight w:val="none"/>
                <w:lang w:eastAsia="zh-CN"/>
              </w:rPr>
            </w:pPr>
          </w:p>
          <w:p w14:paraId="52A0F657">
            <w:pPr>
              <w:pStyle w:val="37"/>
              <w:rPr>
                <w:rFonts w:hint="default" w:ascii="Times New Roman" w:hAnsi="Times New Roman" w:cs="Times New Roman"/>
                <w:b/>
                <w:snapToGrid w:val="0"/>
                <w:color w:val="auto"/>
                <w:highlight w:val="none"/>
                <w:lang w:val="en-US" w:eastAsia="zh-CN"/>
              </w:rPr>
            </w:pPr>
            <w:r>
              <w:rPr>
                <w:rFonts w:hint="default" w:ascii="Times New Roman" w:hAnsi="Times New Roman" w:cs="Times New Roman"/>
                <w:color w:val="auto"/>
                <w:highlight w:val="none"/>
              </w:rPr>
              <w:t>图2-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项目水量平衡情况</w:t>
            </w:r>
            <w:r>
              <w:rPr>
                <w:rFonts w:hint="default" w:ascii="Times New Roman" w:hAnsi="Times New Roman" w:cs="Times New Roman"/>
                <w:color w:val="auto"/>
                <w:highlight w:val="none"/>
                <w:lang w:val="en-US" w:eastAsia="zh-CN"/>
              </w:rPr>
              <w:t xml:space="preserve">  （单位m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p w14:paraId="1CA66C6D">
            <w:pPr>
              <w:ind w:firstLine="0" w:firstLineChars="0"/>
              <w:rPr>
                <w:rFonts w:hint="default" w:ascii="Times New Roman" w:hAnsi="Times New Roman" w:cs="Times New Roman"/>
                <w:b/>
                <w:color w:val="auto"/>
                <w:highlight w:val="none"/>
              </w:rPr>
            </w:pPr>
            <w:r>
              <w:rPr>
                <w:rFonts w:hint="default" w:ascii="Times New Roman" w:hAnsi="Times New Roman" w:cs="Times New Roman"/>
                <w:b/>
                <w:snapToGrid w:val="0"/>
                <w:color w:val="auto"/>
                <w:highlight w:val="none"/>
                <w:lang w:val="en-US" w:eastAsia="zh-CN"/>
              </w:rPr>
              <w:t>8</w:t>
            </w:r>
            <w:r>
              <w:rPr>
                <w:rFonts w:hint="default" w:ascii="Times New Roman" w:hAnsi="Times New Roman" w:cs="Times New Roman"/>
                <w:b/>
                <w:snapToGrid w:val="0"/>
                <w:color w:val="auto"/>
                <w:highlight w:val="none"/>
              </w:rPr>
              <w:t>.3</w:t>
            </w:r>
            <w:r>
              <w:rPr>
                <w:rFonts w:hint="default" w:ascii="Times New Roman" w:hAnsi="Times New Roman" w:cs="Times New Roman"/>
                <w:b/>
                <w:color w:val="auto"/>
                <w:highlight w:val="none"/>
              </w:rPr>
              <w:t>供电</w:t>
            </w:r>
          </w:p>
          <w:p w14:paraId="59E182A3">
            <w:pPr>
              <w:ind w:firstLine="480"/>
              <w:rPr>
                <w:rFonts w:hint="default" w:ascii="Times New Roman" w:hAnsi="Times New Roman" w:cs="Times New Roman"/>
                <w:bCs/>
                <w:color w:val="auto"/>
                <w:highlight w:val="none"/>
              </w:rPr>
            </w:pPr>
            <w:r>
              <w:rPr>
                <w:rFonts w:hint="default" w:ascii="Times New Roman" w:hAnsi="Times New Roman" w:cs="Times New Roman"/>
                <w:snapToGrid w:val="0"/>
                <w:color w:val="auto"/>
                <w:highlight w:val="none"/>
              </w:rPr>
              <w:t>项目用电由园区电网供给，可满足项目区用电负荷的需要及对供电可靠性的要求。</w:t>
            </w:r>
          </w:p>
          <w:p w14:paraId="156F89EB">
            <w:pPr>
              <w:pStyle w:val="5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.4供热</w:t>
            </w:r>
          </w:p>
          <w:p w14:paraId="67F7BB32">
            <w:pPr>
              <w:ind w:firstLine="480"/>
              <w:rPr>
                <w:rFonts w:hint="default" w:ascii="Times New Roman" w:hAnsi="Times New Roman" w:cs="Times New Roman"/>
                <w:snapToGrid w:val="0"/>
                <w:color w:val="auto"/>
                <w:highlight w:val="none"/>
              </w:rPr>
            </w:pPr>
            <w:r>
              <w:rPr>
                <w:rFonts w:hint="default" w:ascii="Times New Roman" w:hAnsi="Times New Roman" w:cs="Times New Roman"/>
                <w:spacing w:val="-3"/>
              </w:rPr>
              <w:t>由</w:t>
            </w:r>
            <w:r>
              <w:rPr>
                <w:rFonts w:hint="default" w:ascii="Times New Roman" w:hAnsi="Times New Roman" w:cs="Times New Roman"/>
                <w:spacing w:val="-3"/>
                <w:lang w:eastAsia="zh-CN"/>
              </w:rPr>
              <w:t>上库工业园区</w:t>
            </w:r>
            <w:r>
              <w:rPr>
                <w:rFonts w:hint="default" w:ascii="Times New Roman" w:hAnsi="Times New Roman" w:cs="Times New Roman"/>
                <w:spacing w:val="-3"/>
              </w:rPr>
              <w:t>集中供暖供给</w:t>
            </w:r>
            <w:r>
              <w:rPr>
                <w:rFonts w:hint="default" w:ascii="Times New Roman" w:hAnsi="Times New Roman" w:cs="Times New Roman"/>
                <w:snapToGrid w:val="0"/>
                <w:color w:val="auto"/>
                <w:highlight w:val="none"/>
              </w:rPr>
              <w:t>。</w:t>
            </w:r>
          </w:p>
          <w:p w14:paraId="655A92B7">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9.</w:t>
            </w:r>
            <w:r>
              <w:rPr>
                <w:rFonts w:hint="default" w:ascii="Times New Roman" w:hAnsi="Times New Roman" w:cs="Times New Roman"/>
                <w:b/>
                <w:color w:val="auto"/>
                <w:highlight w:val="none"/>
              </w:rPr>
              <w:t>平面布置</w:t>
            </w:r>
          </w:p>
          <w:p w14:paraId="04651D6D">
            <w:pPr>
              <w:adjustRightInd w:val="0"/>
              <w:ind w:firstLine="480"/>
              <w:textAlignment w:val="baseline"/>
              <w:rPr>
                <w:rFonts w:hint="default" w:ascii="Times New Roman" w:hAnsi="Times New Roman" w:cs="Times New Roman"/>
                <w:snapToGrid w:val="0"/>
                <w:color w:val="auto"/>
                <w:highlight w:val="none"/>
              </w:rPr>
            </w:pPr>
            <w:r>
              <w:rPr>
                <w:rFonts w:hint="default" w:ascii="Times New Roman" w:hAnsi="Times New Roman" w:cs="Times New Roman"/>
                <w:color w:val="auto"/>
                <w:highlight w:val="none"/>
              </w:rPr>
              <w:t>厂区平面布置基本原则主要是根据生产的工艺流程、建筑防火、安全、卫生、环境保</w:t>
            </w:r>
            <w:r>
              <w:rPr>
                <w:rFonts w:hint="default" w:ascii="Times New Roman" w:hAnsi="Times New Roman" w:cs="Times New Roman"/>
                <w:color w:val="auto"/>
                <w:highlight w:val="none"/>
                <w:lang w:eastAsia="zh-CN"/>
              </w:rPr>
              <w:t>护和</w:t>
            </w:r>
            <w:r>
              <w:rPr>
                <w:rFonts w:hint="default" w:ascii="Times New Roman" w:hAnsi="Times New Roman" w:cs="Times New Roman"/>
                <w:color w:val="auto"/>
                <w:highlight w:val="none"/>
              </w:rPr>
              <w:t>节约用地、减少工程投资等要求，结合厂区地形、地质、水文、气象等自然条件。厂区总体呈</w:t>
            </w:r>
            <w:r>
              <w:rPr>
                <w:rFonts w:hint="default" w:ascii="Times New Roman" w:hAnsi="Times New Roman" w:cs="Times New Roman"/>
                <w:color w:val="auto"/>
                <w:highlight w:val="none"/>
                <w:lang w:val="en-US" w:eastAsia="zh-CN"/>
              </w:rPr>
              <w:t>长方形</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厂房内部进行区分，项目主出入口位于南侧西域大道；次出入口位于东侧；干粉灭火器报废回收车</w:t>
            </w:r>
            <w:r>
              <w:rPr>
                <w:rFonts w:hint="eastAsia" w:cs="Times New Roman"/>
                <w:color w:val="auto"/>
                <w:highlight w:val="none"/>
                <w:lang w:val="en-US" w:eastAsia="zh-CN"/>
              </w:rPr>
              <w:t>间位</w:t>
            </w:r>
            <w:r>
              <w:rPr>
                <w:rFonts w:hint="default" w:ascii="Times New Roman" w:hAnsi="Times New Roman" w:cs="Times New Roman"/>
                <w:color w:val="auto"/>
                <w:highlight w:val="none"/>
                <w:lang w:val="en-US" w:eastAsia="zh-CN"/>
              </w:rPr>
              <w:t>于厂区南部，综合楼位于厂区西北角，科研楼位于厂区东北角</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消防水池及泵房位于综合楼南侧约20米左右。3</w:t>
            </w:r>
            <w:r>
              <w:rPr>
                <w:rFonts w:hint="default" w:ascii="Times New Roman" w:hAnsi="Times New Roman" w:eastAsia="宋体" w:cs="Times New Roman"/>
                <w:color w:val="auto"/>
                <w:highlight w:val="none"/>
                <w:lang w:val="en-US" w:eastAsia="zh-CN"/>
              </w:rPr>
              <w:t>套废气处理设施（集气罩+布袋除尘+15m排气筒）</w:t>
            </w:r>
            <w:r>
              <w:rPr>
                <w:rFonts w:hint="default" w:ascii="Times New Roman" w:hAnsi="Times New Roman" w:cs="Times New Roman"/>
                <w:color w:val="auto"/>
                <w:highlight w:val="none"/>
                <w:lang w:val="en-US" w:eastAsia="zh-CN"/>
              </w:rPr>
              <w:t>设置在干粉灭火器报废回收车间</w:t>
            </w:r>
            <w:r>
              <w:rPr>
                <w:rFonts w:hint="default" w:ascii="Times New Roman" w:hAnsi="Times New Roman" w:eastAsia="宋体" w:cs="Times New Roman"/>
                <w:color w:val="auto"/>
                <w:highlight w:val="none"/>
                <w:lang w:val="en-US" w:eastAsia="zh-CN"/>
              </w:rPr>
              <w:t>，二楼设有办公室，</w:t>
            </w:r>
            <w:r>
              <w:rPr>
                <w:rFonts w:hint="default" w:ascii="Times New Roman" w:hAnsi="Times New Roman" w:cs="Times New Roman"/>
                <w:color w:val="auto"/>
                <w:highlight w:val="none"/>
                <w:lang w:val="en-US" w:eastAsia="zh-CN"/>
              </w:rPr>
              <w:t>干粉灭火器报废回收车间</w:t>
            </w:r>
            <w:r>
              <w:rPr>
                <w:rFonts w:hint="default" w:ascii="Times New Roman" w:hAnsi="Times New Roman" w:eastAsia="宋体" w:cs="Times New Roman"/>
                <w:color w:val="auto"/>
                <w:highlight w:val="none"/>
                <w:lang w:val="en-US" w:eastAsia="zh-CN"/>
              </w:rPr>
              <w:t>东北角设有危废暂存间</w:t>
            </w:r>
            <w:r>
              <w:rPr>
                <w:rFonts w:hint="default" w:ascii="Times New Roman" w:hAnsi="Times New Roman" w:cs="Times New Roman"/>
                <w:color w:val="auto"/>
                <w:highlight w:val="none"/>
              </w:rPr>
              <w:t>。厂区平面布置符合安全防护、工业卫生、绿化要求，布局合理，</w:t>
            </w:r>
            <w:r>
              <w:rPr>
                <w:rFonts w:hint="default" w:ascii="Times New Roman" w:hAnsi="Times New Roman" w:cs="Times New Roman"/>
                <w:iCs/>
                <w:color w:val="auto"/>
                <w:highlight w:val="none"/>
              </w:rPr>
              <w:t>充分考虑了在企业工作的员工的生产、生活的基本条件和要求，而且也充分考虑了前来购货人员的基本生活的方便和需要。</w:t>
            </w:r>
          </w:p>
          <w:p w14:paraId="47966FF1">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highlight w:val="none"/>
              </w:rPr>
              <w:t>该项目的总平面布置和功能分区详见附图</w:t>
            </w:r>
            <w:r>
              <w:rPr>
                <w:rFonts w:hint="default" w:ascii="Times New Roman" w:hAnsi="Times New Roman" w:cs="Times New Roman"/>
                <w:snapToGrid w:val="0"/>
                <w:color w:val="auto"/>
                <w:highlight w:val="none"/>
                <w:lang w:val="en-US" w:eastAsia="zh-CN"/>
              </w:rPr>
              <w:t>五。</w:t>
            </w:r>
          </w:p>
        </w:tc>
      </w:tr>
      <w:tr w14:paraId="067B2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5" w:hRule="atLeast"/>
          <w:jc w:val="center"/>
        </w:trPr>
        <w:tc>
          <w:tcPr>
            <w:tcW w:w="972" w:type="dxa"/>
            <w:vAlign w:val="center"/>
          </w:tcPr>
          <w:p w14:paraId="5B6FE928">
            <w:pPr>
              <w:adjustRightInd w:val="0"/>
              <w:snapToGrid w:val="0"/>
              <w:ind w:firstLine="0" w:firstLineChars="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color w:val="auto"/>
                <w:highlight w:val="none"/>
              </w:rPr>
              <w:t>工艺流程和产排污环节</w:t>
            </w:r>
          </w:p>
        </w:tc>
        <w:tc>
          <w:tcPr>
            <w:tcW w:w="8047" w:type="dxa"/>
          </w:tcPr>
          <w:p w14:paraId="008A2BD1">
            <w:pPr>
              <w:ind w:firstLine="0" w:firstLineChars="0"/>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10.</w:t>
            </w:r>
            <w:r>
              <w:rPr>
                <w:rFonts w:hint="default" w:ascii="Times New Roman" w:hAnsi="Times New Roman" w:eastAsia="宋体" w:cs="Times New Roman"/>
                <w:b/>
                <w:color w:val="auto"/>
                <w:highlight w:val="none"/>
                <w:lang w:val="en-US" w:eastAsia="zh-CN"/>
              </w:rPr>
              <w:t>施工期工艺流程及产污环节</w:t>
            </w:r>
          </w:p>
          <w:p w14:paraId="4FBF9E68">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现场调查，本项目现场现状为空地，施工内容包括主体工程及配套辅助工程的建设。项目工程施工期涉及基础工程、主体工程、装饰工程、安装工程、工程验收等工序，建设过程中将产生噪声、扬尘、废气、固体废弃物、施工废水和生活污水，其排放量随工期和施工强度不同而有所变化。</w:t>
            </w:r>
          </w:p>
          <w:p w14:paraId="052CDF71">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-19050</wp:posOffset>
                  </wp:positionH>
                  <wp:positionV relativeFrom="paragraph">
                    <wp:posOffset>163195</wp:posOffset>
                  </wp:positionV>
                  <wp:extent cx="5063490" cy="986790"/>
                  <wp:effectExtent l="0" t="0" r="0" b="0"/>
                  <wp:wrapNone/>
                  <wp:docPr id="6" name="图片 1" descr="C:/Users/86180/AppData/Local/Temp/wps.XImAx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86180/AppData/Local/Temp/wps.XImAxswps"/>
                          <pic:cNvPicPr>
                            <a:picLocks noChangeAspect="1"/>
                          </pic:cNvPicPr>
                        </pic:nvPicPr>
                        <pic:blipFill>
                          <a:blip r:embed="rId24"/>
                          <a:stretch>
                            <a:fillRect/>
                          </a:stretch>
                        </pic:blipFill>
                        <pic:spPr>
                          <a:xfrm>
                            <a:off x="0" y="0"/>
                            <a:ext cx="5063490" cy="986790"/>
                          </a:xfrm>
                          <a:prstGeom prst="rect">
                            <a:avLst/>
                          </a:prstGeom>
                          <a:noFill/>
                          <a:ln>
                            <a:noFill/>
                          </a:ln>
                        </pic:spPr>
                      </pic:pic>
                    </a:graphicData>
                  </a:graphic>
                </wp:anchor>
              </w:drawing>
            </w:r>
            <w:r>
              <w:rPr>
                <w:rFonts w:hint="default" w:ascii="Times New Roman" w:hAnsi="Times New Roman" w:cs="Times New Roman"/>
                <w:color w:val="000000" w:themeColor="text1"/>
                <w:sz w:val="24"/>
                <w:highlight w:val="none"/>
                <w14:textFill>
                  <w14:solidFill>
                    <w14:schemeClr w14:val="tx1"/>
                  </w14:solidFill>
                </w14:textFill>
              </w:rPr>
              <w:t>施工期工艺流程及产污节点图见图2-1所示。</w:t>
            </w:r>
          </w:p>
          <w:p w14:paraId="2584A0F5">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p>
          <w:p w14:paraId="6C1FA59A">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p>
          <w:p w14:paraId="1520F38B">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p>
          <w:p w14:paraId="2C2BD2DF">
            <w:pPr>
              <w:pStyle w:val="12"/>
              <w:jc w:val="center"/>
              <w:rPr>
                <w:rFonts w:hint="default" w:ascii="Times New Roman" w:hAnsi="Times New Roman" w:cs="Times New Roman"/>
                <w:sz w:val="21"/>
                <w:szCs w:val="21"/>
                <w:highlight w:val="none"/>
              </w:rPr>
            </w:pPr>
            <w:r>
              <w:rPr>
                <w:rFonts w:hint="default" w:ascii="Times New Roman" w:hAnsi="Times New Roman" w:cs="Times New Roman"/>
                <w:b/>
                <w:bCs/>
                <w:color w:val="000000"/>
                <w:sz w:val="21"/>
                <w:szCs w:val="21"/>
                <w:highlight w:val="none"/>
              </w:rPr>
              <w:t>图</w:t>
            </w:r>
            <w:r>
              <w:rPr>
                <w:rFonts w:hint="default" w:ascii="Times New Roman" w:hAnsi="Times New Roman" w:eastAsia="TimesNewRomanPSMT" w:cs="Times New Roman"/>
                <w:b/>
                <w:bCs/>
                <w:color w:val="000000"/>
                <w:sz w:val="21"/>
                <w:szCs w:val="21"/>
                <w:highlight w:val="none"/>
              </w:rPr>
              <w:t>2-</w:t>
            </w:r>
            <w:r>
              <w:rPr>
                <w:rFonts w:hint="default" w:ascii="Times New Roman" w:hAnsi="Times New Roman" w:cs="Times New Roman"/>
                <w:b/>
                <w:bCs/>
                <w:color w:val="000000"/>
                <w:sz w:val="21"/>
                <w:szCs w:val="21"/>
                <w:highlight w:val="none"/>
              </w:rPr>
              <w:t>2施工期工艺流程及产污节点图</w:t>
            </w:r>
          </w:p>
          <w:p w14:paraId="28457168">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（1）废气</w:t>
            </w:r>
          </w:p>
          <w:p w14:paraId="0B1C65B2">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本项目产生的废气主要为运输车辆行驶</w:t>
            </w:r>
            <w:r>
              <w:rPr>
                <w:rFonts w:hint="default" w:ascii="Times New Roman" w:hAnsi="Times New Roman" w:cs="Times New Roman"/>
                <w:color w:val="000000" w:themeColor="text1"/>
                <w:sz w:val="24"/>
                <w:highlight w:val="none"/>
                <w:lang w:eastAsia="zh-CN"/>
                <w14:textFill>
                  <w14:solidFill>
                    <w14:schemeClr w14:val="tx1"/>
                  </w14:solidFill>
                </w14:textFill>
              </w:rPr>
              <w:t>中产</w:t>
            </w:r>
            <w:r>
              <w:rPr>
                <w:rFonts w:hint="default" w:ascii="Times New Roman" w:hAnsi="Times New Roman" w:cs="Times New Roman"/>
                <w:color w:val="000000" w:themeColor="text1"/>
                <w:sz w:val="24"/>
                <w:highlight w:val="none"/>
                <w14:textFill>
                  <w14:solidFill>
                    <w14:schemeClr w14:val="tx1"/>
                  </w14:solidFill>
                </w14:textFill>
              </w:rPr>
              <w:t>生的废气及扬尘，场地平整、基础工程、主体工程、装饰工程以及设备安装完成后厂区清扫产生的扬尘。</w:t>
            </w:r>
          </w:p>
          <w:p w14:paraId="5B761902">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（2）废水</w:t>
            </w:r>
          </w:p>
          <w:p w14:paraId="5CAA362B">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本项目施工期产生的废水主要为施工人员产生的施工废水及生活污水。</w:t>
            </w:r>
          </w:p>
          <w:p w14:paraId="08ED04AA">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（3）噪声</w:t>
            </w:r>
          </w:p>
          <w:p w14:paraId="07D89699">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本项目产生的噪声主要为施工机械产生的噪声，以及施工车辆运转、行驶过程中产生的噪声。</w:t>
            </w:r>
          </w:p>
          <w:p w14:paraId="1B161ED6">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（4）固废</w:t>
            </w:r>
          </w:p>
          <w:p w14:paraId="3AA9B482">
            <w:pPr>
              <w:tabs>
                <w:tab w:val="left" w:pos="705"/>
              </w:tabs>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本项目产生的固废主要为施工过</w:t>
            </w:r>
            <w:r>
              <w:rPr>
                <w:rFonts w:hint="eastAsia" w:cs="Times New Roman"/>
                <w:color w:val="000000" w:themeColor="text1"/>
                <w:sz w:val="24"/>
                <w:highlight w:val="none"/>
                <w:lang w:eastAsia="zh-CN"/>
                <w14:textFill>
                  <w14:solidFill>
                    <w14:schemeClr w14:val="tx1"/>
                  </w14:solidFill>
                </w14:textFill>
              </w:rPr>
              <w:t>程中</w:t>
            </w:r>
            <w:r>
              <w:rPr>
                <w:rFonts w:hint="default" w:ascii="Times New Roman" w:hAnsi="Times New Roman" w:cs="Times New Roman"/>
                <w:color w:val="000000" w:themeColor="text1"/>
                <w:sz w:val="24"/>
                <w:highlight w:val="none"/>
                <w14:textFill>
                  <w14:solidFill>
                    <w14:schemeClr w14:val="tx1"/>
                  </w14:solidFill>
                </w14:textFill>
              </w:rPr>
              <w:t>产生的建筑垃圾和施工人员产生的生活垃圾。</w:t>
            </w:r>
          </w:p>
          <w:p w14:paraId="0BAD6127">
            <w:pPr>
              <w:ind w:firstLine="0" w:firstLineChars="0"/>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11.生产工艺</w:t>
            </w:r>
          </w:p>
          <w:p w14:paraId="486FD953">
            <w:pPr>
              <w:adjustRightInd w:val="0"/>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本项</w:t>
            </w:r>
            <w:r>
              <w:rPr>
                <w:rFonts w:hint="default" w:ascii="Times New Roman" w:hAnsi="Times New Roman" w:cs="Times New Roman"/>
                <w:color w:val="auto"/>
                <w:highlight w:val="none"/>
                <w:lang w:val="en-US" w:eastAsia="zh-CN"/>
              </w:rPr>
              <w:t>目</w:t>
            </w:r>
            <w:r>
              <w:rPr>
                <w:rFonts w:hint="default" w:ascii="Times New Roman" w:hAnsi="Times New Roman" w:cs="Times New Roman"/>
                <w:color w:val="auto"/>
                <w:highlight w:val="none"/>
              </w:rPr>
              <w:t>生产工艺及产污流程见图2-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457092A3">
            <w:pPr>
              <w:pStyle w:val="23"/>
              <w:rPr>
                <w:rFonts w:hint="default" w:ascii="Times New Roman" w:hAnsi="Times New Roman" w:cs="Times New Roman"/>
                <w:color w:val="auto"/>
                <w:highlight w:val="none"/>
                <w:lang w:val="en-US" w:eastAsia="zh-CN"/>
              </w:rPr>
            </w:pPr>
          </w:p>
          <w:p w14:paraId="665A42F5">
            <w:pPr>
              <w:pStyle w:val="23"/>
              <w:rPr>
                <w:rFonts w:hint="default" w:ascii="Times New Roman" w:hAnsi="Times New Roman" w:cs="Times New Roman"/>
                <w:color w:val="auto"/>
                <w:highlight w:val="none"/>
                <w:lang w:val="en-US" w:eastAsia="zh-CN"/>
              </w:rPr>
            </w:pPr>
          </w:p>
          <w:p w14:paraId="2F1AE657">
            <w:pPr>
              <w:pStyle w:val="23"/>
              <w:rPr>
                <w:rFonts w:hint="default" w:ascii="Times New Roman" w:hAnsi="Times New Roman" w:cs="Times New Roman"/>
                <w:color w:val="auto"/>
                <w:highlight w:val="none"/>
                <w:lang w:eastAsia="zh-CN"/>
              </w:rPr>
            </w:pPr>
          </w:p>
          <w:p w14:paraId="731DC6F1">
            <w:pPr>
              <w:pStyle w:val="23"/>
              <w:rPr>
                <w:rFonts w:hint="default" w:ascii="Times New Roman" w:hAnsi="Times New Roman" w:cs="Times New Roman"/>
                <w:color w:val="auto"/>
                <w:highlight w:val="none"/>
                <w:lang w:val="en-US" w:eastAsia="zh-CN"/>
              </w:rPr>
            </w:pPr>
          </w:p>
          <w:p w14:paraId="7E9720E6">
            <w:pPr>
              <w:pStyle w:val="2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drawing>
                <wp:anchor distT="0" distB="0" distL="114300" distR="114300" simplePos="0" relativeHeight="251662336" behindDoc="1" locked="0" layoutInCell="1" allowOverlap="1">
                  <wp:simplePos x="0" y="0"/>
                  <wp:positionH relativeFrom="column">
                    <wp:posOffset>29210</wp:posOffset>
                  </wp:positionH>
                  <wp:positionV relativeFrom="paragraph">
                    <wp:posOffset>58420</wp:posOffset>
                  </wp:positionV>
                  <wp:extent cx="4926965" cy="4319905"/>
                  <wp:effectExtent l="0" t="0" r="6985" b="4445"/>
                  <wp:wrapNone/>
                  <wp:docPr id="8" name="图片 8" des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
                          <pic:cNvPicPr>
                            <a:picLocks noChangeAspect="1"/>
                          </pic:cNvPicPr>
                        </pic:nvPicPr>
                        <pic:blipFill>
                          <a:blip r:embed="rId25"/>
                          <a:stretch>
                            <a:fillRect/>
                          </a:stretch>
                        </pic:blipFill>
                        <pic:spPr>
                          <a:xfrm>
                            <a:off x="0" y="0"/>
                            <a:ext cx="4926965" cy="4319905"/>
                          </a:xfrm>
                          <a:prstGeom prst="rect">
                            <a:avLst/>
                          </a:prstGeom>
                        </pic:spPr>
                      </pic:pic>
                    </a:graphicData>
                  </a:graphic>
                </wp:anchor>
              </w:drawing>
            </w:r>
          </w:p>
          <w:p w14:paraId="0AAF4670">
            <w:pPr>
              <w:pStyle w:val="23"/>
              <w:rPr>
                <w:rFonts w:hint="default" w:ascii="Times New Roman" w:hAnsi="Times New Roman" w:cs="Times New Roman"/>
                <w:color w:val="auto"/>
                <w:highlight w:val="none"/>
                <w:lang w:val="en-US" w:eastAsia="zh-CN"/>
              </w:rPr>
            </w:pPr>
          </w:p>
          <w:p w14:paraId="44927D4D">
            <w:pPr>
              <w:pStyle w:val="23"/>
              <w:rPr>
                <w:rFonts w:hint="default" w:ascii="Times New Roman" w:hAnsi="Times New Roman" w:cs="Times New Roman"/>
                <w:color w:val="auto"/>
                <w:highlight w:val="none"/>
                <w:lang w:val="en-US" w:eastAsia="zh-CN"/>
              </w:rPr>
            </w:pPr>
          </w:p>
          <w:p w14:paraId="3BDF768A">
            <w:pPr>
              <w:pStyle w:val="23"/>
              <w:rPr>
                <w:rFonts w:hint="default" w:ascii="Times New Roman" w:hAnsi="Times New Roman" w:cs="Times New Roman"/>
                <w:color w:val="auto"/>
                <w:highlight w:val="none"/>
                <w:lang w:val="en-US" w:eastAsia="zh-CN"/>
              </w:rPr>
            </w:pPr>
          </w:p>
          <w:p w14:paraId="38B308B8">
            <w:pPr>
              <w:pStyle w:val="23"/>
              <w:rPr>
                <w:rFonts w:hint="default" w:ascii="Times New Roman" w:hAnsi="Times New Roman" w:cs="Times New Roman"/>
                <w:color w:val="auto"/>
                <w:highlight w:val="none"/>
                <w:lang w:val="en-US" w:eastAsia="zh-CN"/>
              </w:rPr>
            </w:pPr>
          </w:p>
          <w:p w14:paraId="52303BC0">
            <w:pPr>
              <w:pStyle w:val="23"/>
              <w:rPr>
                <w:rFonts w:hint="default" w:ascii="Times New Roman" w:hAnsi="Times New Roman" w:cs="Times New Roman"/>
                <w:color w:val="auto"/>
                <w:highlight w:val="none"/>
                <w:lang w:val="en-US" w:eastAsia="zh-CN"/>
              </w:rPr>
            </w:pPr>
          </w:p>
          <w:p w14:paraId="6791840E">
            <w:pPr>
              <w:pStyle w:val="23"/>
              <w:rPr>
                <w:rFonts w:hint="default" w:ascii="Times New Roman" w:hAnsi="Times New Roman" w:cs="Times New Roman"/>
                <w:color w:val="auto"/>
                <w:highlight w:val="none"/>
                <w:lang w:val="en-US" w:eastAsia="zh-CN"/>
              </w:rPr>
            </w:pPr>
          </w:p>
          <w:p w14:paraId="33EEEDD2">
            <w:pPr>
              <w:pStyle w:val="23"/>
              <w:rPr>
                <w:rFonts w:hint="default" w:ascii="Times New Roman" w:hAnsi="Times New Roman" w:cs="Times New Roman"/>
                <w:color w:val="auto"/>
                <w:highlight w:val="none"/>
                <w:lang w:val="en-US" w:eastAsia="zh-CN"/>
              </w:rPr>
            </w:pPr>
          </w:p>
          <w:p w14:paraId="5DA546D5">
            <w:pPr>
              <w:pStyle w:val="23"/>
              <w:rPr>
                <w:rFonts w:hint="default" w:ascii="Times New Roman" w:hAnsi="Times New Roman" w:cs="Times New Roman"/>
                <w:color w:val="auto"/>
                <w:highlight w:val="none"/>
                <w:lang w:val="en-US" w:eastAsia="zh-CN"/>
              </w:rPr>
            </w:pPr>
          </w:p>
          <w:p w14:paraId="1F1A3259">
            <w:pPr>
              <w:pStyle w:val="23"/>
              <w:rPr>
                <w:rFonts w:hint="default" w:ascii="Times New Roman" w:hAnsi="Times New Roman" w:cs="Times New Roman"/>
                <w:color w:val="auto"/>
                <w:highlight w:val="none"/>
                <w:lang w:val="en-US" w:eastAsia="zh-CN"/>
              </w:rPr>
            </w:pPr>
          </w:p>
          <w:p w14:paraId="542BAA48">
            <w:pPr>
              <w:pStyle w:val="23"/>
              <w:rPr>
                <w:rFonts w:hint="default" w:ascii="Times New Roman" w:hAnsi="Times New Roman" w:cs="Times New Roman"/>
                <w:color w:val="auto"/>
                <w:highlight w:val="none"/>
                <w:lang w:val="en-US" w:eastAsia="zh-CN"/>
              </w:rPr>
            </w:pPr>
          </w:p>
          <w:p w14:paraId="0173EE1A">
            <w:pPr>
              <w:pStyle w:val="3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 xml:space="preserve">  </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项目生产工艺及产污节点示意图</w:t>
            </w:r>
          </w:p>
          <w:p w14:paraId="7F9B7D9B">
            <w:pPr>
              <w:adjustRightInd w:val="0"/>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生产</w:t>
            </w:r>
            <w:r>
              <w:rPr>
                <w:rFonts w:hint="default" w:ascii="Times New Roman" w:hAnsi="Times New Roman" w:cs="Times New Roman"/>
                <w:color w:val="auto"/>
                <w:highlight w:val="none"/>
              </w:rPr>
              <w:t>工艺简介：</w:t>
            </w:r>
          </w:p>
          <w:p w14:paraId="1E260A1F">
            <w:pPr>
              <w:numPr>
                <w:ilvl w:val="0"/>
                <w:numId w:val="0"/>
              </w:numPr>
              <w:tabs>
                <w:tab w:val="left" w:pos="705"/>
              </w:tabs>
              <w:spacing w:line="360" w:lineRule="auto"/>
              <w:ind w:firstLine="480" w:firstLineChars="200"/>
              <w:rPr>
                <w:rFonts w:hint="default" w:ascii="Times New Roman" w:hAnsi="Times New Roman" w:eastAsia="宋体" w:cs="Times New Roman"/>
                <w:i w:val="0"/>
                <w:iCs w:val="0"/>
                <w:caps w:val="0"/>
                <w:spacing w:val="0"/>
                <w:sz w:val="24"/>
                <w:szCs w:val="24"/>
                <w:shd w:val="clear" w:fill="FFFFFF"/>
                <w:lang w:eastAsia="zh-CN"/>
              </w:rPr>
            </w:pPr>
            <w:r>
              <w:rPr>
                <w:rFonts w:hint="default" w:ascii="Times New Roman" w:hAnsi="Times New Roman" w:eastAsia="宋体" w:cs="Times New Roman"/>
                <w:i w:val="0"/>
                <w:iCs w:val="0"/>
                <w:caps w:val="0"/>
                <w:spacing w:val="0"/>
                <w:kern w:val="2"/>
                <w:sz w:val="24"/>
                <w:szCs w:val="24"/>
                <w:shd w:val="clear" w:fill="FFFFFF"/>
                <w:lang w:val="en-US" w:eastAsia="zh-CN" w:bidi="ar-SA"/>
              </w:rPr>
              <w:t>（1）</w:t>
            </w:r>
            <w:r>
              <w:rPr>
                <w:rFonts w:hint="default" w:ascii="Times New Roman" w:hAnsi="Times New Roman" w:cs="Times New Roman"/>
                <w:color w:val="000000" w:themeColor="text1"/>
                <w:sz w:val="24"/>
                <w:highlight w:val="none"/>
                <w:lang w:val="en-US" w:eastAsia="zh-CN"/>
                <w14:textFill>
                  <w14:solidFill>
                    <w14:schemeClr w14:val="tx1"/>
                  </w14:solidFill>
                </w14:textFill>
              </w:rPr>
              <w:t>将收集到的报废灭火器先检查</w:t>
            </w:r>
            <w:r>
              <w:rPr>
                <w:rFonts w:hint="default" w:ascii="Times New Roman" w:hAnsi="Times New Roman" w:eastAsia="Segoe UI" w:cs="Times New Roman"/>
                <w:i w:val="0"/>
                <w:iCs w:val="0"/>
                <w:caps w:val="0"/>
                <w:spacing w:val="0"/>
                <w:sz w:val="24"/>
                <w:szCs w:val="24"/>
                <w:shd w:val="clear" w:fill="FFFFFF"/>
              </w:rPr>
              <w:t>报废证明，外观检查无泄漏、无爆炸风险</w:t>
            </w:r>
            <w:r>
              <w:rPr>
                <w:rFonts w:hint="default" w:ascii="Times New Roman" w:hAnsi="Times New Roman" w:eastAsia="宋体" w:cs="Times New Roman"/>
                <w:i w:val="0"/>
                <w:iCs w:val="0"/>
                <w:caps w:val="0"/>
                <w:spacing w:val="0"/>
                <w:sz w:val="24"/>
                <w:szCs w:val="24"/>
                <w:shd w:val="clear" w:fill="FFFFFF"/>
                <w:lang w:eastAsia="zh-CN"/>
              </w:rPr>
              <w:t>。</w:t>
            </w:r>
          </w:p>
          <w:p w14:paraId="2AEFA994">
            <w:pPr>
              <w:numPr>
                <w:ilvl w:val="0"/>
                <w:numId w:val="0"/>
              </w:numPr>
              <w:tabs>
                <w:tab w:val="left" w:pos="705"/>
              </w:tabs>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Segoe UI" w:cs="Times New Roman"/>
                <w:i w:val="0"/>
                <w:iCs w:val="0"/>
                <w:caps w:val="0"/>
                <w:spacing w:val="0"/>
                <w:sz w:val="24"/>
                <w:szCs w:val="24"/>
                <w:shd w:val="clear" w:fill="FFFFFF"/>
              </w:rPr>
              <w:t>将灭火器倒置，瓶阀接口对接泄压装置，缓慢开启瓶阀，释放残留气体</w:t>
            </w:r>
            <w:r>
              <w:rPr>
                <w:rFonts w:hint="default" w:ascii="Times New Roman" w:hAnsi="Times New Roman" w:eastAsia="宋体" w:cs="Times New Roman"/>
                <w:i w:val="0"/>
                <w:iCs w:val="0"/>
                <w:caps w:val="0"/>
                <w:spacing w:val="0"/>
                <w:sz w:val="24"/>
                <w:szCs w:val="24"/>
                <w:shd w:val="clear" w:fill="FFFFFF"/>
                <w:lang w:eastAsia="zh-CN"/>
              </w:rPr>
              <w:t>。</w:t>
            </w:r>
          </w:p>
          <w:p w14:paraId="52F37C9D">
            <w:pPr>
              <w:numPr>
                <w:ilvl w:val="0"/>
                <w:numId w:val="0"/>
              </w:numPr>
              <w:tabs>
                <w:tab w:val="left" w:pos="705"/>
              </w:tabs>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Segoe UI" w:cs="Times New Roman"/>
                <w:i w:val="0"/>
                <w:iCs w:val="0"/>
                <w:caps w:val="0"/>
                <w:spacing w:val="0"/>
                <w:sz w:val="24"/>
                <w:szCs w:val="24"/>
                <w:shd w:val="clear" w:fill="FFFFFF"/>
              </w:rPr>
              <w:t>泄压后灭火器通过输送带送入拆解机，固定后用专用夹具旋下瓶阀（铜制，含接口连接件），人工筛选台挑出铜制部件（纯度≥95%），送入 “废铜暂存箱”（密闭式，容量500kg/箱）</w:t>
            </w:r>
            <w:r>
              <w:rPr>
                <w:rFonts w:hint="default" w:ascii="Times New Roman" w:hAnsi="Times New Roman" w:eastAsia="宋体" w:cs="Times New Roman"/>
                <w:i w:val="0"/>
                <w:iCs w:val="0"/>
                <w:caps w:val="0"/>
                <w:spacing w:val="0"/>
                <w:sz w:val="24"/>
                <w:szCs w:val="24"/>
                <w:shd w:val="clear" w:fill="FFFFFF"/>
                <w:lang w:eastAsia="zh-CN"/>
              </w:rPr>
              <w:t>。</w:t>
            </w:r>
          </w:p>
          <w:p w14:paraId="4505B500">
            <w:pPr>
              <w:numPr>
                <w:ilvl w:val="0"/>
                <w:numId w:val="0"/>
              </w:numPr>
              <w:tabs>
                <w:tab w:val="left" w:pos="705"/>
              </w:tabs>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灭火器瓶通过皮带传送，灭火器的阀门及接口连接件为铜制，可由人工提前筛选出来，再到破碎机破碎，破碎后经磁选机分离废铜和钢渣。根据业主提供资料，灭火器漆面为水性涂料，破碎的漆渣属于一般固体废物。</w:t>
            </w:r>
          </w:p>
          <w:p w14:paraId="3D0BFB70">
            <w:pPr>
              <w:numPr>
                <w:ilvl w:val="0"/>
                <w:numId w:val="0"/>
              </w:numPr>
              <w:tabs>
                <w:tab w:val="left" w:pos="705"/>
              </w:tabs>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color w:val="000000" w:themeColor="text1"/>
                <w:sz w:val="24"/>
                <w:highlight w:val="none"/>
                <w:lang w:val="en-US" w:eastAsia="zh-CN"/>
                <w14:textFill>
                  <w14:solidFill>
                    <w14:schemeClr w14:val="tx1"/>
                  </w14:solidFill>
                </w14:textFill>
              </w:rPr>
              <w:t>利用负压吸粉装置将灭火器瓶内残留干粉吸入管道输送至溶解罐。</w:t>
            </w:r>
          </w:p>
          <w:p w14:paraId="0D497C93">
            <w:pPr>
              <w:tabs>
                <w:tab w:val="left" w:pos="705"/>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在溶解罐中加入水，经过</w:t>
            </w:r>
            <w:r>
              <w:rPr>
                <w:rFonts w:hint="default" w:ascii="Times New Roman" w:hAnsi="Times New Roman" w:cs="Times New Roman"/>
                <w:color w:val="000000" w:themeColor="text1"/>
                <w:sz w:val="24"/>
                <w:highlight w:val="none"/>
                <w14:textFill>
                  <w14:solidFill>
                    <w14:schemeClr w14:val="tx1"/>
                  </w14:solidFill>
                </w14:textFill>
              </w:rPr>
              <w:t>电锅炉提供热量</w:t>
            </w:r>
            <w:r>
              <w:rPr>
                <w:rFonts w:hint="default" w:ascii="Times New Roman" w:hAnsi="Times New Roman" w:eastAsia="宋体" w:cs="Times New Roman"/>
                <w:color w:val="000000" w:themeColor="text1"/>
                <w:sz w:val="24"/>
                <w:highlight w:val="none"/>
                <w14:textFill>
                  <w14:solidFill>
                    <w14:schemeClr w14:val="tx1"/>
                  </w14:solidFill>
                </w14:textFill>
              </w:rPr>
              <w:t>升温</w:t>
            </w:r>
            <w:r>
              <w:rPr>
                <w:rFonts w:hint="default" w:ascii="Times New Roman" w:hAnsi="Times New Roman" w:cs="Times New Roman"/>
                <w:color w:val="000000" w:themeColor="text1"/>
                <w:sz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依次</w:t>
            </w:r>
            <w:r>
              <w:rPr>
                <w:rFonts w:hint="default" w:ascii="Times New Roman" w:hAnsi="Times New Roman" w:eastAsia="宋体" w:cs="Times New Roman"/>
                <w:color w:val="000000" w:themeColor="text1"/>
                <w:sz w:val="24"/>
                <w:highlight w:val="none"/>
                <w14:textFill>
                  <w14:solidFill>
                    <w14:schemeClr w14:val="tx1"/>
                  </w14:solidFill>
                </w14:textFill>
              </w:rPr>
              <w:t>搅拌和过滤步骤除去不溶物，不溶物为可回收的滑石粉；</w:t>
            </w:r>
          </w:p>
          <w:p w14:paraId="5E008A6C">
            <w:pPr>
              <w:tabs>
                <w:tab w:val="left" w:pos="705"/>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）将步骤（</w:t>
            </w:r>
            <w:r>
              <w:rPr>
                <w:rFonts w:hint="default" w:ascii="Times New Roman" w:hAnsi="Times New Roman"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）中得到的滤液返回到溶解罐，再加入ABC干粉灭火剂，依次经过升温、搅拌和过滤步骤除去不溶物，不溶物为可回收的滑石粉；</w:t>
            </w:r>
          </w:p>
          <w:p w14:paraId="4C5F9715">
            <w:pPr>
              <w:pStyle w:val="8"/>
              <w:rPr>
                <w:rFonts w:hint="eastAsia" w:eastAsia="宋体"/>
                <w:lang w:eastAsia="zh-CN"/>
              </w:rPr>
            </w:pP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）将步骤（</w:t>
            </w:r>
            <w:r>
              <w:rPr>
                <w:rFonts w:hint="default" w:ascii="Times New Roman" w:hAnsi="Times New Roman"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）中得到的二次滤液再次返回到溶解罐，再加入ABC干粉灭火剂，依次经过升温、搅拌和过滤步骤除去不溶物，不溶物为可回收的滑石粉</w:t>
            </w:r>
            <w:r>
              <w:rPr>
                <w:rFonts w:hint="default" w:ascii="Times New Roman" w:hAnsi="Times New Roman" w:cs="Times New Roman"/>
                <w:color w:val="000000" w:themeColor="text1"/>
                <w:sz w:val="24"/>
                <w:highlight w:val="none"/>
                <w14:textFill>
                  <w14:solidFill>
                    <w14:schemeClr w14:val="tx1"/>
                  </w14:solidFill>
                </w14:textFill>
              </w:rPr>
              <w:t>，滑石粉通过干燥机干燥后</w:t>
            </w:r>
            <w:r>
              <w:rPr>
                <w:rFonts w:hint="default" w:ascii="Times New Roman" w:hAnsi="Times New Roman" w:cs="Times New Roman"/>
                <w:color w:val="auto"/>
                <w:sz w:val="24"/>
                <w:highlight w:val="none"/>
              </w:rPr>
              <w:t>包装，复合肥母液</w:t>
            </w:r>
            <w:r>
              <w:rPr>
                <w:rFonts w:hint="default" w:ascii="Times New Roman" w:hAnsi="Times New Roman" w:cs="Times New Roman"/>
                <w:color w:val="auto"/>
                <w:sz w:val="24"/>
                <w:highlight w:val="none"/>
                <w:lang w:val="en-US" w:eastAsia="zh-CN"/>
              </w:rPr>
              <w:t>打入储罐储存，</w:t>
            </w:r>
            <w:r>
              <w:rPr>
                <w:rFonts w:hint="eastAsia"/>
                <w:lang w:eastAsia="zh-CN"/>
              </w:rPr>
              <w:t>厂内设有</w:t>
            </w:r>
            <w:r>
              <w:rPr>
                <w:rFonts w:hint="eastAsia"/>
                <w:lang w:val="en-US" w:eastAsia="zh-CN"/>
              </w:rPr>
              <w:t>400方</w:t>
            </w:r>
            <w:r>
              <w:rPr>
                <w:rFonts w:hint="eastAsia"/>
                <w:lang w:eastAsia="zh-CN"/>
              </w:rPr>
              <w:t>储罐，先储存后外运</w:t>
            </w:r>
          </w:p>
          <w:p w14:paraId="05216F50">
            <w:pPr>
              <w:keepNext w:val="0"/>
              <w:keepLines w:val="0"/>
              <w:widowControl/>
              <w:suppressLineNumbers w:val="0"/>
              <w:spacing w:before="0" w:beforeAutospacing="0" w:after="0" w:afterAutospacing="0" w:line="240" w:lineRule="auto"/>
              <w:ind w:left="0" w:right="0" w:firstLine="422"/>
              <w:jc w:val="center"/>
              <w:rPr>
                <w:rFonts w:hint="default" w:ascii="Times New Roman" w:hAnsi="Times New Roman" w:cs="Times New Roman"/>
                <w:color w:val="auto"/>
                <w:kern w:val="0"/>
                <w:highlight w:val="none"/>
                <w:lang w:bidi="ar"/>
              </w:rPr>
            </w:pPr>
            <w:r>
              <w:rPr>
                <w:rFonts w:hint="default" w:ascii="Times New Roman" w:hAnsi="Times New Roman" w:cs="Times New Roman"/>
                <w:b/>
                <w:bCs/>
                <w:color w:val="auto"/>
                <w:kern w:val="0"/>
                <w:sz w:val="21"/>
                <w:szCs w:val="21"/>
                <w:highlight w:val="none"/>
                <w:lang w:bidi="ar"/>
              </w:rPr>
              <w:t>表2-</w:t>
            </w:r>
            <w:r>
              <w:rPr>
                <w:rFonts w:hint="default" w:ascii="Times New Roman" w:hAnsi="Times New Roman" w:cs="Times New Roman"/>
                <w:b/>
                <w:bCs/>
                <w:color w:val="auto"/>
                <w:kern w:val="0"/>
                <w:sz w:val="21"/>
                <w:szCs w:val="21"/>
                <w:highlight w:val="none"/>
                <w:lang w:val="en-US" w:eastAsia="zh-CN" w:bidi="ar"/>
              </w:rPr>
              <w:t>10</w:t>
            </w:r>
            <w:r>
              <w:rPr>
                <w:rFonts w:hint="default" w:ascii="Times New Roman" w:hAnsi="Times New Roman" w:cs="Times New Roman"/>
                <w:b/>
                <w:bCs/>
                <w:color w:val="auto"/>
                <w:kern w:val="0"/>
                <w:sz w:val="21"/>
                <w:szCs w:val="21"/>
                <w:highlight w:val="none"/>
                <w:lang w:bidi="ar"/>
              </w:rPr>
              <w:t xml:space="preserve">   </w:t>
            </w:r>
            <w:r>
              <w:rPr>
                <w:rFonts w:hint="default" w:ascii="Times New Roman" w:hAnsi="Times New Roman" w:cs="Times New Roman"/>
                <w:b/>
                <w:color w:val="auto"/>
                <w:sz w:val="21"/>
                <w:szCs w:val="21"/>
              </w:rPr>
              <w:t>运营期污染情况一览表</w:t>
            </w:r>
          </w:p>
          <w:tbl>
            <w:tblPr>
              <w:tblStyle w:val="29"/>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635"/>
              <w:gridCol w:w="1947"/>
              <w:gridCol w:w="1315"/>
              <w:gridCol w:w="2326"/>
            </w:tblGrid>
            <w:tr w14:paraId="7317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1" w:type="dxa"/>
                  <w:noWrap w:val="0"/>
                  <w:vAlign w:val="center"/>
                </w:tcPr>
                <w:p w14:paraId="055444A1">
                  <w:pPr>
                    <w:pStyle w:val="47"/>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项目</w:t>
                  </w:r>
                </w:p>
              </w:tc>
              <w:tc>
                <w:tcPr>
                  <w:tcW w:w="1635" w:type="dxa"/>
                  <w:noWrap w:val="0"/>
                  <w:vAlign w:val="center"/>
                </w:tcPr>
                <w:p w14:paraId="0E87F28B">
                  <w:pPr>
                    <w:pStyle w:val="47"/>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产污工序</w:t>
                  </w:r>
                </w:p>
              </w:tc>
              <w:tc>
                <w:tcPr>
                  <w:tcW w:w="1947" w:type="dxa"/>
                  <w:noWrap w:val="0"/>
                  <w:vAlign w:val="center"/>
                </w:tcPr>
                <w:p w14:paraId="01493452">
                  <w:pPr>
                    <w:pStyle w:val="47"/>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污染物名称</w:t>
                  </w:r>
                </w:p>
              </w:tc>
              <w:tc>
                <w:tcPr>
                  <w:tcW w:w="1315" w:type="dxa"/>
                  <w:noWrap w:val="0"/>
                  <w:vAlign w:val="center"/>
                </w:tcPr>
                <w:p w14:paraId="4C551FC6">
                  <w:pPr>
                    <w:pStyle w:val="47"/>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spacing w:val="6"/>
                      <w:sz w:val="21"/>
                      <w:szCs w:val="21"/>
                    </w:rPr>
                    <w:t>污染因子</w:t>
                  </w:r>
                </w:p>
              </w:tc>
              <w:tc>
                <w:tcPr>
                  <w:tcW w:w="2326" w:type="dxa"/>
                  <w:noWrap w:val="0"/>
                  <w:vAlign w:val="center"/>
                </w:tcPr>
                <w:p w14:paraId="691175B8">
                  <w:pPr>
                    <w:pStyle w:val="47"/>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措施及去向</w:t>
                  </w:r>
                </w:p>
              </w:tc>
            </w:tr>
            <w:tr w14:paraId="34B5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restart"/>
                  <w:noWrap w:val="0"/>
                  <w:vAlign w:val="center"/>
                </w:tcPr>
                <w:p w14:paraId="584EDFB8">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635" w:type="dxa"/>
                  <w:noWrap w:val="0"/>
                  <w:vAlign w:val="center"/>
                </w:tcPr>
                <w:p w14:paraId="357EF34E">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拆解</w:t>
                  </w:r>
                </w:p>
              </w:tc>
              <w:tc>
                <w:tcPr>
                  <w:tcW w:w="1947" w:type="dxa"/>
                  <w:noWrap w:val="0"/>
                  <w:vAlign w:val="center"/>
                </w:tcPr>
                <w:p w14:paraId="626BC5C1">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315" w:type="dxa"/>
                  <w:noWrap w:val="0"/>
                  <w:vAlign w:val="center"/>
                </w:tcPr>
                <w:p w14:paraId="245D171D">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326" w:type="dxa"/>
                  <w:vMerge w:val="restart"/>
                  <w:noWrap w:val="0"/>
                  <w:vAlign w:val="center"/>
                </w:tcPr>
                <w:p w14:paraId="73F69833">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集气罩+脉冲式布袋除尘+15m排气筒</w:t>
                  </w:r>
                </w:p>
              </w:tc>
            </w:tr>
            <w:tr w14:paraId="5937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08B71199">
                  <w:pPr>
                    <w:pStyle w:val="47"/>
                    <w:jc w:val="center"/>
                    <w:rPr>
                      <w:rFonts w:hint="default" w:ascii="Times New Roman" w:hAnsi="Times New Roman" w:eastAsia="宋体" w:cs="Times New Roman"/>
                      <w:color w:val="auto"/>
                      <w:sz w:val="21"/>
                      <w:szCs w:val="21"/>
                      <w:highlight w:val="none"/>
                      <w:lang w:val="en-US" w:eastAsia="zh-CN"/>
                    </w:rPr>
                  </w:pPr>
                </w:p>
              </w:tc>
              <w:tc>
                <w:tcPr>
                  <w:tcW w:w="1635" w:type="dxa"/>
                  <w:shd w:val="clear" w:color="auto" w:fill="auto"/>
                  <w:noWrap w:val="0"/>
                  <w:vAlign w:val="center"/>
                </w:tcPr>
                <w:p w14:paraId="7A2AD0B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过滤（升温、搅拌）</w:t>
                  </w:r>
                </w:p>
              </w:tc>
              <w:tc>
                <w:tcPr>
                  <w:tcW w:w="1947" w:type="dxa"/>
                  <w:noWrap w:val="0"/>
                  <w:vAlign w:val="center"/>
                </w:tcPr>
                <w:p w14:paraId="2404088C">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315" w:type="dxa"/>
                  <w:noWrap w:val="0"/>
                  <w:vAlign w:val="center"/>
                </w:tcPr>
                <w:p w14:paraId="3ED87DDA">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氨气、</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臭气浓度</w:t>
                  </w:r>
                </w:p>
              </w:tc>
              <w:tc>
                <w:tcPr>
                  <w:tcW w:w="2326" w:type="dxa"/>
                  <w:vMerge w:val="continue"/>
                  <w:noWrap w:val="0"/>
                  <w:vAlign w:val="center"/>
                </w:tcPr>
                <w:p w14:paraId="37116392">
                  <w:pPr>
                    <w:pStyle w:val="47"/>
                    <w:jc w:val="center"/>
                    <w:rPr>
                      <w:rFonts w:hint="default" w:ascii="Times New Roman" w:hAnsi="Times New Roman" w:eastAsia="宋体" w:cs="Times New Roman"/>
                      <w:color w:val="auto"/>
                      <w:sz w:val="21"/>
                      <w:szCs w:val="21"/>
                      <w:highlight w:val="none"/>
                      <w:lang w:val="en-US" w:eastAsia="zh-CN"/>
                    </w:rPr>
                  </w:pPr>
                </w:p>
              </w:tc>
            </w:tr>
            <w:tr w14:paraId="5B94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712EB442">
                  <w:pPr>
                    <w:pStyle w:val="47"/>
                    <w:jc w:val="center"/>
                    <w:rPr>
                      <w:rFonts w:hint="default" w:ascii="Times New Roman" w:hAnsi="Times New Roman" w:eastAsia="宋体" w:cs="Times New Roman"/>
                      <w:color w:val="auto"/>
                      <w:sz w:val="21"/>
                      <w:szCs w:val="21"/>
                      <w:highlight w:val="none"/>
                      <w:lang w:val="en-US" w:eastAsia="zh-CN"/>
                    </w:rPr>
                  </w:pPr>
                </w:p>
              </w:tc>
              <w:tc>
                <w:tcPr>
                  <w:tcW w:w="1635" w:type="dxa"/>
                  <w:shd w:val="clear" w:color="auto" w:fill="auto"/>
                  <w:noWrap w:val="0"/>
                  <w:vAlign w:val="center"/>
                </w:tcPr>
                <w:p w14:paraId="2AF7AA12">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破碎</w:t>
                  </w:r>
                </w:p>
              </w:tc>
              <w:tc>
                <w:tcPr>
                  <w:tcW w:w="1947" w:type="dxa"/>
                  <w:noWrap w:val="0"/>
                  <w:vAlign w:val="center"/>
                </w:tcPr>
                <w:p w14:paraId="4C28A949">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315" w:type="dxa"/>
                  <w:noWrap w:val="0"/>
                  <w:vAlign w:val="center"/>
                </w:tcPr>
                <w:p w14:paraId="5EBC9E9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326" w:type="dxa"/>
                  <w:noWrap w:val="0"/>
                  <w:vAlign w:val="center"/>
                </w:tcPr>
                <w:p w14:paraId="3B9BA085">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集气罩+脉冲式布袋除尘+15m排气筒</w:t>
                  </w:r>
                </w:p>
              </w:tc>
            </w:tr>
            <w:tr w14:paraId="7818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193A4AB6">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restart"/>
                  <w:shd w:val="clear" w:color="auto" w:fill="auto"/>
                  <w:noWrap w:val="0"/>
                  <w:vAlign w:val="center"/>
                </w:tcPr>
                <w:p w14:paraId="403A36F3">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干燥、包装滑石粉</w:t>
                  </w:r>
                </w:p>
              </w:tc>
              <w:tc>
                <w:tcPr>
                  <w:tcW w:w="1947" w:type="dxa"/>
                  <w:vMerge w:val="restart"/>
                  <w:noWrap w:val="0"/>
                  <w:vAlign w:val="center"/>
                </w:tcPr>
                <w:p w14:paraId="5F9E2915">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315" w:type="dxa"/>
                  <w:noWrap w:val="0"/>
                  <w:vAlign w:val="center"/>
                </w:tcPr>
                <w:p w14:paraId="29FB6B6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氨气</w:t>
                  </w:r>
                </w:p>
              </w:tc>
              <w:tc>
                <w:tcPr>
                  <w:tcW w:w="2326" w:type="dxa"/>
                  <w:noWrap w:val="0"/>
                  <w:vAlign w:val="center"/>
                </w:tcPr>
                <w:p w14:paraId="2DB1B231">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集气罩+15m排气筒</w:t>
                  </w:r>
                </w:p>
              </w:tc>
            </w:tr>
            <w:tr w14:paraId="1225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713BEB8D">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continue"/>
                  <w:shd w:val="clear" w:color="auto" w:fill="auto"/>
                  <w:noWrap w:val="0"/>
                  <w:vAlign w:val="center"/>
                </w:tcPr>
                <w:p w14:paraId="106BF61E">
                  <w:pPr>
                    <w:pStyle w:val="47"/>
                    <w:jc w:val="center"/>
                    <w:rPr>
                      <w:rFonts w:hint="default" w:ascii="Times New Roman" w:hAnsi="Times New Roman" w:eastAsia="宋体" w:cs="Times New Roman"/>
                      <w:color w:val="auto"/>
                      <w:sz w:val="21"/>
                      <w:szCs w:val="21"/>
                      <w:highlight w:val="none"/>
                      <w:lang w:val="en-US" w:eastAsia="zh-CN"/>
                    </w:rPr>
                  </w:pPr>
                </w:p>
              </w:tc>
              <w:tc>
                <w:tcPr>
                  <w:tcW w:w="1947" w:type="dxa"/>
                  <w:vMerge w:val="continue"/>
                  <w:noWrap w:val="0"/>
                  <w:vAlign w:val="center"/>
                </w:tcPr>
                <w:p w14:paraId="010BE6AD">
                  <w:pPr>
                    <w:pStyle w:val="47"/>
                    <w:jc w:val="center"/>
                    <w:rPr>
                      <w:rFonts w:hint="default" w:ascii="Times New Roman" w:hAnsi="Times New Roman" w:eastAsia="宋体" w:cs="Times New Roman"/>
                      <w:color w:val="auto"/>
                      <w:sz w:val="21"/>
                      <w:szCs w:val="21"/>
                      <w:highlight w:val="none"/>
                      <w:lang w:val="en-US" w:eastAsia="zh-CN"/>
                    </w:rPr>
                  </w:pPr>
                </w:p>
              </w:tc>
              <w:tc>
                <w:tcPr>
                  <w:tcW w:w="1315" w:type="dxa"/>
                  <w:noWrap w:val="0"/>
                  <w:vAlign w:val="center"/>
                </w:tcPr>
                <w:p w14:paraId="47FD0D9C">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326" w:type="dxa"/>
                  <w:noWrap w:val="0"/>
                  <w:vAlign w:val="center"/>
                </w:tcPr>
                <w:p w14:paraId="6E5BA429">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集气罩+脉冲式布袋除尘+15m排气筒</w:t>
                  </w:r>
                </w:p>
              </w:tc>
            </w:tr>
            <w:tr w14:paraId="78EA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1BD3FDA7">
                  <w:pPr>
                    <w:pStyle w:val="47"/>
                    <w:jc w:val="center"/>
                    <w:rPr>
                      <w:rFonts w:hint="default" w:ascii="Times New Roman" w:hAnsi="Times New Roman" w:eastAsia="宋体" w:cs="Times New Roman"/>
                      <w:color w:val="auto"/>
                      <w:sz w:val="21"/>
                      <w:szCs w:val="21"/>
                      <w:highlight w:val="none"/>
                      <w:lang w:val="en-US" w:eastAsia="zh-CN"/>
                    </w:rPr>
                  </w:pPr>
                </w:p>
              </w:tc>
              <w:tc>
                <w:tcPr>
                  <w:tcW w:w="1635" w:type="dxa"/>
                  <w:shd w:val="clear" w:color="auto" w:fill="auto"/>
                  <w:noWrap w:val="0"/>
                  <w:vAlign w:val="top"/>
                </w:tcPr>
                <w:p w14:paraId="1AAACDBD">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1947" w:type="dxa"/>
                  <w:shd w:val="clear" w:color="auto" w:fill="auto"/>
                  <w:noWrap w:val="0"/>
                  <w:vAlign w:val="top"/>
                </w:tcPr>
                <w:p w14:paraId="17C5CBB5">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饮食油烟</w:t>
                  </w:r>
                </w:p>
              </w:tc>
              <w:tc>
                <w:tcPr>
                  <w:tcW w:w="1315" w:type="dxa"/>
                  <w:shd w:val="clear" w:color="auto" w:fill="auto"/>
                  <w:noWrap w:val="0"/>
                  <w:vAlign w:val="top"/>
                </w:tcPr>
                <w:p w14:paraId="5EA7D643">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油烟</w:t>
                  </w:r>
                </w:p>
              </w:tc>
              <w:tc>
                <w:tcPr>
                  <w:tcW w:w="2326" w:type="dxa"/>
                  <w:shd w:val="clear" w:color="auto" w:fill="auto"/>
                  <w:noWrap w:val="0"/>
                  <w:vAlign w:val="top"/>
                </w:tcPr>
                <w:p w14:paraId="31A25C79">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集气罩+油烟净化设施</w:t>
                  </w:r>
                </w:p>
              </w:tc>
            </w:tr>
            <w:tr w14:paraId="5DE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noWrap w:val="0"/>
                  <w:vAlign w:val="center"/>
                </w:tcPr>
                <w:p w14:paraId="65B32310">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1635" w:type="dxa"/>
                  <w:noWrap w:val="0"/>
                  <w:vAlign w:val="center"/>
                </w:tcPr>
                <w:p w14:paraId="3D83689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生活办公</w:t>
                  </w:r>
                </w:p>
              </w:tc>
              <w:tc>
                <w:tcPr>
                  <w:tcW w:w="1947" w:type="dxa"/>
                  <w:noWrap w:val="0"/>
                  <w:vAlign w:val="center"/>
                </w:tcPr>
                <w:p w14:paraId="7687F79B">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315" w:type="dxa"/>
                  <w:noWrap w:val="0"/>
                  <w:vAlign w:val="center"/>
                </w:tcPr>
                <w:p w14:paraId="36D01BAA">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/SS/氨氮</w:t>
                  </w:r>
                </w:p>
              </w:tc>
              <w:tc>
                <w:tcPr>
                  <w:tcW w:w="2326" w:type="dxa"/>
                  <w:noWrap w:val="0"/>
                  <w:vAlign w:val="center"/>
                </w:tcPr>
                <w:p w14:paraId="53C44767">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经隔油池处理后排入园区污水管网</w:t>
                  </w:r>
                </w:p>
              </w:tc>
            </w:tr>
            <w:tr w14:paraId="527F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noWrap w:val="0"/>
                  <w:vAlign w:val="center"/>
                </w:tcPr>
                <w:p w14:paraId="558EE114">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1635" w:type="dxa"/>
                  <w:noWrap w:val="0"/>
                  <w:vAlign w:val="center"/>
                </w:tcPr>
                <w:p w14:paraId="3179190F">
                  <w:pPr>
                    <w:pStyle w:val="47"/>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val="en-US" w:eastAsia="zh-CN"/>
                    </w:rPr>
                    <w:t>、搅拌</w:t>
                  </w:r>
                </w:p>
              </w:tc>
              <w:tc>
                <w:tcPr>
                  <w:tcW w:w="1947" w:type="dxa"/>
                  <w:noWrap w:val="0"/>
                  <w:vAlign w:val="center"/>
                </w:tcPr>
                <w:p w14:paraId="72956013">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w:t>
                  </w:r>
                </w:p>
              </w:tc>
              <w:tc>
                <w:tcPr>
                  <w:tcW w:w="1315" w:type="dxa"/>
                  <w:noWrap w:val="0"/>
                  <w:vAlign w:val="center"/>
                </w:tcPr>
                <w:p w14:paraId="5B907712">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A声级</w:t>
                  </w:r>
                </w:p>
              </w:tc>
              <w:tc>
                <w:tcPr>
                  <w:tcW w:w="2326" w:type="dxa"/>
                  <w:noWrap w:val="0"/>
                  <w:vAlign w:val="center"/>
                </w:tcPr>
                <w:p w14:paraId="71916524">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厂房隔声，设备基础</w:t>
                  </w:r>
                  <w:r>
                    <w:rPr>
                      <w:rFonts w:hint="eastAsia" w:ascii="Times New Roman" w:hAnsi="Times New Roman" w:cs="Times New Roman"/>
                      <w:color w:val="auto"/>
                      <w:sz w:val="21"/>
                      <w:szCs w:val="21"/>
                      <w:highlight w:val="none"/>
                      <w:lang w:val="en-US" w:eastAsia="zh-CN"/>
                    </w:rPr>
                    <w:t>减振</w:t>
                  </w:r>
                  <w:r>
                    <w:rPr>
                      <w:rFonts w:hint="default" w:ascii="Times New Roman" w:hAnsi="Times New Roman" w:eastAsia="宋体" w:cs="Times New Roman"/>
                      <w:color w:val="auto"/>
                      <w:sz w:val="21"/>
                      <w:szCs w:val="21"/>
                      <w:highlight w:val="none"/>
                      <w:lang w:val="en-US" w:eastAsia="zh-CN"/>
                    </w:rPr>
                    <w:t>并安装消声器</w:t>
                  </w:r>
                </w:p>
              </w:tc>
            </w:tr>
            <w:tr w14:paraId="5A17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restart"/>
                  <w:noWrap w:val="0"/>
                  <w:vAlign w:val="center"/>
                </w:tcPr>
                <w:p w14:paraId="7F46BA79">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1635" w:type="dxa"/>
                  <w:shd w:val="clear" w:color="auto" w:fill="auto"/>
                  <w:noWrap w:val="0"/>
                  <w:vAlign w:val="top"/>
                </w:tcPr>
                <w:p w14:paraId="6A776FC7">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办公生活</w:t>
                  </w:r>
                </w:p>
              </w:tc>
              <w:tc>
                <w:tcPr>
                  <w:tcW w:w="1947" w:type="dxa"/>
                  <w:shd w:val="clear" w:color="auto" w:fill="auto"/>
                  <w:noWrap w:val="0"/>
                  <w:vAlign w:val="top"/>
                </w:tcPr>
                <w:p w14:paraId="368ED645">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生活垃圾</w:t>
                  </w:r>
                </w:p>
              </w:tc>
              <w:tc>
                <w:tcPr>
                  <w:tcW w:w="1315" w:type="dxa"/>
                  <w:shd w:val="clear" w:color="auto" w:fill="auto"/>
                  <w:noWrap w:val="0"/>
                  <w:vAlign w:val="top"/>
                </w:tcPr>
                <w:p w14:paraId="548DAE2A">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w:t>
                  </w:r>
                </w:p>
              </w:tc>
              <w:tc>
                <w:tcPr>
                  <w:tcW w:w="2326" w:type="dxa"/>
                  <w:shd w:val="clear" w:color="auto" w:fill="auto"/>
                  <w:noWrap w:val="0"/>
                  <w:vAlign w:val="top"/>
                </w:tcPr>
                <w:p w14:paraId="166D8858">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环卫部门统一清理</w:t>
                  </w:r>
                </w:p>
              </w:tc>
            </w:tr>
            <w:tr w14:paraId="1EDF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2125570F">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restart"/>
                  <w:shd w:val="clear" w:color="auto" w:fill="auto"/>
                  <w:noWrap w:val="0"/>
                  <w:vAlign w:val="center"/>
                </w:tcPr>
                <w:p w14:paraId="44C10591">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生产固废</w:t>
                  </w:r>
                </w:p>
              </w:tc>
              <w:tc>
                <w:tcPr>
                  <w:tcW w:w="1947" w:type="dxa"/>
                  <w:shd w:val="clear" w:color="auto" w:fill="auto"/>
                  <w:noWrap w:val="0"/>
                  <w:vAlign w:val="center"/>
                </w:tcPr>
                <w:p w14:paraId="1C90D2B3">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废铜</w:t>
                  </w:r>
                </w:p>
              </w:tc>
              <w:tc>
                <w:tcPr>
                  <w:tcW w:w="1315" w:type="dxa"/>
                  <w:shd w:val="clear" w:color="auto" w:fill="auto"/>
                  <w:noWrap w:val="0"/>
                  <w:vAlign w:val="center"/>
                </w:tcPr>
                <w:p w14:paraId="4661CDED">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一般废物</w:t>
                  </w:r>
                </w:p>
              </w:tc>
              <w:tc>
                <w:tcPr>
                  <w:tcW w:w="2326" w:type="dxa"/>
                  <w:shd w:val="clear" w:color="auto" w:fill="auto"/>
                  <w:noWrap w:val="0"/>
                  <w:vAlign w:val="top"/>
                </w:tcPr>
                <w:p w14:paraId="5A95838C">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外售</w:t>
                  </w:r>
                </w:p>
              </w:tc>
            </w:tr>
            <w:tr w14:paraId="531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2AD466D2">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continue"/>
                  <w:shd w:val="clear" w:color="auto" w:fill="auto"/>
                  <w:noWrap w:val="0"/>
                  <w:vAlign w:val="center"/>
                </w:tcPr>
                <w:p w14:paraId="6A6C8D6A">
                  <w:pPr>
                    <w:pStyle w:val="47"/>
                    <w:jc w:val="center"/>
                    <w:rPr>
                      <w:rFonts w:hint="default" w:ascii="Times New Roman" w:hAnsi="Times New Roman" w:eastAsia="宋体" w:cs="Times New Roman"/>
                      <w:color w:val="auto"/>
                      <w:sz w:val="21"/>
                      <w:szCs w:val="21"/>
                      <w:highlight w:val="none"/>
                      <w:lang w:val="en-US" w:eastAsia="zh-CN"/>
                    </w:rPr>
                  </w:pPr>
                </w:p>
              </w:tc>
              <w:tc>
                <w:tcPr>
                  <w:tcW w:w="1947" w:type="dxa"/>
                  <w:shd w:val="clear" w:color="auto" w:fill="auto"/>
                  <w:noWrap w:val="0"/>
                  <w:vAlign w:val="center"/>
                </w:tcPr>
                <w:p w14:paraId="3B9EA119">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钢渣</w:t>
                  </w:r>
                </w:p>
              </w:tc>
              <w:tc>
                <w:tcPr>
                  <w:tcW w:w="1315" w:type="dxa"/>
                  <w:shd w:val="clear" w:color="auto" w:fill="auto"/>
                  <w:noWrap w:val="0"/>
                  <w:vAlign w:val="center"/>
                </w:tcPr>
                <w:p w14:paraId="14E04B2E">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一般废物</w:t>
                  </w:r>
                </w:p>
              </w:tc>
              <w:tc>
                <w:tcPr>
                  <w:tcW w:w="2326" w:type="dxa"/>
                  <w:shd w:val="clear" w:color="auto" w:fill="auto"/>
                  <w:noWrap w:val="0"/>
                  <w:vAlign w:val="top"/>
                </w:tcPr>
                <w:p w14:paraId="3CA51781">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外售</w:t>
                  </w:r>
                </w:p>
              </w:tc>
            </w:tr>
            <w:tr w14:paraId="316A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31A01919">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continue"/>
                  <w:shd w:val="clear" w:color="auto" w:fill="auto"/>
                  <w:noWrap w:val="0"/>
                  <w:vAlign w:val="center"/>
                </w:tcPr>
                <w:p w14:paraId="6A022AD7">
                  <w:pPr>
                    <w:pStyle w:val="47"/>
                    <w:jc w:val="center"/>
                    <w:rPr>
                      <w:rFonts w:hint="default" w:ascii="Times New Roman" w:hAnsi="Times New Roman" w:eastAsia="宋体" w:cs="Times New Roman"/>
                      <w:color w:val="auto"/>
                      <w:sz w:val="21"/>
                      <w:szCs w:val="21"/>
                      <w:highlight w:val="none"/>
                      <w:lang w:val="en-US" w:eastAsia="zh-CN"/>
                    </w:rPr>
                  </w:pPr>
                </w:p>
              </w:tc>
              <w:tc>
                <w:tcPr>
                  <w:tcW w:w="1947" w:type="dxa"/>
                  <w:shd w:val="clear" w:color="auto" w:fill="auto"/>
                  <w:noWrap w:val="0"/>
                  <w:vAlign w:val="center"/>
                </w:tcPr>
                <w:p w14:paraId="4609B472">
                  <w:pPr>
                    <w:pStyle w:val="47"/>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漆渣</w:t>
                  </w:r>
                </w:p>
              </w:tc>
              <w:tc>
                <w:tcPr>
                  <w:tcW w:w="1315" w:type="dxa"/>
                  <w:shd w:val="clear" w:color="auto" w:fill="auto"/>
                  <w:noWrap w:val="0"/>
                  <w:vAlign w:val="center"/>
                </w:tcPr>
                <w:p w14:paraId="2E162B20">
                  <w:pPr>
                    <w:pStyle w:val="47"/>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一般废物</w:t>
                  </w:r>
                </w:p>
              </w:tc>
              <w:tc>
                <w:tcPr>
                  <w:tcW w:w="2326" w:type="dxa"/>
                  <w:shd w:val="clear" w:color="auto" w:fill="auto"/>
                  <w:noWrap w:val="0"/>
                  <w:vAlign w:val="top"/>
                </w:tcPr>
                <w:p w14:paraId="00FBBAEB">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外售</w:t>
                  </w:r>
                </w:p>
              </w:tc>
            </w:tr>
            <w:tr w14:paraId="619D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06A8D2E6">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restart"/>
                  <w:noWrap w:val="0"/>
                  <w:vAlign w:val="center"/>
                </w:tcPr>
                <w:p w14:paraId="03FD0F36">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1947" w:type="dxa"/>
                  <w:shd w:val="clear" w:color="auto" w:fill="auto"/>
                  <w:noWrap w:val="0"/>
                  <w:vAlign w:val="top"/>
                </w:tcPr>
                <w:p w14:paraId="4484B87C">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隔油池废油脂</w:t>
                  </w:r>
                </w:p>
              </w:tc>
              <w:tc>
                <w:tcPr>
                  <w:tcW w:w="1315" w:type="dxa"/>
                  <w:shd w:val="clear" w:color="auto" w:fill="auto"/>
                  <w:noWrap w:val="0"/>
                  <w:vAlign w:val="top"/>
                </w:tcPr>
                <w:p w14:paraId="3A56691E">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一般废物</w:t>
                  </w:r>
                </w:p>
              </w:tc>
              <w:tc>
                <w:tcPr>
                  <w:tcW w:w="2326" w:type="dxa"/>
                  <w:vMerge w:val="restart"/>
                  <w:shd w:val="clear" w:color="auto" w:fill="auto"/>
                  <w:noWrap w:val="0"/>
                  <w:vAlign w:val="center"/>
                </w:tcPr>
                <w:p w14:paraId="001AC061">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专门的公司回收</w:t>
                  </w:r>
                </w:p>
              </w:tc>
            </w:tr>
            <w:tr w14:paraId="526D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2E993126">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continue"/>
                  <w:noWrap w:val="0"/>
                  <w:vAlign w:val="center"/>
                </w:tcPr>
                <w:p w14:paraId="176036B3">
                  <w:pPr>
                    <w:pStyle w:val="47"/>
                    <w:jc w:val="center"/>
                    <w:rPr>
                      <w:rFonts w:hint="default" w:ascii="Times New Roman" w:hAnsi="Times New Roman" w:eastAsia="宋体" w:cs="Times New Roman"/>
                      <w:color w:val="auto"/>
                      <w:sz w:val="21"/>
                      <w:szCs w:val="21"/>
                      <w:highlight w:val="none"/>
                      <w:lang w:val="en-US" w:eastAsia="zh-CN"/>
                    </w:rPr>
                  </w:pPr>
                </w:p>
              </w:tc>
              <w:tc>
                <w:tcPr>
                  <w:tcW w:w="1947" w:type="dxa"/>
                  <w:shd w:val="clear" w:color="auto" w:fill="auto"/>
                  <w:noWrap w:val="0"/>
                  <w:vAlign w:val="top"/>
                </w:tcPr>
                <w:p w14:paraId="4A609E90">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15" w:type="dxa"/>
                  <w:shd w:val="clear" w:color="auto" w:fill="auto"/>
                  <w:noWrap w:val="0"/>
                  <w:vAlign w:val="top"/>
                </w:tcPr>
                <w:p w14:paraId="3EA82CAC">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一般废物</w:t>
                  </w:r>
                </w:p>
              </w:tc>
              <w:tc>
                <w:tcPr>
                  <w:tcW w:w="2326" w:type="dxa"/>
                  <w:vMerge w:val="continue"/>
                  <w:shd w:val="clear" w:color="auto" w:fill="auto"/>
                  <w:noWrap w:val="0"/>
                  <w:vAlign w:val="center"/>
                </w:tcPr>
                <w:p w14:paraId="1BDBE704">
                  <w:pPr>
                    <w:pStyle w:val="47"/>
                    <w:jc w:val="center"/>
                    <w:rPr>
                      <w:rFonts w:hint="default" w:ascii="Times New Roman" w:hAnsi="Times New Roman" w:eastAsia="宋体" w:cs="Times New Roman"/>
                      <w:color w:val="auto"/>
                      <w:sz w:val="21"/>
                      <w:szCs w:val="21"/>
                      <w:highlight w:val="none"/>
                      <w:lang w:val="en-US" w:eastAsia="zh-CN"/>
                    </w:rPr>
                  </w:pPr>
                </w:p>
              </w:tc>
            </w:tr>
            <w:tr w14:paraId="20DA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108307D3">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restart"/>
                  <w:shd w:val="clear" w:color="auto" w:fill="auto"/>
                  <w:noWrap w:val="0"/>
                  <w:vAlign w:val="center"/>
                </w:tcPr>
                <w:p w14:paraId="6C350B47">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947" w:type="dxa"/>
                  <w:shd w:val="clear" w:color="auto" w:fill="auto"/>
                  <w:noWrap w:val="0"/>
                  <w:vAlign w:val="center"/>
                </w:tcPr>
                <w:p w14:paraId="05582D80">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废布袋</w:t>
                  </w:r>
                </w:p>
              </w:tc>
              <w:tc>
                <w:tcPr>
                  <w:tcW w:w="1315" w:type="dxa"/>
                  <w:shd w:val="clear" w:color="auto" w:fill="auto"/>
                  <w:noWrap w:val="0"/>
                  <w:vAlign w:val="center"/>
                </w:tcPr>
                <w:p w14:paraId="3C977EDE">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危险废物</w:t>
                  </w:r>
                </w:p>
              </w:tc>
              <w:tc>
                <w:tcPr>
                  <w:tcW w:w="2326" w:type="dxa"/>
                  <w:shd w:val="clear" w:color="auto" w:fill="auto"/>
                  <w:noWrap w:val="0"/>
                  <w:vAlign w:val="center"/>
                </w:tcPr>
                <w:p w14:paraId="4A6C159A">
                  <w:pPr>
                    <w:pStyle w:val="47"/>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委托有资质单位处置</w:t>
                  </w:r>
                </w:p>
              </w:tc>
            </w:tr>
            <w:tr w14:paraId="0759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1F1183C6">
                  <w:pPr>
                    <w:pStyle w:val="47"/>
                    <w:jc w:val="center"/>
                    <w:rPr>
                      <w:rFonts w:hint="default" w:ascii="Times New Roman" w:hAnsi="Times New Roman" w:eastAsia="宋体" w:cs="Times New Roman"/>
                      <w:color w:val="auto"/>
                      <w:sz w:val="21"/>
                      <w:szCs w:val="21"/>
                      <w:highlight w:val="none"/>
                      <w:lang w:val="en-US" w:eastAsia="zh-CN"/>
                    </w:rPr>
                  </w:pPr>
                </w:p>
              </w:tc>
              <w:tc>
                <w:tcPr>
                  <w:tcW w:w="1635" w:type="dxa"/>
                  <w:vMerge w:val="continue"/>
                  <w:shd w:val="clear" w:color="auto" w:fill="auto"/>
                  <w:noWrap w:val="0"/>
                  <w:vAlign w:val="center"/>
                </w:tcPr>
                <w:p w14:paraId="3A9D7D20">
                  <w:pPr>
                    <w:pStyle w:val="47"/>
                    <w:jc w:val="center"/>
                    <w:rPr>
                      <w:rFonts w:hint="default" w:ascii="Times New Roman" w:hAnsi="Times New Roman" w:eastAsia="宋体" w:cs="Times New Roman"/>
                      <w:color w:val="auto"/>
                      <w:sz w:val="21"/>
                      <w:szCs w:val="21"/>
                      <w:highlight w:val="none"/>
                      <w:lang w:val="en-US" w:eastAsia="zh-CN"/>
                    </w:rPr>
                  </w:pPr>
                </w:p>
              </w:tc>
              <w:tc>
                <w:tcPr>
                  <w:tcW w:w="1947" w:type="dxa"/>
                  <w:shd w:val="clear" w:color="auto" w:fill="auto"/>
                  <w:noWrap w:val="0"/>
                  <w:vAlign w:val="center"/>
                </w:tcPr>
                <w:p w14:paraId="71845877">
                  <w:pPr>
                    <w:pStyle w:val="47"/>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收集灰尘</w:t>
                  </w:r>
                </w:p>
              </w:tc>
              <w:tc>
                <w:tcPr>
                  <w:tcW w:w="1315" w:type="dxa"/>
                  <w:shd w:val="clear" w:color="auto" w:fill="auto"/>
                  <w:noWrap w:val="0"/>
                  <w:vAlign w:val="center"/>
                </w:tcPr>
                <w:p w14:paraId="5345DADF">
                  <w:pPr>
                    <w:pStyle w:val="47"/>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yellow"/>
                      <w:lang w:val="en-US" w:eastAsia="zh-CN"/>
                    </w:rPr>
                    <w:t>危险废物</w:t>
                  </w:r>
                </w:p>
              </w:tc>
              <w:tc>
                <w:tcPr>
                  <w:tcW w:w="2326" w:type="dxa"/>
                  <w:shd w:val="clear" w:color="auto" w:fill="auto"/>
                  <w:noWrap w:val="0"/>
                  <w:vAlign w:val="top"/>
                </w:tcPr>
                <w:p w14:paraId="12E31776">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委托有资质单位处置</w:t>
                  </w:r>
                </w:p>
              </w:tc>
            </w:tr>
            <w:tr w14:paraId="6442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Merge w:val="continue"/>
                  <w:noWrap w:val="0"/>
                  <w:vAlign w:val="center"/>
                </w:tcPr>
                <w:p w14:paraId="4F114C93">
                  <w:pPr>
                    <w:pStyle w:val="47"/>
                    <w:jc w:val="center"/>
                    <w:rPr>
                      <w:rFonts w:hint="default" w:ascii="Times New Roman" w:hAnsi="Times New Roman" w:eastAsia="宋体" w:cs="Times New Roman"/>
                      <w:color w:val="auto"/>
                      <w:sz w:val="21"/>
                      <w:szCs w:val="21"/>
                      <w:highlight w:val="none"/>
                      <w:lang w:val="en-US" w:eastAsia="zh-CN"/>
                    </w:rPr>
                  </w:pPr>
                </w:p>
              </w:tc>
              <w:tc>
                <w:tcPr>
                  <w:tcW w:w="1635" w:type="dxa"/>
                  <w:shd w:val="clear" w:color="auto" w:fill="auto"/>
                  <w:noWrap w:val="0"/>
                  <w:vAlign w:val="center"/>
                </w:tcPr>
                <w:p w14:paraId="5BA56A25">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设备维修保养</w:t>
                  </w:r>
                </w:p>
              </w:tc>
              <w:tc>
                <w:tcPr>
                  <w:tcW w:w="1947" w:type="dxa"/>
                  <w:shd w:val="clear" w:color="auto" w:fill="auto"/>
                  <w:noWrap w:val="0"/>
                  <w:vAlign w:val="top"/>
                </w:tcPr>
                <w:p w14:paraId="5E826B98">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废矿物油、废油桶</w:t>
                  </w:r>
                </w:p>
              </w:tc>
              <w:tc>
                <w:tcPr>
                  <w:tcW w:w="1315" w:type="dxa"/>
                  <w:shd w:val="clear" w:color="auto" w:fill="auto"/>
                  <w:noWrap w:val="0"/>
                  <w:vAlign w:val="top"/>
                </w:tcPr>
                <w:p w14:paraId="682BEE3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2326" w:type="dxa"/>
                  <w:shd w:val="clear" w:color="auto" w:fill="auto"/>
                  <w:noWrap w:val="0"/>
                  <w:vAlign w:val="top"/>
                </w:tcPr>
                <w:p w14:paraId="4FC94770">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委托有资质单位处置</w:t>
                  </w:r>
                </w:p>
              </w:tc>
            </w:tr>
          </w:tbl>
          <w:p w14:paraId="6B63A226">
            <w:pPr>
              <w:tabs>
                <w:tab w:val="left" w:pos="1205"/>
              </w:tabs>
              <w:bidi w:val="0"/>
              <w:jc w:val="left"/>
              <w:rPr>
                <w:rFonts w:hint="default" w:ascii="Times New Roman" w:hAnsi="Times New Roman" w:eastAsia="宋体" w:cs="Times New Roman"/>
                <w:kern w:val="2"/>
                <w:sz w:val="24"/>
                <w:szCs w:val="24"/>
                <w:lang w:val="en-US" w:eastAsia="zh-CN" w:bidi="ar-SA"/>
              </w:rPr>
            </w:pPr>
          </w:p>
        </w:tc>
      </w:tr>
      <w:tr w14:paraId="7F003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 w:type="dxa"/>
            <w:vAlign w:val="center"/>
          </w:tcPr>
          <w:p w14:paraId="6D92837E">
            <w:pPr>
              <w:adjustRightInd w:val="0"/>
              <w:snapToGrid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与项目有关的原有环境污染问题</w:t>
            </w:r>
          </w:p>
        </w:tc>
        <w:tc>
          <w:tcPr>
            <w:tcW w:w="8047" w:type="dxa"/>
          </w:tcPr>
          <w:p w14:paraId="1527507A">
            <w:pPr>
              <w:adjustRightInd w:val="0"/>
              <w:snapToGrid w:val="0"/>
              <w:ind w:left="0" w:leftChars="0" w:firstLine="480" w:firstLineChars="200"/>
              <w:rPr>
                <w:rFonts w:hint="default" w:ascii="Times New Roman" w:hAnsi="Times New Roman" w:cs="Times New Roman"/>
                <w:spacing w:val="-8"/>
              </w:rPr>
            </w:pPr>
            <w:r>
              <w:rPr>
                <w:rFonts w:hint="default" w:ascii="Times New Roman" w:hAnsi="Times New Roman" w:cs="Times New Roman"/>
                <w:color w:val="auto"/>
                <w:highlight w:val="none"/>
              </w:rPr>
              <w:t>本项目属于新建项目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项目区现状为空地</w:t>
            </w:r>
            <w:r>
              <w:rPr>
                <w:rFonts w:hint="default" w:ascii="Times New Roman" w:hAnsi="Times New Roman" w:cs="Times New Roman"/>
                <w:spacing w:val="-3"/>
              </w:rPr>
              <w:t>，</w:t>
            </w:r>
            <w:r>
              <w:rPr>
                <w:rFonts w:hint="default" w:ascii="Times New Roman" w:hAnsi="Times New Roman" w:cs="Times New Roman"/>
                <w:spacing w:val="-4"/>
              </w:rPr>
              <w:t>故无原有污染物和原有环境</w:t>
            </w:r>
            <w:r>
              <w:rPr>
                <w:rFonts w:hint="default" w:ascii="Times New Roman" w:hAnsi="Times New Roman" w:cs="Times New Roman"/>
                <w:spacing w:val="-8"/>
              </w:rPr>
              <w:t>问题产生。</w:t>
            </w:r>
          </w:p>
          <w:p w14:paraId="6D66445C">
            <w:pPr>
              <w:pStyle w:val="9"/>
              <w:rPr>
                <w:rFonts w:hint="default" w:ascii="Times New Roman" w:hAnsi="Times New Roman" w:cs="Times New Roman"/>
                <w:spacing w:val="-8"/>
              </w:rPr>
            </w:pPr>
          </w:p>
          <w:p w14:paraId="328B0847">
            <w:pPr>
              <w:pStyle w:val="10"/>
              <w:widowControl w:val="0"/>
              <w:numPr>
                <w:ilvl w:val="0"/>
                <w:numId w:val="0"/>
              </w:numPr>
              <w:spacing w:line="360" w:lineRule="auto"/>
              <w:jc w:val="both"/>
              <w:rPr>
                <w:rFonts w:hint="default" w:ascii="Times New Roman" w:hAnsi="Times New Roman" w:cs="Times New Roman"/>
                <w:spacing w:val="-8"/>
              </w:rPr>
            </w:pPr>
          </w:p>
          <w:p w14:paraId="597220FE">
            <w:pPr>
              <w:pStyle w:val="10"/>
              <w:widowControl w:val="0"/>
              <w:numPr>
                <w:ilvl w:val="0"/>
                <w:numId w:val="0"/>
              </w:numPr>
              <w:spacing w:line="360" w:lineRule="auto"/>
              <w:jc w:val="both"/>
              <w:rPr>
                <w:rFonts w:hint="default" w:ascii="Times New Roman" w:hAnsi="Times New Roman" w:cs="Times New Roman"/>
                <w:spacing w:val="-8"/>
              </w:rPr>
            </w:pPr>
          </w:p>
          <w:p w14:paraId="70CB2C17">
            <w:pPr>
              <w:pStyle w:val="10"/>
              <w:widowControl w:val="0"/>
              <w:numPr>
                <w:ilvl w:val="0"/>
                <w:numId w:val="0"/>
              </w:numPr>
              <w:spacing w:line="360" w:lineRule="auto"/>
              <w:jc w:val="both"/>
              <w:rPr>
                <w:rFonts w:hint="default" w:ascii="Times New Roman" w:hAnsi="Times New Roman" w:cs="Times New Roman"/>
                <w:spacing w:val="-8"/>
                <w:lang w:eastAsia="zh-CN"/>
              </w:rPr>
            </w:pPr>
          </w:p>
        </w:tc>
      </w:tr>
    </w:tbl>
    <w:p w14:paraId="0CEDB050">
      <w:pPr>
        <w:pageBreakBefore/>
        <w:ind w:firstLine="0" w:firstLineChars="0"/>
        <w:jc w:val="center"/>
        <w:outlineLvl w:val="0"/>
        <w:rPr>
          <w:rFonts w:hint="default" w:ascii="Times New Roman" w:hAnsi="Times New Roman" w:eastAsia="黑体" w:cs="Times New Roman"/>
          <w:snapToGrid w:val="0"/>
          <w:color w:val="auto"/>
          <w:sz w:val="30"/>
          <w:szCs w:val="30"/>
          <w:highlight w:val="none"/>
        </w:rPr>
      </w:pPr>
      <w:bookmarkStart w:id="9" w:name="_Toc28216"/>
      <w:bookmarkStart w:id="10" w:name="_Toc2466"/>
      <w:r>
        <w:rPr>
          <w:rFonts w:hint="default" w:ascii="Times New Roman" w:hAnsi="Times New Roman" w:eastAsia="黑体" w:cs="Times New Roman"/>
          <w:snapToGrid w:val="0"/>
          <w:color w:val="auto"/>
          <w:sz w:val="30"/>
          <w:szCs w:val="30"/>
          <w:highlight w:val="none"/>
        </w:rPr>
        <w:t>三、区域环境质量现状、环境保护目标及评价标准</w:t>
      </w:r>
      <w:bookmarkEnd w:id="9"/>
      <w:bookmarkEnd w:id="10"/>
    </w:p>
    <w:tbl>
      <w:tblPr>
        <w:tblStyle w:val="29"/>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6"/>
        <w:gridCol w:w="8405"/>
      </w:tblGrid>
      <w:tr w14:paraId="70DD2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2" w:hRule="atLeast"/>
          <w:jc w:val="center"/>
        </w:trPr>
        <w:tc>
          <w:tcPr>
            <w:tcW w:w="656" w:type="dxa"/>
            <w:vAlign w:val="center"/>
          </w:tcPr>
          <w:p w14:paraId="2BF86327">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区域</w:t>
            </w:r>
          </w:p>
          <w:p w14:paraId="0B5A2F77">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p w14:paraId="0B0D0428">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质量</w:t>
            </w:r>
          </w:p>
          <w:p w14:paraId="63D29B02">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现状</w:t>
            </w:r>
          </w:p>
        </w:tc>
        <w:tc>
          <w:tcPr>
            <w:tcW w:w="8405" w:type="dxa"/>
            <w:vAlign w:val="center"/>
          </w:tcPr>
          <w:p w14:paraId="04FEA15A">
            <w:pPr>
              <w:ind w:firstLine="0" w:firstLineChars="0"/>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1环境空气质量现状评价</w:t>
            </w:r>
          </w:p>
          <w:p w14:paraId="7C8F6FC5">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1.1基本污染物环境质量现状评价</w:t>
            </w:r>
          </w:p>
          <w:p w14:paraId="116A13AA">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1.1.1数据来源</w:t>
            </w:r>
          </w:p>
          <w:p w14:paraId="3E35D6C4">
            <w:pPr>
              <w:ind w:firstLine="480"/>
              <w:rPr>
                <w:rFonts w:hint="default" w:ascii="Times New Roman" w:hAnsi="Times New Roman" w:cs="Times New Roman"/>
                <w:color w:val="auto"/>
                <w:highlight w:val="none"/>
              </w:rPr>
            </w:pP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6985</wp:posOffset>
                  </wp:positionH>
                  <wp:positionV relativeFrom="paragraph">
                    <wp:posOffset>840740</wp:posOffset>
                  </wp:positionV>
                  <wp:extent cx="5198745" cy="3524250"/>
                  <wp:effectExtent l="0" t="0" r="1905"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6"/>
                          <a:stretch>
                            <a:fillRect/>
                          </a:stretch>
                        </pic:blipFill>
                        <pic:spPr>
                          <a:xfrm>
                            <a:off x="0" y="0"/>
                            <a:ext cx="5198745" cy="3524250"/>
                          </a:xfrm>
                          <a:prstGeom prst="rect">
                            <a:avLst/>
                          </a:prstGeom>
                          <a:noFill/>
                          <a:ln>
                            <a:noFill/>
                          </a:ln>
                        </pic:spPr>
                      </pic:pic>
                    </a:graphicData>
                  </a:graphic>
                </wp:anchor>
              </w:drawing>
            </w:r>
            <w:r>
              <w:rPr>
                <w:rFonts w:hint="default" w:ascii="Times New Roman" w:hAnsi="Times New Roman" w:cs="Times New Roman"/>
                <w:color w:val="auto"/>
                <w:highlight w:val="none"/>
              </w:rPr>
              <w:t>本项目基本污染物环境质量现状评价采用新疆维吾尔自治区生态环境厅网站公布的</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年12月和1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12月全区环境空气质量状况及排名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中库尔勒市环境空气质量数据，该监测数据可</w:t>
            </w:r>
            <w:r>
              <w:rPr>
                <w:rFonts w:hint="default" w:ascii="Times New Roman" w:hAnsi="Times New Roman" w:cs="Times New Roman"/>
                <w:color w:val="auto"/>
                <w:highlight w:val="none"/>
                <w:lang w:eastAsia="zh-CN"/>
              </w:rPr>
              <w:t>反映</w:t>
            </w:r>
            <w:r>
              <w:rPr>
                <w:rFonts w:hint="default" w:ascii="Times New Roman" w:hAnsi="Times New Roman" w:cs="Times New Roman"/>
                <w:color w:val="auto"/>
                <w:highlight w:val="none"/>
              </w:rPr>
              <w:t>项目所在地环境质量的实际情况。</w:t>
            </w:r>
          </w:p>
          <w:p w14:paraId="426753F1">
            <w:pPr>
              <w:pStyle w:val="69"/>
              <w:rPr>
                <w:rFonts w:hint="default" w:ascii="Times New Roman" w:hAnsi="Times New Roman" w:cs="Times New Roman"/>
              </w:rPr>
            </w:pPr>
          </w:p>
          <w:p w14:paraId="3047DFCC">
            <w:pPr>
              <w:pStyle w:val="70"/>
              <w:rPr>
                <w:rFonts w:hint="default" w:ascii="Times New Roman" w:hAnsi="Times New Roman" w:cs="Times New Roman"/>
              </w:rPr>
            </w:pPr>
          </w:p>
          <w:p w14:paraId="0448EF92">
            <w:pPr>
              <w:pStyle w:val="70"/>
              <w:rPr>
                <w:rFonts w:hint="default" w:ascii="Times New Roman" w:hAnsi="Times New Roman" w:cs="Times New Roman"/>
              </w:rPr>
            </w:pPr>
          </w:p>
          <w:p w14:paraId="687EC17A">
            <w:pPr>
              <w:pStyle w:val="70"/>
              <w:rPr>
                <w:rFonts w:hint="default" w:ascii="Times New Roman" w:hAnsi="Times New Roman" w:cs="Times New Roman"/>
              </w:rPr>
            </w:pPr>
          </w:p>
          <w:p w14:paraId="0877305B">
            <w:pPr>
              <w:pStyle w:val="70"/>
              <w:rPr>
                <w:rFonts w:hint="default" w:ascii="Times New Roman" w:hAnsi="Times New Roman" w:cs="Times New Roman"/>
              </w:rPr>
            </w:pPr>
          </w:p>
          <w:p w14:paraId="59627790">
            <w:pPr>
              <w:pStyle w:val="70"/>
              <w:rPr>
                <w:rFonts w:hint="default" w:ascii="Times New Roman" w:hAnsi="Times New Roman" w:cs="Times New Roman"/>
              </w:rPr>
            </w:pPr>
          </w:p>
          <w:p w14:paraId="758B0C94">
            <w:pPr>
              <w:pStyle w:val="70"/>
              <w:rPr>
                <w:rFonts w:hint="default" w:ascii="Times New Roman" w:hAnsi="Times New Roman" w:cs="Times New Roman"/>
              </w:rPr>
            </w:pPr>
          </w:p>
          <w:p w14:paraId="30680F5F">
            <w:pPr>
              <w:pStyle w:val="70"/>
              <w:rPr>
                <w:rFonts w:hint="default" w:ascii="Times New Roman" w:hAnsi="Times New Roman" w:cs="Times New Roman"/>
              </w:rPr>
            </w:pPr>
          </w:p>
          <w:p w14:paraId="2C29B11B">
            <w:pPr>
              <w:pStyle w:val="70"/>
              <w:rPr>
                <w:rFonts w:hint="default" w:ascii="Times New Roman" w:hAnsi="Times New Roman" w:cs="Times New Roman"/>
              </w:rPr>
            </w:pPr>
          </w:p>
          <w:p w14:paraId="70DB7F90">
            <w:pPr>
              <w:pStyle w:val="70"/>
              <w:rPr>
                <w:rFonts w:hint="default" w:ascii="Times New Roman" w:hAnsi="Times New Roman" w:cs="Times New Roman"/>
              </w:rPr>
            </w:pPr>
          </w:p>
          <w:p w14:paraId="19F95B69">
            <w:pPr>
              <w:pStyle w:val="70"/>
              <w:rPr>
                <w:rFonts w:hint="default" w:ascii="Times New Roman" w:hAnsi="Times New Roman" w:cs="Times New Roman"/>
              </w:rPr>
            </w:pPr>
          </w:p>
          <w:p w14:paraId="68AA784E">
            <w:pPr>
              <w:pStyle w:val="70"/>
              <w:rPr>
                <w:rFonts w:hint="default" w:ascii="Times New Roman" w:hAnsi="Times New Roman" w:cs="Times New Roman"/>
              </w:rPr>
            </w:pPr>
          </w:p>
          <w:p w14:paraId="5122AC97">
            <w:pPr>
              <w:pStyle w:val="70"/>
              <w:ind w:firstLine="0" w:firstLineChars="0"/>
              <w:rPr>
                <w:rFonts w:hint="default" w:ascii="Times New Roman" w:hAnsi="Times New Roman" w:cs="Times New Roman"/>
              </w:rPr>
            </w:pPr>
          </w:p>
          <w:p w14:paraId="546F18CD">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1.1.2评价方法</w:t>
            </w:r>
          </w:p>
          <w:p w14:paraId="6956083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基本污染物按照《环境空气质量评价技术规范（试行）》（HJ 663-2013）中各评价项目的年评价指标进行判定。年评价指标中的年均浓度和相应百分位数24h平均或8h平均质量浓度满足《环境空气质量标准》（GB3095-2012）中浓度限值要求的即为达标。</w:t>
            </w:r>
          </w:p>
          <w:p w14:paraId="62DF7060">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1.1.3评价标准</w:t>
            </w:r>
          </w:p>
          <w:p w14:paraId="3028F3F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本次基本因子环境空气质量现状评价依据《环境空气质量标准》（GB3095-2012）二级标准</w:t>
            </w:r>
            <w:r>
              <w:rPr>
                <w:rFonts w:hint="eastAsia" w:cs="Times New Roman"/>
                <w:color w:val="auto"/>
                <w:highlight w:val="none"/>
                <w:lang w:eastAsia="zh-CN"/>
              </w:rPr>
              <w:t>、</w:t>
            </w:r>
            <w:r>
              <w:rPr>
                <w:rFonts w:hint="default" w:ascii="Times New Roman" w:hAnsi="Times New Roman" w:cs="Times New Roman"/>
                <w:color w:val="auto"/>
                <w:highlight w:val="none"/>
              </w:rPr>
              <w:t>《环境空气质量标准》（GB3095-2012）</w:t>
            </w:r>
            <w:r>
              <w:rPr>
                <w:rFonts w:hint="eastAsia" w:cs="Times New Roman"/>
                <w:color w:val="auto"/>
                <w:highlight w:val="none"/>
                <w:lang w:val="en-US" w:eastAsia="zh-CN"/>
              </w:rPr>
              <w:t>修改单</w:t>
            </w:r>
            <w:r>
              <w:rPr>
                <w:rFonts w:hint="default" w:ascii="Times New Roman" w:hAnsi="Times New Roman" w:cs="Times New Roman"/>
                <w:color w:val="auto"/>
                <w:highlight w:val="none"/>
              </w:rPr>
              <w:t>，其标准值见表3-1。</w:t>
            </w:r>
          </w:p>
          <w:p w14:paraId="10D727EE">
            <w:pPr>
              <w:pStyle w:val="37"/>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表3-1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环境空气质量浓度标准</w:t>
            </w:r>
          </w:p>
          <w:tbl>
            <w:tblPr>
              <w:tblStyle w:val="29"/>
              <w:tblW w:w="800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197"/>
              <w:gridCol w:w="2067"/>
              <w:gridCol w:w="2754"/>
            </w:tblGrid>
            <w:tr w14:paraId="7FEA6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84" w:type="dxa"/>
                  <w:vAlign w:val="center"/>
                </w:tcPr>
                <w:p w14:paraId="31494372">
                  <w:pPr>
                    <w:pStyle w:val="68"/>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序号</w:t>
                  </w:r>
                </w:p>
              </w:tc>
              <w:tc>
                <w:tcPr>
                  <w:tcW w:w="2197" w:type="dxa"/>
                  <w:vAlign w:val="center"/>
                </w:tcPr>
                <w:p w14:paraId="29FDE20F">
                  <w:pPr>
                    <w:pStyle w:val="68"/>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污染物名称</w:t>
                  </w:r>
                </w:p>
              </w:tc>
              <w:tc>
                <w:tcPr>
                  <w:tcW w:w="2067" w:type="dxa"/>
                  <w:vAlign w:val="center"/>
                </w:tcPr>
                <w:p w14:paraId="27A31978">
                  <w:pPr>
                    <w:pStyle w:val="68"/>
                    <w:rPr>
                      <w:rFonts w:hint="default" w:ascii="Times New Roman" w:hAnsi="Times New Roman" w:cs="Times New Roman"/>
                      <w:color w:val="auto"/>
                      <w:highlight w:val="none"/>
                      <w:lang w:eastAsia="en-US"/>
                    </w:rPr>
                  </w:pPr>
                  <w:r>
                    <w:rPr>
                      <w:rFonts w:hint="default" w:ascii="Times New Roman" w:hAnsi="Times New Roman" w:cs="Times New Roman"/>
                      <w:color w:val="auto"/>
                      <w:highlight w:val="none"/>
                      <w:lang w:eastAsia="en-US"/>
                    </w:rPr>
                    <w:t>取值时间</w:t>
                  </w:r>
                </w:p>
              </w:tc>
              <w:tc>
                <w:tcPr>
                  <w:tcW w:w="2754" w:type="dxa"/>
                  <w:vAlign w:val="center"/>
                </w:tcPr>
                <w:p w14:paraId="2104FF53">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标准浓度限值（μg/m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r>
            <w:tr w14:paraId="6CDE3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3D3B84A9">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197" w:type="dxa"/>
                  <w:vAlign w:val="center"/>
                </w:tcPr>
                <w:p w14:paraId="28F56023">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2067" w:type="dxa"/>
                  <w:vAlign w:val="center"/>
                </w:tcPr>
                <w:p w14:paraId="3C15C9FC">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年均值</w:t>
                  </w:r>
                </w:p>
              </w:tc>
              <w:tc>
                <w:tcPr>
                  <w:tcW w:w="2754" w:type="dxa"/>
                  <w:vAlign w:val="center"/>
                </w:tcPr>
                <w:p w14:paraId="55929018">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r>
            <w:tr w14:paraId="0DD4A0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14239D03">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197" w:type="dxa"/>
                  <w:vAlign w:val="center"/>
                </w:tcPr>
                <w:p w14:paraId="2CCE83F8">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2067" w:type="dxa"/>
                  <w:vAlign w:val="center"/>
                </w:tcPr>
                <w:p w14:paraId="1E796FE5">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年均值</w:t>
                  </w:r>
                </w:p>
              </w:tc>
              <w:tc>
                <w:tcPr>
                  <w:tcW w:w="2754" w:type="dxa"/>
                  <w:vAlign w:val="center"/>
                </w:tcPr>
                <w:p w14:paraId="1110A0A3">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r>
            <w:tr w14:paraId="461FF8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20C5B568">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197" w:type="dxa"/>
                  <w:vAlign w:val="center"/>
                </w:tcPr>
                <w:p w14:paraId="3F9D64AE">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2067" w:type="dxa"/>
                  <w:vAlign w:val="center"/>
                </w:tcPr>
                <w:p w14:paraId="350D22FC">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年均值</w:t>
                  </w:r>
                </w:p>
              </w:tc>
              <w:tc>
                <w:tcPr>
                  <w:tcW w:w="2754" w:type="dxa"/>
                  <w:vAlign w:val="center"/>
                </w:tcPr>
                <w:p w14:paraId="4FD72232">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r>
            <w:tr w14:paraId="7D4740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2D39BD8B">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197" w:type="dxa"/>
                  <w:vAlign w:val="center"/>
                </w:tcPr>
                <w:p w14:paraId="27BD0E6B">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2067" w:type="dxa"/>
                  <w:vAlign w:val="center"/>
                </w:tcPr>
                <w:p w14:paraId="24697E4E">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年均值</w:t>
                  </w:r>
                </w:p>
              </w:tc>
              <w:tc>
                <w:tcPr>
                  <w:tcW w:w="2754" w:type="dxa"/>
                  <w:vAlign w:val="center"/>
                </w:tcPr>
                <w:p w14:paraId="05EE5D2A">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r>
            <w:tr w14:paraId="6767BA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7351AA3D">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197" w:type="dxa"/>
                  <w:vAlign w:val="center"/>
                </w:tcPr>
                <w:p w14:paraId="7F2A2594">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2067" w:type="dxa"/>
                  <w:vAlign w:val="center"/>
                </w:tcPr>
                <w:p w14:paraId="051F1D7E">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日均值</w:t>
                  </w:r>
                </w:p>
              </w:tc>
              <w:tc>
                <w:tcPr>
                  <w:tcW w:w="2754" w:type="dxa"/>
                  <w:vAlign w:val="center"/>
                </w:tcPr>
                <w:p w14:paraId="0E2957FE">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4000</w:t>
                  </w:r>
                </w:p>
              </w:tc>
            </w:tr>
            <w:tr w14:paraId="69C0E1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984" w:type="dxa"/>
                  <w:vAlign w:val="center"/>
                </w:tcPr>
                <w:p w14:paraId="669EA21C">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197" w:type="dxa"/>
                  <w:vAlign w:val="center"/>
                </w:tcPr>
                <w:p w14:paraId="79234FFD">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2067" w:type="dxa"/>
                  <w:vAlign w:val="center"/>
                </w:tcPr>
                <w:p w14:paraId="133CD9A1">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日最大8小时均值</w:t>
                  </w:r>
                </w:p>
              </w:tc>
              <w:tc>
                <w:tcPr>
                  <w:tcW w:w="2754" w:type="dxa"/>
                  <w:vAlign w:val="center"/>
                </w:tcPr>
                <w:p w14:paraId="66289351">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r>
          </w:tbl>
          <w:p w14:paraId="1667BAAE">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1.1.4空气质量达标区判定</w:t>
            </w:r>
          </w:p>
          <w:p w14:paraId="58A550D8">
            <w:pPr>
              <w:pStyle w:val="37"/>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表3-2   库尔勒市202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年环境空气质量浓度</w:t>
            </w:r>
            <w:r>
              <w:rPr>
                <w:rFonts w:hint="default" w:ascii="Times New Roman" w:hAnsi="Times New Roman" w:cs="Times New Roman"/>
                <w:color w:val="auto"/>
                <w:spacing w:val="-10"/>
                <w:szCs w:val="21"/>
                <w:highlight w:val="none"/>
              </w:rPr>
              <w:t>现状评价一览表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73"/>
              <w:gridCol w:w="1252"/>
              <w:gridCol w:w="1670"/>
              <w:gridCol w:w="1670"/>
              <w:gridCol w:w="1671"/>
            </w:tblGrid>
            <w:tr w14:paraId="4959E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97" w:type="pct"/>
                  <w:tcBorders>
                    <w:tl2br w:val="nil"/>
                    <w:tr2bl w:val="nil"/>
                  </w:tcBorders>
                  <w:vAlign w:val="center"/>
                </w:tcPr>
                <w:p w14:paraId="77AA17E5">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序号</w:t>
                  </w:r>
                </w:p>
              </w:tc>
              <w:tc>
                <w:tcPr>
                  <w:tcW w:w="777" w:type="pct"/>
                  <w:tcBorders>
                    <w:tl2br w:val="nil"/>
                    <w:tr2bl w:val="nil"/>
                  </w:tcBorders>
                  <w:vAlign w:val="center"/>
                </w:tcPr>
                <w:p w14:paraId="67DEAB0F">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污染物名称</w:t>
                  </w:r>
                </w:p>
              </w:tc>
              <w:tc>
                <w:tcPr>
                  <w:tcW w:w="764" w:type="pct"/>
                  <w:tcBorders>
                    <w:tl2br w:val="nil"/>
                    <w:tr2bl w:val="nil"/>
                  </w:tcBorders>
                  <w:vAlign w:val="center"/>
                </w:tcPr>
                <w:p w14:paraId="24FB35B7">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单位</w:t>
                  </w:r>
                </w:p>
              </w:tc>
              <w:tc>
                <w:tcPr>
                  <w:tcW w:w="1019" w:type="pct"/>
                  <w:tcBorders>
                    <w:tl2br w:val="nil"/>
                    <w:tr2bl w:val="nil"/>
                  </w:tcBorders>
                  <w:vAlign w:val="center"/>
                </w:tcPr>
                <w:p w14:paraId="08BE53AE">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浓度</w:t>
                  </w:r>
                </w:p>
              </w:tc>
              <w:tc>
                <w:tcPr>
                  <w:tcW w:w="1019" w:type="pct"/>
                  <w:tcBorders>
                    <w:tl2br w:val="nil"/>
                    <w:tr2bl w:val="nil"/>
                  </w:tcBorders>
                  <w:shd w:val="clear" w:color="auto" w:fill="auto"/>
                </w:tcPr>
                <w:p w14:paraId="44D45025">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占标率（%）</w:t>
                  </w:r>
                </w:p>
              </w:tc>
              <w:tc>
                <w:tcPr>
                  <w:tcW w:w="1020" w:type="pct"/>
                  <w:tcBorders>
                    <w:tl2br w:val="nil"/>
                    <w:tr2bl w:val="nil"/>
                  </w:tcBorders>
                  <w:shd w:val="clear" w:color="auto" w:fill="auto"/>
                </w:tcPr>
                <w:p w14:paraId="3648FD14">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达标情况</w:t>
                  </w:r>
                </w:p>
              </w:tc>
            </w:tr>
            <w:tr w14:paraId="3DD09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7" w:type="pct"/>
                  <w:tcBorders>
                    <w:tl2br w:val="nil"/>
                    <w:tr2bl w:val="nil"/>
                  </w:tcBorders>
                  <w:vAlign w:val="center"/>
                </w:tcPr>
                <w:p w14:paraId="7DB86A70">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1</w:t>
                  </w:r>
                </w:p>
              </w:tc>
              <w:tc>
                <w:tcPr>
                  <w:tcW w:w="777" w:type="pct"/>
                  <w:tcBorders>
                    <w:tl2br w:val="nil"/>
                    <w:tr2bl w:val="nil"/>
                  </w:tcBorders>
                  <w:vAlign w:val="center"/>
                </w:tcPr>
                <w:p w14:paraId="493A2AB2">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SO</w:t>
                  </w:r>
                  <w:r>
                    <w:rPr>
                      <w:rFonts w:hint="default" w:ascii="Times New Roman" w:hAnsi="Times New Roman" w:eastAsia="宋体" w:cs="Times New Roman"/>
                      <w:bCs/>
                      <w:color w:val="auto"/>
                      <w:kern w:val="2"/>
                      <w:sz w:val="21"/>
                      <w:szCs w:val="28"/>
                      <w:vertAlign w:val="subscript"/>
                    </w:rPr>
                    <w:t>2</w:t>
                  </w:r>
                </w:p>
              </w:tc>
              <w:tc>
                <w:tcPr>
                  <w:tcW w:w="764" w:type="pct"/>
                  <w:tcBorders>
                    <w:tl2br w:val="nil"/>
                    <w:tr2bl w:val="nil"/>
                  </w:tcBorders>
                  <w:shd w:val="clear" w:color="auto" w:fill="auto"/>
                </w:tcPr>
                <w:p w14:paraId="0DFA5B64">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μg/m</w:t>
                  </w:r>
                  <w:r>
                    <w:rPr>
                      <w:rFonts w:hint="default" w:ascii="Times New Roman" w:hAnsi="Times New Roman" w:eastAsia="宋体" w:cs="Times New Roman"/>
                      <w:bCs/>
                      <w:color w:val="auto"/>
                      <w:kern w:val="2"/>
                      <w:sz w:val="21"/>
                      <w:szCs w:val="28"/>
                      <w:vertAlign w:val="superscript"/>
                    </w:rPr>
                    <w:t>3</w:t>
                  </w:r>
                </w:p>
              </w:tc>
              <w:tc>
                <w:tcPr>
                  <w:tcW w:w="1019" w:type="pct"/>
                  <w:tcBorders>
                    <w:tl2br w:val="nil"/>
                    <w:tr2bl w:val="nil"/>
                  </w:tcBorders>
                  <w:vAlign w:val="center"/>
                </w:tcPr>
                <w:p w14:paraId="4B349A0D">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eastAsia="zh-CN"/>
                    </w:rPr>
                  </w:pPr>
                  <w:r>
                    <w:rPr>
                      <w:rFonts w:hint="default" w:ascii="Times New Roman" w:hAnsi="Times New Roman" w:eastAsia="宋体" w:cs="Times New Roman"/>
                      <w:bCs/>
                      <w:color w:val="auto"/>
                      <w:sz w:val="21"/>
                      <w:szCs w:val="28"/>
                      <w:lang w:val="en-US" w:eastAsia="zh-CN"/>
                    </w:rPr>
                    <w:t>5</w:t>
                  </w:r>
                </w:p>
              </w:tc>
              <w:tc>
                <w:tcPr>
                  <w:tcW w:w="1019" w:type="pct"/>
                  <w:tcBorders>
                    <w:tl2br w:val="nil"/>
                    <w:tr2bl w:val="nil"/>
                  </w:tcBorders>
                  <w:vAlign w:val="center"/>
                </w:tcPr>
                <w:p w14:paraId="641001C0">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8.3</w:t>
                  </w:r>
                </w:p>
              </w:tc>
              <w:tc>
                <w:tcPr>
                  <w:tcW w:w="1020" w:type="pct"/>
                  <w:tcBorders>
                    <w:tl2br w:val="nil"/>
                    <w:tr2bl w:val="nil"/>
                  </w:tcBorders>
                  <w:shd w:val="clear" w:color="auto" w:fill="auto"/>
                </w:tcPr>
                <w:p w14:paraId="666AACDF">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达标</w:t>
                  </w:r>
                </w:p>
              </w:tc>
            </w:tr>
            <w:tr w14:paraId="08B06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7" w:type="pct"/>
                  <w:tcBorders>
                    <w:tl2br w:val="nil"/>
                    <w:tr2bl w:val="nil"/>
                  </w:tcBorders>
                  <w:vAlign w:val="center"/>
                </w:tcPr>
                <w:p w14:paraId="125914B4">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2</w:t>
                  </w:r>
                </w:p>
              </w:tc>
              <w:tc>
                <w:tcPr>
                  <w:tcW w:w="777" w:type="pct"/>
                  <w:tcBorders>
                    <w:tl2br w:val="nil"/>
                    <w:tr2bl w:val="nil"/>
                  </w:tcBorders>
                  <w:vAlign w:val="center"/>
                </w:tcPr>
                <w:p w14:paraId="41C7B6CA">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NO</w:t>
                  </w:r>
                  <w:r>
                    <w:rPr>
                      <w:rFonts w:hint="default" w:ascii="Times New Roman" w:hAnsi="Times New Roman" w:eastAsia="宋体" w:cs="Times New Roman"/>
                      <w:bCs/>
                      <w:color w:val="auto"/>
                      <w:kern w:val="2"/>
                      <w:sz w:val="21"/>
                      <w:szCs w:val="28"/>
                      <w:vertAlign w:val="subscript"/>
                    </w:rPr>
                    <w:t>2</w:t>
                  </w:r>
                </w:p>
              </w:tc>
              <w:tc>
                <w:tcPr>
                  <w:tcW w:w="764" w:type="pct"/>
                  <w:tcBorders>
                    <w:tl2br w:val="nil"/>
                    <w:tr2bl w:val="nil"/>
                  </w:tcBorders>
                  <w:shd w:val="clear" w:color="auto" w:fill="auto"/>
                </w:tcPr>
                <w:p w14:paraId="0A8E486F">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μg/m</w:t>
                  </w:r>
                  <w:r>
                    <w:rPr>
                      <w:rFonts w:hint="default" w:ascii="Times New Roman" w:hAnsi="Times New Roman" w:eastAsia="宋体" w:cs="Times New Roman"/>
                      <w:bCs/>
                      <w:color w:val="auto"/>
                      <w:kern w:val="2"/>
                      <w:sz w:val="21"/>
                      <w:szCs w:val="28"/>
                      <w:vertAlign w:val="superscript"/>
                    </w:rPr>
                    <w:t>3</w:t>
                  </w:r>
                </w:p>
              </w:tc>
              <w:tc>
                <w:tcPr>
                  <w:tcW w:w="1019" w:type="pct"/>
                  <w:tcBorders>
                    <w:tl2br w:val="nil"/>
                    <w:tr2bl w:val="nil"/>
                  </w:tcBorders>
                  <w:vAlign w:val="center"/>
                </w:tcPr>
                <w:p w14:paraId="7F1FD640">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23</w:t>
                  </w:r>
                </w:p>
              </w:tc>
              <w:tc>
                <w:tcPr>
                  <w:tcW w:w="1019" w:type="pct"/>
                  <w:tcBorders>
                    <w:tl2br w:val="nil"/>
                    <w:tr2bl w:val="nil"/>
                  </w:tcBorders>
                  <w:vAlign w:val="center"/>
                </w:tcPr>
                <w:p w14:paraId="0FD47CD1">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57.5</w:t>
                  </w:r>
                </w:p>
              </w:tc>
              <w:tc>
                <w:tcPr>
                  <w:tcW w:w="1020" w:type="pct"/>
                  <w:tcBorders>
                    <w:tl2br w:val="nil"/>
                    <w:tr2bl w:val="nil"/>
                  </w:tcBorders>
                  <w:shd w:val="clear" w:color="auto" w:fill="auto"/>
                </w:tcPr>
                <w:p w14:paraId="551E58BA">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达标</w:t>
                  </w:r>
                </w:p>
              </w:tc>
            </w:tr>
            <w:tr w14:paraId="25C86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7" w:type="pct"/>
                  <w:tcBorders>
                    <w:tl2br w:val="nil"/>
                    <w:tr2bl w:val="nil"/>
                  </w:tcBorders>
                  <w:vAlign w:val="center"/>
                </w:tcPr>
                <w:p w14:paraId="6E3CFE1E">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3</w:t>
                  </w:r>
                </w:p>
              </w:tc>
              <w:tc>
                <w:tcPr>
                  <w:tcW w:w="777" w:type="pct"/>
                  <w:tcBorders>
                    <w:tl2br w:val="nil"/>
                    <w:tr2bl w:val="nil"/>
                  </w:tcBorders>
                  <w:shd w:val="clear" w:color="auto" w:fill="auto"/>
                </w:tcPr>
                <w:p w14:paraId="494A0089">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PM</w:t>
                  </w:r>
                  <w:r>
                    <w:rPr>
                      <w:rFonts w:hint="default" w:ascii="Times New Roman" w:hAnsi="Times New Roman" w:eastAsia="宋体" w:cs="Times New Roman"/>
                      <w:bCs/>
                      <w:color w:val="auto"/>
                      <w:sz w:val="21"/>
                      <w:szCs w:val="28"/>
                      <w:vertAlign w:val="subscript"/>
                    </w:rPr>
                    <w:t>10</w:t>
                  </w:r>
                </w:p>
              </w:tc>
              <w:tc>
                <w:tcPr>
                  <w:tcW w:w="764" w:type="pct"/>
                  <w:tcBorders>
                    <w:tl2br w:val="nil"/>
                    <w:tr2bl w:val="nil"/>
                  </w:tcBorders>
                  <w:shd w:val="clear" w:color="auto" w:fill="auto"/>
                </w:tcPr>
                <w:p w14:paraId="0EB5DCC9">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μg/m</w:t>
                  </w:r>
                  <w:r>
                    <w:rPr>
                      <w:rFonts w:hint="default" w:ascii="Times New Roman" w:hAnsi="Times New Roman" w:eastAsia="宋体" w:cs="Times New Roman"/>
                      <w:bCs/>
                      <w:color w:val="auto"/>
                      <w:kern w:val="2"/>
                      <w:sz w:val="21"/>
                      <w:szCs w:val="28"/>
                      <w:vertAlign w:val="superscript"/>
                    </w:rPr>
                    <w:t>3</w:t>
                  </w:r>
                </w:p>
              </w:tc>
              <w:tc>
                <w:tcPr>
                  <w:tcW w:w="1688" w:type="dxa"/>
                  <w:tcBorders>
                    <w:tl2br w:val="nil"/>
                    <w:tr2bl w:val="nil"/>
                  </w:tcBorders>
                </w:tcPr>
                <w:p w14:paraId="2A423999">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138</w:t>
                  </w:r>
                </w:p>
              </w:tc>
              <w:tc>
                <w:tcPr>
                  <w:tcW w:w="1688" w:type="dxa"/>
                  <w:tcBorders>
                    <w:tl2br w:val="nil"/>
                    <w:tr2bl w:val="nil"/>
                  </w:tcBorders>
                  <w:vAlign w:val="center"/>
                </w:tcPr>
                <w:p w14:paraId="2603081B">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lang w:val="en-US" w:eastAsia="zh-CN"/>
                    </w:rPr>
                    <w:t>197.1</w:t>
                  </w:r>
                </w:p>
              </w:tc>
              <w:tc>
                <w:tcPr>
                  <w:tcW w:w="1020" w:type="pct"/>
                  <w:tcBorders>
                    <w:tl2br w:val="nil"/>
                    <w:tr2bl w:val="nil"/>
                  </w:tcBorders>
                  <w:shd w:val="clear" w:color="auto" w:fill="auto"/>
                </w:tcPr>
                <w:p w14:paraId="121A6D89">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不达标</w:t>
                  </w:r>
                </w:p>
              </w:tc>
            </w:tr>
            <w:tr w14:paraId="1A242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7" w:type="pct"/>
                  <w:tcBorders>
                    <w:tl2br w:val="nil"/>
                    <w:tr2bl w:val="nil"/>
                  </w:tcBorders>
                  <w:vAlign w:val="center"/>
                </w:tcPr>
                <w:p w14:paraId="1D941652">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4</w:t>
                  </w:r>
                </w:p>
              </w:tc>
              <w:tc>
                <w:tcPr>
                  <w:tcW w:w="777" w:type="pct"/>
                  <w:tcBorders>
                    <w:tl2br w:val="nil"/>
                    <w:tr2bl w:val="nil"/>
                  </w:tcBorders>
                  <w:shd w:val="clear" w:color="auto" w:fill="auto"/>
                </w:tcPr>
                <w:p w14:paraId="39722FBF">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PM</w:t>
                  </w:r>
                  <w:r>
                    <w:rPr>
                      <w:rFonts w:hint="default" w:ascii="Times New Roman" w:hAnsi="Times New Roman" w:eastAsia="宋体" w:cs="Times New Roman"/>
                      <w:bCs/>
                      <w:color w:val="auto"/>
                      <w:sz w:val="21"/>
                      <w:szCs w:val="28"/>
                      <w:vertAlign w:val="subscript"/>
                    </w:rPr>
                    <w:t>2.5</w:t>
                  </w:r>
                </w:p>
              </w:tc>
              <w:tc>
                <w:tcPr>
                  <w:tcW w:w="764" w:type="pct"/>
                  <w:tcBorders>
                    <w:tl2br w:val="nil"/>
                    <w:tr2bl w:val="nil"/>
                  </w:tcBorders>
                  <w:shd w:val="clear" w:color="auto" w:fill="auto"/>
                </w:tcPr>
                <w:p w14:paraId="63127BBA">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μg/m</w:t>
                  </w:r>
                  <w:r>
                    <w:rPr>
                      <w:rFonts w:hint="default" w:ascii="Times New Roman" w:hAnsi="Times New Roman" w:eastAsia="宋体" w:cs="Times New Roman"/>
                      <w:bCs/>
                      <w:color w:val="auto"/>
                      <w:kern w:val="2"/>
                      <w:sz w:val="21"/>
                      <w:szCs w:val="28"/>
                      <w:vertAlign w:val="superscript"/>
                    </w:rPr>
                    <w:t>3</w:t>
                  </w:r>
                </w:p>
              </w:tc>
              <w:tc>
                <w:tcPr>
                  <w:tcW w:w="1019" w:type="pct"/>
                  <w:tcBorders>
                    <w:tl2br w:val="nil"/>
                    <w:tr2bl w:val="nil"/>
                  </w:tcBorders>
                  <w:shd w:val="clear" w:color="auto" w:fill="auto"/>
                </w:tcPr>
                <w:p w14:paraId="420B44CD">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36</w:t>
                  </w:r>
                </w:p>
              </w:tc>
              <w:tc>
                <w:tcPr>
                  <w:tcW w:w="1019" w:type="pct"/>
                  <w:tcBorders>
                    <w:tl2br w:val="nil"/>
                    <w:tr2bl w:val="nil"/>
                  </w:tcBorders>
                  <w:vAlign w:val="center"/>
                </w:tcPr>
                <w:p w14:paraId="30E8EC90">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103</w:t>
                  </w:r>
                </w:p>
              </w:tc>
              <w:tc>
                <w:tcPr>
                  <w:tcW w:w="1020" w:type="pct"/>
                  <w:tcBorders>
                    <w:tl2br w:val="nil"/>
                    <w:tr2bl w:val="nil"/>
                  </w:tcBorders>
                  <w:shd w:val="clear" w:color="auto" w:fill="auto"/>
                </w:tcPr>
                <w:p w14:paraId="12D6BC84">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lang w:val="en-US" w:eastAsia="zh-CN"/>
                    </w:rPr>
                    <w:t>不</w:t>
                  </w:r>
                  <w:r>
                    <w:rPr>
                      <w:rFonts w:hint="default" w:ascii="Times New Roman" w:hAnsi="Times New Roman" w:eastAsia="宋体" w:cs="Times New Roman"/>
                      <w:bCs/>
                      <w:color w:val="auto"/>
                      <w:sz w:val="21"/>
                      <w:szCs w:val="28"/>
                    </w:rPr>
                    <w:t>达标</w:t>
                  </w:r>
                </w:p>
              </w:tc>
            </w:tr>
            <w:tr w14:paraId="1BFB3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7" w:type="pct"/>
                  <w:tcBorders>
                    <w:tl2br w:val="nil"/>
                    <w:tr2bl w:val="nil"/>
                  </w:tcBorders>
                  <w:vAlign w:val="center"/>
                </w:tcPr>
                <w:p w14:paraId="594E3D21">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5</w:t>
                  </w:r>
                </w:p>
              </w:tc>
              <w:tc>
                <w:tcPr>
                  <w:tcW w:w="777" w:type="pct"/>
                  <w:tcBorders>
                    <w:tl2br w:val="nil"/>
                    <w:tr2bl w:val="nil"/>
                  </w:tcBorders>
                  <w:shd w:val="clear" w:color="auto" w:fill="auto"/>
                </w:tcPr>
                <w:p w14:paraId="093B5C3B">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CO</w:t>
                  </w:r>
                </w:p>
              </w:tc>
              <w:tc>
                <w:tcPr>
                  <w:tcW w:w="764" w:type="pct"/>
                  <w:tcBorders>
                    <w:tl2br w:val="nil"/>
                    <w:tr2bl w:val="nil"/>
                  </w:tcBorders>
                  <w:shd w:val="clear" w:color="auto" w:fill="auto"/>
                </w:tcPr>
                <w:p w14:paraId="2DA5952D">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mg/m</w:t>
                  </w:r>
                  <w:r>
                    <w:rPr>
                      <w:rFonts w:hint="default" w:ascii="Times New Roman" w:hAnsi="Times New Roman" w:eastAsia="宋体" w:cs="Times New Roman"/>
                      <w:bCs/>
                      <w:color w:val="auto"/>
                      <w:kern w:val="2"/>
                      <w:sz w:val="21"/>
                      <w:szCs w:val="28"/>
                      <w:vertAlign w:val="superscript"/>
                    </w:rPr>
                    <w:t>3</w:t>
                  </w:r>
                </w:p>
              </w:tc>
              <w:tc>
                <w:tcPr>
                  <w:tcW w:w="1019" w:type="pct"/>
                  <w:tcBorders>
                    <w:tl2br w:val="nil"/>
                    <w:tr2bl w:val="nil"/>
                  </w:tcBorders>
                  <w:shd w:val="clear" w:color="auto" w:fill="auto"/>
                </w:tcPr>
                <w:p w14:paraId="4660134B">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0.4</w:t>
                  </w:r>
                </w:p>
              </w:tc>
              <w:tc>
                <w:tcPr>
                  <w:tcW w:w="1019" w:type="pct"/>
                  <w:tcBorders>
                    <w:tl2br w:val="nil"/>
                    <w:tr2bl w:val="nil"/>
                  </w:tcBorders>
                  <w:vAlign w:val="center"/>
                </w:tcPr>
                <w:p w14:paraId="586903A6">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10</w:t>
                  </w:r>
                </w:p>
              </w:tc>
              <w:tc>
                <w:tcPr>
                  <w:tcW w:w="1020" w:type="pct"/>
                  <w:tcBorders>
                    <w:tl2br w:val="nil"/>
                    <w:tr2bl w:val="nil"/>
                  </w:tcBorders>
                  <w:vAlign w:val="center"/>
                </w:tcPr>
                <w:p w14:paraId="41785927">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达标</w:t>
                  </w:r>
                </w:p>
              </w:tc>
            </w:tr>
            <w:tr w14:paraId="23EDB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7" w:type="pct"/>
                  <w:tcBorders>
                    <w:tl2br w:val="nil"/>
                    <w:tr2bl w:val="nil"/>
                  </w:tcBorders>
                  <w:vAlign w:val="center"/>
                </w:tcPr>
                <w:p w14:paraId="1FEA51B1">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6</w:t>
                  </w:r>
                </w:p>
              </w:tc>
              <w:tc>
                <w:tcPr>
                  <w:tcW w:w="777" w:type="pct"/>
                  <w:tcBorders>
                    <w:tl2br w:val="nil"/>
                    <w:tr2bl w:val="nil"/>
                  </w:tcBorders>
                  <w:vAlign w:val="center"/>
                </w:tcPr>
                <w:p w14:paraId="463D8BD6">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O</w:t>
                  </w:r>
                  <w:r>
                    <w:rPr>
                      <w:rFonts w:hint="default" w:ascii="Times New Roman" w:hAnsi="Times New Roman" w:eastAsia="宋体" w:cs="Times New Roman"/>
                      <w:bCs/>
                      <w:color w:val="auto"/>
                      <w:kern w:val="2"/>
                      <w:sz w:val="21"/>
                      <w:szCs w:val="28"/>
                      <w:vertAlign w:val="subscript"/>
                    </w:rPr>
                    <w:t>3</w:t>
                  </w:r>
                  <w:r>
                    <w:rPr>
                      <w:rFonts w:hint="default" w:ascii="Times New Roman" w:hAnsi="Times New Roman" w:eastAsia="宋体" w:cs="Times New Roman"/>
                      <w:bCs/>
                      <w:color w:val="auto"/>
                      <w:kern w:val="2"/>
                      <w:sz w:val="21"/>
                      <w:szCs w:val="28"/>
                    </w:rPr>
                    <w:t>-8h</w:t>
                  </w:r>
                </w:p>
              </w:tc>
              <w:tc>
                <w:tcPr>
                  <w:tcW w:w="764" w:type="pct"/>
                  <w:tcBorders>
                    <w:tl2br w:val="nil"/>
                    <w:tr2bl w:val="nil"/>
                  </w:tcBorders>
                  <w:shd w:val="clear" w:color="auto" w:fill="auto"/>
                </w:tcPr>
                <w:p w14:paraId="19FAB300">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kern w:val="2"/>
                      <w:sz w:val="21"/>
                      <w:szCs w:val="28"/>
                    </w:rPr>
                    <w:t>μg/m</w:t>
                  </w:r>
                  <w:r>
                    <w:rPr>
                      <w:rFonts w:hint="default" w:ascii="Times New Roman" w:hAnsi="Times New Roman" w:eastAsia="宋体" w:cs="Times New Roman"/>
                      <w:bCs/>
                      <w:color w:val="auto"/>
                      <w:kern w:val="2"/>
                      <w:sz w:val="21"/>
                      <w:szCs w:val="28"/>
                      <w:vertAlign w:val="superscript"/>
                    </w:rPr>
                    <w:t>3</w:t>
                  </w:r>
                </w:p>
              </w:tc>
              <w:tc>
                <w:tcPr>
                  <w:tcW w:w="1019" w:type="pct"/>
                  <w:tcBorders>
                    <w:tl2br w:val="nil"/>
                    <w:tr2bl w:val="nil"/>
                  </w:tcBorders>
                  <w:shd w:val="clear" w:color="auto" w:fill="auto"/>
                </w:tcPr>
                <w:p w14:paraId="0A90180D">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95</w:t>
                  </w:r>
                </w:p>
              </w:tc>
              <w:tc>
                <w:tcPr>
                  <w:tcW w:w="1019" w:type="pct"/>
                  <w:tcBorders>
                    <w:tl2br w:val="nil"/>
                    <w:tr2bl w:val="nil"/>
                  </w:tcBorders>
                  <w:vAlign w:val="center"/>
                </w:tcPr>
                <w:p w14:paraId="1502DB84">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lang w:val="en-US" w:eastAsia="zh-CN"/>
                    </w:rPr>
                  </w:pPr>
                  <w:r>
                    <w:rPr>
                      <w:rFonts w:hint="default" w:ascii="Times New Roman" w:hAnsi="Times New Roman" w:eastAsia="宋体" w:cs="Times New Roman"/>
                      <w:bCs/>
                      <w:color w:val="auto"/>
                      <w:sz w:val="21"/>
                      <w:szCs w:val="28"/>
                      <w:lang w:val="en-US" w:eastAsia="zh-CN"/>
                    </w:rPr>
                    <w:t>59.4</w:t>
                  </w:r>
                </w:p>
              </w:tc>
              <w:tc>
                <w:tcPr>
                  <w:tcW w:w="1020" w:type="pct"/>
                  <w:tcBorders>
                    <w:tl2br w:val="nil"/>
                    <w:tr2bl w:val="nil"/>
                  </w:tcBorders>
                  <w:vAlign w:val="center"/>
                </w:tcPr>
                <w:p w14:paraId="11FE5C32">
                  <w:pPr>
                    <w:adjustRightInd w:val="0"/>
                    <w:snapToGrid w:val="0"/>
                    <w:spacing w:line="240" w:lineRule="auto"/>
                    <w:ind w:firstLine="0" w:firstLineChars="0"/>
                    <w:jc w:val="center"/>
                    <w:outlineLvl w:val="3"/>
                    <w:rPr>
                      <w:rFonts w:hint="default" w:ascii="Times New Roman" w:hAnsi="Times New Roman" w:eastAsia="宋体" w:cs="Times New Roman"/>
                      <w:bCs/>
                      <w:color w:val="auto"/>
                      <w:sz w:val="21"/>
                      <w:szCs w:val="28"/>
                    </w:rPr>
                  </w:pPr>
                  <w:r>
                    <w:rPr>
                      <w:rFonts w:hint="default" w:ascii="Times New Roman" w:hAnsi="Times New Roman" w:eastAsia="宋体" w:cs="Times New Roman"/>
                      <w:bCs/>
                      <w:color w:val="auto"/>
                      <w:sz w:val="21"/>
                      <w:szCs w:val="28"/>
                    </w:rPr>
                    <w:t>达标</w:t>
                  </w:r>
                </w:p>
              </w:tc>
            </w:tr>
          </w:tbl>
          <w:p w14:paraId="4FEF83CF">
            <w:pPr>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由表3-2看出，202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年库尔勒市PM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年均值浓度超过</w:t>
            </w:r>
            <w:r>
              <w:rPr>
                <w:rFonts w:hint="eastAsia" w:cs="Times New Roman"/>
                <w:color w:val="auto"/>
                <w:highlight w:val="none"/>
                <w:lang w:eastAsia="zh-CN"/>
              </w:rPr>
              <w:t>《环境空气质量标准》（GB3095-2012）</w:t>
            </w:r>
            <w:r>
              <w:rPr>
                <w:rFonts w:hint="default" w:ascii="Times New Roman" w:hAnsi="Times New Roman" w:cs="Times New Roman"/>
                <w:color w:val="auto"/>
                <w:highlight w:val="none"/>
              </w:rPr>
              <w:t>二级标准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环境空气质量标准（GB3095-2012）二级标准</w:t>
            </w:r>
            <w:r>
              <w:rPr>
                <w:rFonts w:hint="default" w:ascii="Times New Roman" w:hAnsi="Times New Roman" w:cs="Times New Roman"/>
                <w:color w:val="auto"/>
                <w:highlight w:val="none"/>
                <w:lang w:val="en-US" w:eastAsia="zh-CN"/>
              </w:rPr>
              <w:t>修改单</w:t>
            </w:r>
            <w:r>
              <w:rPr>
                <w:rFonts w:hint="default" w:ascii="Times New Roman" w:hAnsi="Times New Roman" w:cs="Times New Roman"/>
                <w:color w:val="auto"/>
                <w:highlight w:val="none"/>
              </w:rPr>
              <w:t>。《环境影响评价技术导则 大气环境》（HJ2.2-2018）规定：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城市环境空气质量达标情况评价指标为SO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、CO和O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，六项污染物全部达标即为城市环境空气质量达标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。可以看出，</w:t>
            </w:r>
            <w:r>
              <w:rPr>
                <w:rFonts w:hint="eastAsia" w:cs="Times New Roman"/>
                <w:color w:val="auto"/>
                <w:highlight w:val="none"/>
                <w:lang w:val="en-US" w:eastAsia="zh-CN"/>
              </w:rPr>
              <w:t>2024</w:t>
            </w:r>
            <w:r>
              <w:rPr>
                <w:rFonts w:hint="default" w:ascii="Times New Roman" w:hAnsi="Times New Roman" w:cs="Times New Roman"/>
                <w:color w:val="auto"/>
                <w:highlight w:val="none"/>
              </w:rPr>
              <w:t>年库尔勒大气基本污染物环境质量现状情况为PM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不能满足《环境空气质量标准》（GB3095-2012）二级标准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环境空气质量标准（GB3095-2012）二级标准</w:t>
            </w:r>
            <w:r>
              <w:rPr>
                <w:rFonts w:hint="default" w:ascii="Times New Roman" w:hAnsi="Times New Roman" w:cs="Times New Roman"/>
                <w:color w:val="auto"/>
                <w:highlight w:val="none"/>
                <w:lang w:val="en-US" w:eastAsia="zh-CN"/>
              </w:rPr>
              <w:t>修改单</w:t>
            </w:r>
            <w:r>
              <w:rPr>
                <w:rFonts w:hint="default" w:ascii="Times New Roman" w:hAnsi="Times New Roman" w:cs="Times New Roman"/>
                <w:color w:val="auto"/>
                <w:highlight w:val="none"/>
              </w:rPr>
              <w:t>，项目区属于环境空气质量不达标区</w:t>
            </w:r>
            <w:r>
              <w:rPr>
                <w:rFonts w:hint="eastAsia" w:cs="Times New Roman"/>
                <w:color w:val="auto"/>
                <w:highlight w:val="none"/>
                <w:lang w:eastAsia="zh-CN"/>
              </w:rPr>
              <w:t>，超标主要受风沙天气影响</w:t>
            </w:r>
            <w:r>
              <w:rPr>
                <w:rFonts w:hint="default" w:ascii="Times New Roman" w:hAnsi="Times New Roman" w:cs="Times New Roman"/>
                <w:color w:val="auto"/>
                <w:highlight w:val="none"/>
              </w:rPr>
              <w:t>。</w:t>
            </w:r>
          </w:p>
          <w:p w14:paraId="3A4A047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对于环境空气质量不达标区域需提交《大气环境不达标区域削减方案》，根据生态环境部办公厅出具的《关于将巴音郭楞蒙古自治州 吐鲁番市 哈密市纳入</w:t>
            </w:r>
            <w:r>
              <w:rPr>
                <w:rFonts w:hint="default" w:ascii="Times New Roman" w:hAnsi="Times New Roman" w:cs="Times New Roman"/>
                <w:color w:val="auto"/>
                <w:highlight w:val="none"/>
                <w:lang w:eastAsia="zh-CN"/>
              </w:rPr>
              <w:t>执行〈</w:t>
            </w:r>
            <w:r>
              <w:rPr>
                <w:rFonts w:hint="default" w:ascii="Times New Roman" w:hAnsi="Times New Roman" w:cs="Times New Roman"/>
                <w:color w:val="auto"/>
                <w:highlight w:val="none"/>
              </w:rPr>
              <w:t>环境影响评价技术导则大气环境（HJ2.2-2018）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差别化政策范围的复函》（环办环评函</w:t>
            </w:r>
            <w:r>
              <w:rPr>
                <w:rFonts w:hint="default" w:ascii="Times New Roman" w:hAnsi="Times New Roman" w:cs="Times New Roman"/>
                <w:color w:val="auto"/>
                <w:highlight w:val="none"/>
                <w:lang w:eastAsia="zh-CN"/>
              </w:rPr>
              <w:t>〔2020〕341号</w:t>
            </w:r>
            <w:r>
              <w:rPr>
                <w:rFonts w:hint="default" w:ascii="Times New Roman" w:hAnsi="Times New Roman" w:cs="Times New Roman"/>
                <w:color w:val="auto"/>
                <w:highlight w:val="none"/>
              </w:rPr>
              <w:t>），同意对巴音郭楞蒙古自治州实施环境影响评价差别化政策，本项目可不提供颗粒物区域削减方案。</w:t>
            </w:r>
          </w:p>
          <w:p w14:paraId="117C13B8">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1.1.</w:t>
            </w:r>
            <w:r>
              <w:rPr>
                <w:rFonts w:hint="default" w:ascii="Times New Roman" w:hAnsi="Times New Roman" w:cs="Times New Roman"/>
                <w:b/>
                <w:color w:val="auto"/>
                <w:highlight w:val="none"/>
                <w:lang w:val="en-US" w:eastAsia="zh-CN"/>
              </w:rPr>
              <w:t>5</w:t>
            </w:r>
            <w:r>
              <w:rPr>
                <w:rFonts w:hint="default" w:ascii="Times New Roman" w:hAnsi="Times New Roman" w:cs="Times New Roman"/>
                <w:b/>
                <w:bCs/>
                <w:kern w:val="0"/>
                <w:sz w:val="24"/>
                <w:highlight w:val="none"/>
                <w:lang w:bidi="ar"/>
              </w:rPr>
              <w:t>特征污染物环境质量状况调查</w:t>
            </w:r>
          </w:p>
          <w:p w14:paraId="42EFEE4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解项目所在区域的特征因子环境质量现状，根据建设项目环境影响报告表编制技术指南（污染影响类）（试行）要求，排放国家、地方环境空气质量标准中有标准限值要求的特征污染物时，可引用建设项目周边5千米范围内近3年的现有监测数据，无相关数据的选择当季主导风向下风向1个点位补充不少于3天的监测数据。</w:t>
            </w:r>
          </w:p>
          <w:p w14:paraId="5163996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排放国家、地方环境空气质量标准中有标准限值要求的特征污染物时，无相关数据的选择当季主导风向下风向1个点位补充不少于3天的监测数据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监测布点详见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附图</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建设项目监测布点图。</w:t>
            </w:r>
          </w:p>
          <w:p w14:paraId="6D2412E3">
            <w:pPr>
              <w:overflowPunct w:val="0"/>
              <w:adjustRightInd w:val="0"/>
              <w:snapToGrid w:val="0"/>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1.2.1数据来源</w:t>
            </w:r>
          </w:p>
          <w:p w14:paraId="57EE5B2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本项目特征污染物</w:t>
            </w:r>
            <w:r>
              <w:rPr>
                <w:rFonts w:hint="default" w:ascii="Times New Roman" w:hAnsi="Times New Roman" w:cs="Times New Roman"/>
                <w:color w:val="auto"/>
                <w:highlight w:val="none"/>
                <w:lang w:val="en-US" w:eastAsia="zh-CN"/>
              </w:rPr>
              <w:t>引用“</w:t>
            </w:r>
            <w:r>
              <w:rPr>
                <w:rFonts w:hint="default" w:ascii="Times New Roman" w:hAnsi="Times New Roman" w:cs="Times New Roman"/>
                <w:color w:val="auto"/>
                <w:highlight w:val="none"/>
              </w:rPr>
              <w:t>新疆中检联检测有限公司</w:t>
            </w:r>
            <w:r>
              <w:rPr>
                <w:rFonts w:hint="default" w:ascii="Times New Roman" w:hAnsi="Times New Roman" w:cs="Times New Roman"/>
                <w:color w:val="auto"/>
                <w:highlight w:val="none"/>
                <w:lang w:val="en-US" w:eastAsia="zh-CN"/>
              </w:rPr>
              <w:t>对库尔勒聚盈建材有限公司”的</w:t>
            </w:r>
            <w:r>
              <w:rPr>
                <w:rFonts w:hint="default" w:ascii="Times New Roman" w:hAnsi="Times New Roman" w:cs="Times New Roman"/>
                <w:color w:val="auto"/>
                <w:highlight w:val="none"/>
              </w:rPr>
              <w:t>监测数据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于2024年7月18日至2024年7月21日连续3日对</w:t>
            </w:r>
            <w:r>
              <w:rPr>
                <w:rFonts w:hint="default" w:ascii="Times New Roman" w:hAnsi="Times New Roman" w:cs="Times New Roman"/>
                <w:color w:val="auto"/>
                <w:highlight w:val="none"/>
                <w:lang w:val="en-US" w:eastAsia="zh-CN"/>
              </w:rPr>
              <w:t>尔勒聚盈建材有限公司</w:t>
            </w:r>
            <w:r>
              <w:rPr>
                <w:rFonts w:hint="default" w:ascii="Times New Roman" w:hAnsi="Times New Roman" w:cs="Times New Roman"/>
                <w:color w:val="auto"/>
                <w:highlight w:val="none"/>
              </w:rPr>
              <w:t>当季主导下风向的TSP监测数据。</w:t>
            </w:r>
          </w:p>
          <w:p w14:paraId="66DD87F4">
            <w:pPr>
              <w:overflowPunct w:val="0"/>
              <w:adjustRightInd w:val="0"/>
              <w:snapToGrid w:val="0"/>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1.2.2监测点位</w:t>
            </w:r>
          </w:p>
          <w:p w14:paraId="02787231">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监测点位于本项目区</w:t>
            </w:r>
            <w:r>
              <w:rPr>
                <w:rFonts w:hint="default" w:ascii="Times New Roman" w:hAnsi="Times New Roman" w:cs="Times New Roman"/>
                <w:color w:val="auto"/>
                <w:highlight w:val="none"/>
                <w:lang w:val="en-US" w:eastAsia="zh-CN"/>
              </w:rPr>
              <w:t>东南</w:t>
            </w:r>
            <w:r>
              <w:rPr>
                <w:rFonts w:hint="default" w:ascii="Times New Roman" w:hAnsi="Times New Roman" w:cs="Times New Roman"/>
                <w:color w:val="auto"/>
                <w:highlight w:val="none"/>
              </w:rPr>
              <w:t>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直线距离约500</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坐标：东经85°55'9.755″，北纬41°51'4.454″。</w:t>
            </w:r>
          </w:p>
          <w:p w14:paraId="3FD3BD81">
            <w:pPr>
              <w:overflowPunct w:val="0"/>
              <w:adjustRightInd w:val="0"/>
              <w:snapToGrid w:val="0"/>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1.2.3监测时间和频次</w:t>
            </w:r>
          </w:p>
          <w:p w14:paraId="4EB3A4E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监测时间和频次见表3-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21DF908D">
            <w:pPr>
              <w:pStyle w:val="66"/>
              <w:tabs>
                <w:tab w:val="left" w:pos="3390"/>
              </w:tabs>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表3-</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 xml:space="preserve">   大气监测时间和频次汇总表</w:t>
            </w:r>
          </w:p>
          <w:tbl>
            <w:tblPr>
              <w:tblStyle w:val="29"/>
              <w:tblW w:w="8189" w:type="dxa"/>
              <w:jc w:val="center"/>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10" w:type="dxa"/>
                <w:bottom w:w="0" w:type="dxa"/>
                <w:right w:w="10" w:type="dxa"/>
              </w:tblCellMar>
            </w:tblPr>
            <w:tblGrid>
              <w:gridCol w:w="608"/>
              <w:gridCol w:w="1150"/>
              <w:gridCol w:w="1200"/>
              <w:gridCol w:w="2765"/>
              <w:gridCol w:w="2466"/>
            </w:tblGrid>
            <w:tr w14:paraId="63457E8C">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10" w:type="dxa"/>
                  <w:bottom w:w="0" w:type="dxa"/>
                  <w:right w:w="10" w:type="dxa"/>
                </w:tblCellMar>
              </w:tblPrEx>
              <w:trPr>
                <w:trHeight w:val="542" w:hRule="atLeast"/>
                <w:jc w:val="center"/>
              </w:trPr>
              <w:tc>
                <w:tcPr>
                  <w:tcW w:w="608" w:type="dxa"/>
                  <w:tcBorders>
                    <w:top w:val="single" w:color="auto" w:sz="4" w:space="0"/>
                  </w:tcBorders>
                  <w:shd w:val="clear" w:color="auto" w:fill="FFFFFF"/>
                  <w:vAlign w:val="center"/>
                </w:tcPr>
                <w:p w14:paraId="4312F880">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编号</w:t>
                  </w:r>
                </w:p>
              </w:tc>
              <w:tc>
                <w:tcPr>
                  <w:tcW w:w="1150" w:type="dxa"/>
                  <w:tcBorders>
                    <w:top w:val="single" w:color="auto" w:sz="4" w:space="0"/>
                    <w:left w:val="single" w:color="auto" w:sz="4" w:space="0"/>
                  </w:tcBorders>
                  <w:shd w:val="clear" w:color="auto" w:fill="FFFFFF"/>
                  <w:vAlign w:val="center"/>
                </w:tcPr>
                <w:p w14:paraId="1311B136">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1200" w:type="dxa"/>
                  <w:tcBorders>
                    <w:top w:val="single" w:color="auto" w:sz="4" w:space="0"/>
                    <w:left w:val="single" w:color="auto" w:sz="4" w:space="0"/>
                  </w:tcBorders>
                  <w:shd w:val="clear" w:color="auto" w:fill="FFFFFF"/>
                  <w:vAlign w:val="center"/>
                </w:tcPr>
                <w:p w14:paraId="2B9CF232">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2765" w:type="dxa"/>
                  <w:tcBorders>
                    <w:top w:val="single" w:color="auto" w:sz="4" w:space="0"/>
                    <w:left w:val="single" w:color="auto" w:sz="4" w:space="0"/>
                  </w:tcBorders>
                  <w:shd w:val="clear" w:color="auto" w:fill="FFFFFF"/>
                  <w:vAlign w:val="center"/>
                </w:tcPr>
                <w:p w14:paraId="2D30AF1D">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监测时间及频次</w:t>
                  </w:r>
                </w:p>
              </w:tc>
              <w:tc>
                <w:tcPr>
                  <w:tcW w:w="2466" w:type="dxa"/>
                  <w:tcBorders>
                    <w:top w:val="single" w:color="auto" w:sz="4" w:space="0"/>
                    <w:left w:val="single" w:color="auto" w:sz="4" w:space="0"/>
                  </w:tcBorders>
                  <w:shd w:val="clear" w:color="auto" w:fill="FFFFFF"/>
                  <w:vAlign w:val="center"/>
                </w:tcPr>
                <w:p w14:paraId="3ED03CCA">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监测要求</w:t>
                  </w:r>
                </w:p>
              </w:tc>
            </w:tr>
            <w:tr w14:paraId="38123160">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10" w:type="dxa"/>
                  <w:bottom w:w="0" w:type="dxa"/>
                  <w:right w:w="10" w:type="dxa"/>
                </w:tblCellMar>
              </w:tblPrEx>
              <w:trPr>
                <w:trHeight w:val="572" w:hRule="atLeast"/>
                <w:jc w:val="center"/>
              </w:trPr>
              <w:tc>
                <w:tcPr>
                  <w:tcW w:w="608" w:type="dxa"/>
                  <w:tcBorders>
                    <w:top w:val="single" w:color="auto" w:sz="4" w:space="0"/>
                  </w:tcBorders>
                  <w:shd w:val="clear" w:color="auto" w:fill="FFFFFF"/>
                  <w:vAlign w:val="center"/>
                </w:tcPr>
                <w:p w14:paraId="6F2600A0">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150" w:type="dxa"/>
                  <w:tcBorders>
                    <w:top w:val="single" w:color="auto" w:sz="4" w:space="0"/>
                    <w:left w:val="single" w:color="auto" w:sz="4" w:space="0"/>
                  </w:tcBorders>
                  <w:shd w:val="clear" w:color="auto" w:fill="FFFFFF"/>
                  <w:vAlign w:val="center"/>
                </w:tcPr>
                <w:p w14:paraId="3E0AC1D6">
                  <w:pPr>
                    <w:pStyle w:val="6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TSP</w:t>
                  </w:r>
                </w:p>
              </w:tc>
              <w:tc>
                <w:tcPr>
                  <w:tcW w:w="1200" w:type="dxa"/>
                  <w:tcBorders>
                    <w:top w:val="single" w:color="auto" w:sz="4" w:space="0"/>
                    <w:left w:val="single" w:color="auto" w:sz="4" w:space="0"/>
                  </w:tcBorders>
                  <w:shd w:val="clear" w:color="auto" w:fill="FFFFFF"/>
                  <w:vAlign w:val="center"/>
                </w:tcPr>
                <w:p w14:paraId="038061C3">
                  <w:pPr>
                    <w:pStyle w:val="6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日均值</w:t>
                  </w:r>
                </w:p>
              </w:tc>
              <w:tc>
                <w:tcPr>
                  <w:tcW w:w="2765" w:type="dxa"/>
                  <w:tcBorders>
                    <w:top w:val="single" w:color="auto" w:sz="4" w:space="0"/>
                    <w:left w:val="single" w:color="auto" w:sz="4" w:space="0"/>
                  </w:tcBorders>
                  <w:shd w:val="clear" w:color="auto" w:fill="FFFFFF"/>
                  <w:vAlign w:val="center"/>
                </w:tcPr>
                <w:p w14:paraId="73409147">
                  <w:pPr>
                    <w:pStyle w:val="6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连续3天，每天采样24h</w:t>
                  </w:r>
                </w:p>
              </w:tc>
              <w:tc>
                <w:tcPr>
                  <w:tcW w:w="2466" w:type="dxa"/>
                  <w:tcBorders>
                    <w:top w:val="single" w:color="auto" w:sz="4" w:space="0"/>
                    <w:left w:val="single" w:color="auto" w:sz="4" w:space="0"/>
                  </w:tcBorders>
                  <w:shd w:val="clear" w:color="auto" w:fill="FFFFFF"/>
                  <w:vAlign w:val="center"/>
                </w:tcPr>
                <w:p w14:paraId="53BEB3B1">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同步收集监测期间的气象条件</w:t>
                  </w:r>
                </w:p>
              </w:tc>
            </w:tr>
          </w:tbl>
          <w:p w14:paraId="792B00F6">
            <w:pPr>
              <w:overflowPunct w:val="0"/>
              <w:adjustRightInd w:val="0"/>
              <w:snapToGrid w:val="0"/>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1.2.4监测结果及评价</w:t>
            </w:r>
          </w:p>
          <w:p w14:paraId="0364F2C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特征污染物环境质量现状监测结果见表3-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14:paraId="63BB12B2">
            <w:pPr>
              <w:spacing w:before="120" w:beforeLines="50" w:line="240" w:lineRule="auto"/>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表3-</w:t>
            </w:r>
            <w:r>
              <w:rPr>
                <w:rFonts w:hint="default" w:ascii="Times New Roman" w:hAnsi="Times New Roman" w:cs="Times New Roman"/>
                <w:b/>
                <w:color w:val="auto"/>
                <w:sz w:val="21"/>
                <w:highlight w:val="none"/>
                <w:lang w:val="en-US" w:eastAsia="zh-CN"/>
              </w:rPr>
              <w:t>4</w:t>
            </w:r>
            <w:r>
              <w:rPr>
                <w:rFonts w:hint="default" w:ascii="Times New Roman" w:hAnsi="Times New Roman" w:cs="Times New Roman"/>
                <w:b/>
                <w:color w:val="auto"/>
                <w:sz w:val="21"/>
                <w:highlight w:val="none"/>
              </w:rPr>
              <w:t xml:space="preserve">  </w:t>
            </w:r>
            <w:r>
              <w:rPr>
                <w:rFonts w:hint="default" w:ascii="Times New Roman" w:hAnsi="Times New Roman" w:cs="Times New Roman"/>
                <w:b/>
                <w:color w:val="auto"/>
                <w:sz w:val="21"/>
                <w:highlight w:val="none"/>
                <w:lang w:val="en-US" w:eastAsia="zh-CN"/>
              </w:rPr>
              <w:t xml:space="preserve"> </w:t>
            </w:r>
            <w:r>
              <w:rPr>
                <w:rFonts w:hint="default" w:ascii="Times New Roman" w:hAnsi="Times New Roman" w:cs="Times New Roman"/>
                <w:b/>
                <w:color w:val="auto"/>
                <w:sz w:val="21"/>
                <w:highlight w:val="none"/>
              </w:rPr>
              <w:t>特征污染物环境质量现状监测结果</w:t>
            </w:r>
          </w:p>
          <w:tbl>
            <w:tblPr>
              <w:tblStyle w:val="29"/>
              <w:tblW w:w="8159"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1"/>
              <w:gridCol w:w="787"/>
              <w:gridCol w:w="1026"/>
              <w:gridCol w:w="1150"/>
              <w:gridCol w:w="1599"/>
              <w:gridCol w:w="1076"/>
              <w:gridCol w:w="1053"/>
              <w:gridCol w:w="727"/>
            </w:tblGrid>
            <w:tr w14:paraId="171391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1" w:type="dxa"/>
                  <w:vAlign w:val="center"/>
                </w:tcPr>
                <w:p w14:paraId="46690C27">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w:t>
                  </w:r>
                </w:p>
                <w:p w14:paraId="357650FD">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点位</w:t>
                  </w:r>
                </w:p>
              </w:tc>
              <w:tc>
                <w:tcPr>
                  <w:tcW w:w="787" w:type="dxa"/>
                  <w:vAlign w:val="center"/>
                </w:tcPr>
                <w:p w14:paraId="7F839CBF">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w:t>
                  </w:r>
                </w:p>
              </w:tc>
              <w:tc>
                <w:tcPr>
                  <w:tcW w:w="1026" w:type="dxa"/>
                  <w:vAlign w:val="center"/>
                </w:tcPr>
                <w:p w14:paraId="065D3935">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平均</w:t>
                  </w:r>
                </w:p>
                <w:p w14:paraId="608614E6">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时间</w:t>
                  </w:r>
                </w:p>
              </w:tc>
              <w:tc>
                <w:tcPr>
                  <w:tcW w:w="1150" w:type="dxa"/>
                  <w:vAlign w:val="center"/>
                </w:tcPr>
                <w:p w14:paraId="01B449A7">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评价标准（μg/m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599" w:type="dxa"/>
                  <w:vAlign w:val="center"/>
                </w:tcPr>
                <w:p w14:paraId="55EE5E64">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监测浓度范围（μg/m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1076" w:type="dxa"/>
                  <w:vAlign w:val="center"/>
                </w:tcPr>
                <w:p w14:paraId="453B21A0">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最大浓度占标率%</w:t>
                  </w:r>
                </w:p>
              </w:tc>
              <w:tc>
                <w:tcPr>
                  <w:tcW w:w="1053" w:type="dxa"/>
                  <w:vAlign w:val="center"/>
                </w:tcPr>
                <w:p w14:paraId="47857CBD">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超标率%</w:t>
                  </w:r>
                </w:p>
              </w:tc>
              <w:tc>
                <w:tcPr>
                  <w:tcW w:w="727" w:type="dxa"/>
                  <w:vAlign w:val="center"/>
                </w:tcPr>
                <w:p w14:paraId="7E0A58F1">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达标情况</w:t>
                  </w:r>
                </w:p>
              </w:tc>
            </w:tr>
            <w:tr w14:paraId="35368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41" w:type="dxa"/>
                  <w:vAlign w:val="center"/>
                </w:tcPr>
                <w:p w14:paraId="385FE468">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787" w:type="dxa"/>
                  <w:vAlign w:val="center"/>
                </w:tcPr>
                <w:p w14:paraId="5ED2AF6D">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TSP</w:t>
                  </w:r>
                </w:p>
              </w:tc>
              <w:tc>
                <w:tcPr>
                  <w:tcW w:w="1026" w:type="dxa"/>
                  <w:vAlign w:val="center"/>
                </w:tcPr>
                <w:p w14:paraId="04A4CBA2">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24小时</w:t>
                  </w:r>
                </w:p>
              </w:tc>
              <w:tc>
                <w:tcPr>
                  <w:tcW w:w="1150" w:type="dxa"/>
                  <w:vAlign w:val="center"/>
                </w:tcPr>
                <w:p w14:paraId="53295021">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300</w:t>
                  </w:r>
                </w:p>
              </w:tc>
              <w:tc>
                <w:tcPr>
                  <w:tcW w:w="1599" w:type="dxa"/>
                  <w:vAlign w:val="center"/>
                </w:tcPr>
                <w:p w14:paraId="4090913B">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150~156</w:t>
                  </w:r>
                </w:p>
              </w:tc>
              <w:tc>
                <w:tcPr>
                  <w:tcW w:w="1076" w:type="dxa"/>
                  <w:vAlign w:val="center"/>
                </w:tcPr>
                <w:p w14:paraId="70908A35">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52</w:t>
                  </w:r>
                </w:p>
              </w:tc>
              <w:tc>
                <w:tcPr>
                  <w:tcW w:w="1053" w:type="dxa"/>
                  <w:vAlign w:val="center"/>
                </w:tcPr>
                <w:p w14:paraId="1D1C24A4">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w:t>
                  </w:r>
                </w:p>
              </w:tc>
              <w:tc>
                <w:tcPr>
                  <w:tcW w:w="727" w:type="dxa"/>
                  <w:vAlign w:val="center"/>
                </w:tcPr>
                <w:p w14:paraId="45AE6F80">
                  <w:pPr>
                    <w:spacing w:line="240" w:lineRule="auto"/>
                    <w:ind w:firstLine="0" w:firstLineChars="0"/>
                    <w:contextualSpacing/>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达标</w:t>
                  </w:r>
                </w:p>
              </w:tc>
            </w:tr>
          </w:tbl>
          <w:p w14:paraId="393BA84C">
            <w:pPr>
              <w:overflowPunct w:val="0"/>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从监测结果可知，</w:t>
            </w:r>
            <w:r>
              <w:rPr>
                <w:rFonts w:hint="default" w:ascii="Times New Roman" w:hAnsi="Times New Roman" w:cs="Times New Roman"/>
                <w:color w:val="auto"/>
                <w:highlight w:val="none"/>
              </w:rPr>
              <w:t>由上表可知，TSP满足《环境空气质量标准》（GB3095-2012）二级标准。</w:t>
            </w:r>
          </w:p>
          <w:p w14:paraId="654A14BA">
            <w:pPr>
              <w:pStyle w:val="50"/>
              <w:spacing w:line="360" w:lineRule="auto"/>
              <w:ind w:firstLine="0" w:firstLineChars="0"/>
              <w:rPr>
                <w:rFonts w:hint="default" w:ascii="Times New Roman" w:hAnsi="Times New Roman" w:eastAsia="宋体" w:cs="Times New Roman"/>
                <w:b/>
                <w:color w:val="auto"/>
                <w:sz w:val="25"/>
                <w:szCs w:val="25"/>
                <w:highlight w:val="none"/>
              </w:rPr>
            </w:pPr>
            <w:r>
              <w:rPr>
                <w:rFonts w:hint="default" w:ascii="Times New Roman" w:hAnsi="Times New Roman" w:eastAsia="宋体" w:cs="Times New Roman"/>
                <w:b/>
                <w:color w:val="auto"/>
                <w:sz w:val="25"/>
                <w:szCs w:val="25"/>
                <w:highlight w:val="none"/>
              </w:rPr>
              <w:t>2地表水环境质量</w:t>
            </w:r>
          </w:p>
          <w:p w14:paraId="01AA6770">
            <w:pPr>
              <w:adjustRightInd w:val="0"/>
              <w:snapToGrid w:val="0"/>
              <w:ind w:firstLine="480"/>
              <w:rPr>
                <w:rFonts w:hint="default" w:ascii="Times New Roman" w:hAnsi="Times New Roman" w:cs="Times New Roman"/>
              </w:rPr>
            </w:pPr>
            <w:r>
              <w:rPr>
                <w:rFonts w:hint="default" w:ascii="Times New Roman" w:hAnsi="Times New Roman" w:cs="Times New Roman"/>
              </w:rPr>
              <w:t>根据《202</w:t>
            </w:r>
            <w:r>
              <w:rPr>
                <w:rFonts w:hint="default" w:ascii="Times New Roman" w:hAnsi="Times New Roman" w:cs="Times New Roman"/>
                <w:lang w:val="en-US" w:eastAsia="zh-CN"/>
              </w:rPr>
              <w:t>4</w:t>
            </w:r>
            <w:r>
              <w:rPr>
                <w:rFonts w:hint="default" w:ascii="Times New Roman" w:hAnsi="Times New Roman" w:cs="Times New Roman"/>
              </w:rPr>
              <w:t>年巴音郭楞蒙古自治州生态环境状况公报》可知：2024年，全州地表水监测的31个考核断面</w:t>
            </w:r>
            <w:r>
              <w:rPr>
                <w:rFonts w:hint="eastAsia" w:cs="Times New Roman"/>
                <w:lang w:eastAsia="zh-CN"/>
              </w:rPr>
              <w:t>（</w:t>
            </w:r>
            <w:r>
              <w:rPr>
                <w:rFonts w:hint="default" w:ascii="Times New Roman" w:hAnsi="Times New Roman" w:cs="Times New Roman"/>
              </w:rPr>
              <w:t>点位</w:t>
            </w:r>
            <w:r>
              <w:rPr>
                <w:rFonts w:hint="eastAsia" w:cs="Times New Roman"/>
                <w:lang w:eastAsia="zh-CN"/>
              </w:rPr>
              <w:t>）</w:t>
            </w:r>
            <w:r>
              <w:rPr>
                <w:rFonts w:hint="default" w:ascii="Times New Roman" w:hAnsi="Times New Roman" w:cs="Times New Roman"/>
              </w:rPr>
              <w:t>中，I~Ⅲ类优良水质断面</w:t>
            </w:r>
            <w:r>
              <w:rPr>
                <w:rFonts w:hint="eastAsia" w:cs="Times New Roman"/>
                <w:lang w:eastAsia="zh-CN"/>
              </w:rPr>
              <w:t>（</w:t>
            </w:r>
            <w:r>
              <w:rPr>
                <w:rFonts w:hint="default" w:ascii="Times New Roman" w:hAnsi="Times New Roman" w:cs="Times New Roman"/>
              </w:rPr>
              <w:t>点位</w:t>
            </w:r>
            <w:r>
              <w:rPr>
                <w:rFonts w:hint="eastAsia" w:cs="Times New Roman"/>
                <w:lang w:eastAsia="zh-CN"/>
              </w:rPr>
              <w:t>）</w:t>
            </w:r>
            <w:r>
              <w:rPr>
                <w:rFonts w:hint="default" w:ascii="Times New Roman" w:hAnsi="Times New Roman" w:cs="Times New Roman"/>
              </w:rPr>
              <w:t>占比90.3%，无</w:t>
            </w:r>
            <w:r>
              <w:rPr>
                <w:rFonts w:hint="eastAsia" w:cs="Times New Roman"/>
                <w:lang w:eastAsia="zh-CN"/>
              </w:rPr>
              <w:t>Ⅳ类</w:t>
            </w:r>
            <w:r>
              <w:rPr>
                <w:rFonts w:hint="default" w:ascii="Times New Roman" w:hAnsi="Times New Roman" w:cs="Times New Roman"/>
              </w:rPr>
              <w:t>水质。6条主要河流19个监测断面中1~Ⅲ类优良水质断面占100%，3个重要湖泊</w:t>
            </w:r>
            <w:r>
              <w:rPr>
                <w:rFonts w:hint="eastAsia" w:cs="Times New Roman"/>
                <w:lang w:eastAsia="zh-CN"/>
              </w:rPr>
              <w:t>（</w:t>
            </w:r>
            <w:r>
              <w:rPr>
                <w:rFonts w:hint="default" w:ascii="Times New Roman" w:hAnsi="Times New Roman" w:cs="Times New Roman"/>
              </w:rPr>
              <w:t>水库</w:t>
            </w:r>
            <w:r>
              <w:rPr>
                <w:rFonts w:hint="eastAsia" w:cs="Times New Roman"/>
                <w:lang w:eastAsia="zh-CN"/>
              </w:rPr>
              <w:t>）</w:t>
            </w:r>
            <w:r>
              <w:rPr>
                <w:rFonts w:hint="default" w:ascii="Times New Roman" w:hAnsi="Times New Roman" w:cs="Times New Roman"/>
              </w:rPr>
              <w:t>12个监测点位中I~Ⅲ类优良水质断面占75%，无劣V类水体，湖泊水质影响因子为化学需氧量。</w:t>
            </w:r>
          </w:p>
          <w:p w14:paraId="3DC5B8EC">
            <w:pPr>
              <w:adjustRightInd w:val="0"/>
              <w:snapToGrid w:val="0"/>
              <w:ind w:firstLine="480"/>
              <w:rPr>
                <w:rFonts w:hint="default" w:ascii="Times New Roman" w:hAnsi="Times New Roman" w:cs="Times New Roman"/>
              </w:rPr>
            </w:pPr>
            <w:r>
              <w:rPr>
                <w:rFonts w:hint="default" w:ascii="Times New Roman" w:hAnsi="Times New Roman" w:cs="Times New Roman"/>
              </w:rPr>
              <w:t>距离本项目最近的地表水体为十八团渠，位于项目区南侧，相距2.24km，十八团渠水源源于孔雀河，根据《202</w:t>
            </w:r>
            <w:r>
              <w:rPr>
                <w:rFonts w:hint="default" w:ascii="Times New Roman" w:hAnsi="Times New Roman" w:cs="Times New Roman"/>
                <w:lang w:val="en-US" w:eastAsia="zh-CN"/>
              </w:rPr>
              <w:t>4</w:t>
            </w:r>
            <w:r>
              <w:rPr>
                <w:rFonts w:hint="default" w:ascii="Times New Roman" w:hAnsi="Times New Roman" w:cs="Times New Roman"/>
              </w:rPr>
              <w:t>年巴音郭楞蒙古自治州生态环境状况公报》，孔雀河水质可达到《地表水环境质量标准》（GB3838-2002）Ⅲ类标准。</w:t>
            </w:r>
          </w:p>
          <w:p w14:paraId="6A3C6CF0">
            <w:pPr>
              <w:pStyle w:val="50"/>
              <w:spacing w:line="360" w:lineRule="auto"/>
              <w:ind w:firstLine="0" w:firstLineChars="0"/>
              <w:rPr>
                <w:rFonts w:hint="default" w:ascii="Times New Roman" w:hAnsi="Times New Roman" w:eastAsia="宋体" w:cs="Times New Roman"/>
                <w:b/>
                <w:color w:val="auto"/>
                <w:sz w:val="25"/>
                <w:szCs w:val="25"/>
                <w:highlight w:val="none"/>
              </w:rPr>
            </w:pPr>
            <w:r>
              <w:rPr>
                <w:rFonts w:hint="default" w:ascii="Times New Roman" w:hAnsi="Times New Roman" w:eastAsia="宋体" w:cs="Times New Roman"/>
                <w:b/>
                <w:color w:val="auto"/>
                <w:sz w:val="25"/>
                <w:szCs w:val="25"/>
                <w:highlight w:val="none"/>
              </w:rPr>
              <w:t>3声环境质量现状</w:t>
            </w:r>
          </w:p>
          <w:p w14:paraId="55A12CDC">
            <w:pPr>
              <w:ind w:firstLine="480"/>
              <w:outlineLvl w:val="1"/>
              <w:rPr>
                <w:rFonts w:hint="default" w:ascii="Times New Roman" w:hAnsi="Times New Roman" w:cs="Times New Roman"/>
                <w:color w:val="auto"/>
                <w:highlight w:val="none"/>
              </w:rPr>
            </w:pPr>
            <w:r>
              <w:rPr>
                <w:rFonts w:hint="default" w:ascii="Times New Roman" w:hAnsi="Times New Roman" w:cs="Times New Roman"/>
              </w:rPr>
              <w:t>根据《建设项目环境影响报告表编制技术指</w:t>
            </w:r>
            <w:r>
              <w:rPr>
                <w:rFonts w:hint="default" w:ascii="Times New Roman" w:hAnsi="Times New Roman" w:cs="Times New Roman"/>
                <w:spacing w:val="-1"/>
              </w:rPr>
              <w:t>南》（污染影响类）（试行</w:t>
            </w:r>
            <w:r>
              <w:rPr>
                <w:rFonts w:hint="default" w:ascii="Times New Roman" w:hAnsi="Times New Roman" w:cs="Times New Roman"/>
                <w:spacing w:val="-1"/>
                <w:lang w:eastAsia="zh-CN"/>
              </w:rPr>
              <w:t>），</w:t>
            </w:r>
            <w:r>
              <w:rPr>
                <w:rFonts w:hint="default" w:ascii="Times New Roman" w:hAnsi="Times New Roman" w:cs="Times New Roman"/>
                <w:spacing w:val="1"/>
              </w:rPr>
              <w:t>本项目厂界外周边</w:t>
            </w:r>
            <w:r>
              <w:rPr>
                <w:rFonts w:hint="default" w:ascii="Times New Roman" w:hAnsi="Times New Roman" w:eastAsia="Times New Roman" w:cs="Times New Roman"/>
                <w:spacing w:val="1"/>
              </w:rPr>
              <w:t>50</w:t>
            </w:r>
            <w:r>
              <w:rPr>
                <w:rFonts w:hint="default" w:ascii="Times New Roman" w:hAnsi="Times New Roman" w:cs="Times New Roman"/>
                <w:spacing w:val="1"/>
              </w:rPr>
              <w:t>米范围内不存在声环境保护目标，无需监测声环境</w:t>
            </w:r>
            <w:r>
              <w:rPr>
                <w:rFonts w:hint="default" w:ascii="Times New Roman" w:hAnsi="Times New Roman" w:cs="Times New Roman"/>
                <w:spacing w:val="-4"/>
              </w:rPr>
              <w:t>质量现状并评价达标情况。</w:t>
            </w:r>
          </w:p>
          <w:p w14:paraId="67DCBFBD">
            <w:pPr>
              <w:pStyle w:val="51"/>
              <w:ind w:firstLine="0" w:firstLineChars="0"/>
              <w:rPr>
                <w:rFonts w:hint="default" w:ascii="Times New Roman" w:hAnsi="Times New Roman" w:cs="Times New Roman"/>
                <w:b/>
                <w:color w:val="auto"/>
                <w:sz w:val="25"/>
                <w:szCs w:val="25"/>
                <w:highlight w:val="none"/>
                <w:lang w:bidi="ug-CN"/>
              </w:rPr>
            </w:pPr>
            <w:r>
              <w:rPr>
                <w:rFonts w:hint="default" w:ascii="Times New Roman" w:hAnsi="Times New Roman" w:cs="Times New Roman"/>
                <w:b/>
                <w:color w:val="auto"/>
                <w:sz w:val="25"/>
                <w:szCs w:val="25"/>
                <w:highlight w:val="none"/>
                <w:lang w:bidi="ug-CN"/>
              </w:rPr>
              <w:t>4地下水和土壤质量现状</w:t>
            </w:r>
          </w:p>
          <w:p w14:paraId="42FB8BF8">
            <w:pPr>
              <w:pStyle w:val="51"/>
              <w:ind w:firstLine="480"/>
              <w:rPr>
                <w:rFonts w:hint="default" w:ascii="Times New Roman" w:hAnsi="Times New Roman" w:cs="Times New Roman"/>
                <w:color w:val="auto"/>
                <w:highlight w:val="none"/>
                <w:lang w:bidi="ug-CN"/>
              </w:rPr>
            </w:pPr>
            <w:r>
              <w:rPr>
                <w:rFonts w:hint="default" w:ascii="Times New Roman" w:hAnsi="Times New Roman" w:cs="Times New Roman"/>
                <w:spacing w:val="-1"/>
              </w:rPr>
              <w:t>根据《建设项目环境影响评价报告表编制技术指南（污染影响类</w:t>
            </w:r>
            <w:r>
              <w:rPr>
                <w:rFonts w:hint="default" w:ascii="Times New Roman" w:hAnsi="Times New Roman" w:cs="Times New Roman"/>
                <w:spacing w:val="9"/>
              </w:rPr>
              <w:t>）（</w:t>
            </w:r>
            <w:r>
              <w:rPr>
                <w:rFonts w:hint="default" w:ascii="Times New Roman" w:hAnsi="Times New Roman" w:cs="Times New Roman"/>
                <w:spacing w:val="-1"/>
              </w:rPr>
              <w:t>试</w:t>
            </w:r>
            <w:r>
              <w:rPr>
                <w:rFonts w:hint="default" w:ascii="Times New Roman" w:hAnsi="Times New Roman" w:cs="Times New Roman"/>
                <w:spacing w:val="-2"/>
              </w:rPr>
              <w:t>行）》，本项目采取分区防控措施，</w:t>
            </w:r>
            <w:r>
              <w:rPr>
                <w:rFonts w:hint="default" w:ascii="Times New Roman" w:hAnsi="Times New Roman" w:cs="Times New Roman"/>
                <w:spacing w:val="-61"/>
              </w:rPr>
              <w:t xml:space="preserve"> </w:t>
            </w:r>
            <w:r>
              <w:rPr>
                <w:rFonts w:hint="default" w:ascii="Times New Roman" w:hAnsi="Times New Roman" w:cs="Times New Roman"/>
                <w:spacing w:val="-2"/>
              </w:rPr>
              <w:t>不存在地下水、土壤</w:t>
            </w:r>
            <w:r>
              <w:rPr>
                <w:rFonts w:hint="default" w:ascii="Times New Roman" w:hAnsi="Times New Roman" w:cs="Times New Roman"/>
                <w:spacing w:val="-3"/>
              </w:rPr>
              <w:t>污染途径，因此无需进行地下水、土壤现状评价</w:t>
            </w:r>
            <w:r>
              <w:rPr>
                <w:rFonts w:hint="default" w:ascii="Times New Roman" w:hAnsi="Times New Roman" w:cs="Times New Roman"/>
                <w:color w:val="auto"/>
                <w:highlight w:val="none"/>
                <w:lang w:bidi="ug-CN"/>
              </w:rPr>
              <w:t>。</w:t>
            </w:r>
          </w:p>
          <w:p w14:paraId="329BCD7E">
            <w:pPr>
              <w:pStyle w:val="51"/>
              <w:ind w:firstLine="0" w:firstLineChars="0"/>
              <w:rPr>
                <w:rFonts w:hint="default" w:ascii="Times New Roman" w:hAnsi="Times New Roman" w:cs="Times New Roman"/>
                <w:b/>
                <w:color w:val="auto"/>
                <w:sz w:val="25"/>
                <w:szCs w:val="25"/>
                <w:highlight w:val="none"/>
                <w:lang w:bidi="ug-CN"/>
              </w:rPr>
            </w:pPr>
            <w:r>
              <w:rPr>
                <w:rFonts w:hint="default" w:ascii="Times New Roman" w:hAnsi="Times New Roman" w:cs="Times New Roman"/>
                <w:b/>
                <w:color w:val="auto"/>
                <w:sz w:val="25"/>
                <w:szCs w:val="25"/>
                <w:highlight w:val="none"/>
                <w:lang w:bidi="ug-CN"/>
              </w:rPr>
              <w:t>5生态环境质量现状</w:t>
            </w:r>
          </w:p>
          <w:p w14:paraId="43B60347">
            <w:pPr>
              <w:pStyle w:val="51"/>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rPr>
              <w:t>根据《建设项目环境影响报告表编制技术指</w:t>
            </w:r>
            <w:r>
              <w:rPr>
                <w:rFonts w:hint="default" w:ascii="Times New Roman" w:hAnsi="Times New Roman" w:cs="Times New Roman"/>
                <w:spacing w:val="-1"/>
              </w:rPr>
              <w:t>南》（污染影响类）（试行</w:t>
            </w:r>
            <w:r>
              <w:rPr>
                <w:rFonts w:hint="default" w:ascii="Times New Roman" w:hAnsi="Times New Roman" w:cs="Times New Roman"/>
                <w:spacing w:val="-1"/>
                <w:lang w:eastAsia="zh-CN"/>
              </w:rPr>
              <w:t>），</w:t>
            </w:r>
            <w:r>
              <w:rPr>
                <w:rFonts w:hint="default" w:ascii="Times New Roman" w:hAnsi="Times New Roman" w:cs="Times New Roman"/>
                <w:spacing w:val="4"/>
              </w:rPr>
              <w:t>产业园区外建设项目新增用地且用地范围内含有生态环境保护目标时，</w:t>
            </w:r>
            <w:r>
              <w:rPr>
                <w:rFonts w:hint="default" w:ascii="Times New Roman" w:hAnsi="Times New Roman" w:cs="Times New Roman"/>
              </w:rPr>
              <w:t>应进行生态现状调查。本项目位于库尔勒上库工业园区内</w:t>
            </w:r>
            <w:r>
              <w:rPr>
                <w:rFonts w:hint="default" w:ascii="Times New Roman" w:hAnsi="Times New Roman" w:cs="Times New Roman"/>
                <w:spacing w:val="-1"/>
              </w:rPr>
              <w:t>，用地范围内</w:t>
            </w:r>
            <w:r>
              <w:rPr>
                <w:rFonts w:hint="default" w:ascii="Times New Roman" w:hAnsi="Times New Roman" w:cs="Times New Roman"/>
                <w:spacing w:val="-2"/>
              </w:rPr>
              <w:t>不含有生态环境保护目标，因此无需进行生态现状调查</w:t>
            </w:r>
            <w:r>
              <w:rPr>
                <w:rFonts w:hint="default" w:ascii="Times New Roman" w:hAnsi="Times New Roman" w:cs="Times New Roman"/>
                <w:color w:val="auto"/>
                <w:highlight w:val="none"/>
              </w:rPr>
              <w:t>。</w:t>
            </w:r>
          </w:p>
        </w:tc>
      </w:tr>
      <w:tr w14:paraId="4A7B9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Align w:val="center"/>
          </w:tcPr>
          <w:p w14:paraId="4CEBF1CD">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w:t>
            </w:r>
          </w:p>
          <w:p w14:paraId="6EE6E6E0">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保护</w:t>
            </w:r>
          </w:p>
          <w:p w14:paraId="1BB51082">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目标</w:t>
            </w:r>
          </w:p>
        </w:tc>
        <w:tc>
          <w:tcPr>
            <w:tcW w:w="8405" w:type="dxa"/>
            <w:vAlign w:val="center"/>
          </w:tcPr>
          <w:p w14:paraId="0DCF49B9">
            <w:pPr>
              <w:rPr>
                <w:rFonts w:hint="default" w:ascii="Times New Roman" w:hAnsi="Times New Roman" w:eastAsia="宋体" w:cs="Times New Roman"/>
                <w:kern w:val="0"/>
                <w:sz w:val="24"/>
                <w:szCs w:val="20"/>
                <w:lang w:val="en-US" w:eastAsia="zh-CN" w:bidi="ar-SA"/>
              </w:rPr>
            </w:pPr>
            <w:r>
              <w:rPr>
                <w:rFonts w:hint="default" w:ascii="Times New Roman" w:hAnsi="Times New Roman" w:cs="Times New Roman"/>
                <w:color w:val="auto"/>
                <w:highlight w:val="none"/>
              </w:rPr>
              <w:t>①大气环境：</w:t>
            </w:r>
            <w:r>
              <w:rPr>
                <w:rFonts w:hint="default" w:ascii="Times New Roman" w:hAnsi="Times New Roman" w:eastAsia="宋体" w:cs="Times New Roman"/>
                <w:kern w:val="0"/>
                <w:sz w:val="24"/>
                <w:szCs w:val="20"/>
                <w:lang w:val="en-US" w:eastAsia="zh-CN" w:bidi="ar-SA"/>
              </w:rPr>
              <w:t>根据《建设项目环境影响报告表编制技术指南（污染影响型）（试行）》指南要求，调查到本项目厂界外500m范围内不含自然保护区、风景名胜区、居住区、文化区和农村地区中人群较集中的区域保护目标。</w:t>
            </w:r>
          </w:p>
          <w:p w14:paraId="5B7299B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②声环境：本项目厂界外50米范围内无声环境保护目标。</w:t>
            </w:r>
          </w:p>
          <w:p w14:paraId="69858A4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③地下水环境：本项目厂界外500米范围内无地下水集中式饮用水水源地和热水、矿泉水、温泉等特殊地下水资源。</w:t>
            </w:r>
          </w:p>
          <w:p w14:paraId="272AD69D">
            <w:pPr>
              <w:adjustRightInd w:val="0"/>
              <w:snapToGrid w:val="0"/>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④生态环境：</w:t>
            </w:r>
            <w:r>
              <w:rPr>
                <w:rFonts w:hint="default" w:ascii="Times New Roman" w:hAnsi="Times New Roman" w:cs="Times New Roman"/>
                <w:spacing w:val="-1"/>
              </w:rPr>
              <w:t>本项</w:t>
            </w:r>
            <w:r>
              <w:rPr>
                <w:rFonts w:hint="default" w:ascii="Times New Roman" w:hAnsi="Times New Roman" w:eastAsia="宋体" w:cs="Times New Roman"/>
                <w:spacing w:val="-1"/>
              </w:rPr>
              <w:t>目位于</w:t>
            </w:r>
            <w:r>
              <w:rPr>
                <w:rFonts w:hint="default" w:ascii="Times New Roman" w:hAnsi="Times New Roman" w:cs="Times New Roman"/>
              </w:rPr>
              <w:t>库尔勒上库工业园区</w:t>
            </w:r>
            <w:r>
              <w:rPr>
                <w:rFonts w:hint="default" w:ascii="Times New Roman" w:hAnsi="Times New Roman" w:cs="Times New Roman"/>
                <w:spacing w:val="-1"/>
              </w:rPr>
              <w:t>内，用地范围内不含有生态环境保</w:t>
            </w:r>
            <w:r>
              <w:rPr>
                <w:rFonts w:hint="default" w:ascii="Times New Roman" w:hAnsi="Times New Roman" w:cs="Times New Roman"/>
                <w:spacing w:val="-9"/>
              </w:rPr>
              <w:t>护目标</w:t>
            </w:r>
            <w:r>
              <w:rPr>
                <w:rFonts w:hint="default" w:ascii="Times New Roman" w:hAnsi="Times New Roman" w:cs="Times New Roman"/>
                <w:color w:val="auto"/>
                <w:highlight w:val="none"/>
              </w:rPr>
              <w:t>。</w:t>
            </w:r>
          </w:p>
        </w:tc>
      </w:tr>
      <w:tr w14:paraId="3D4CE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tcMar>
              <w:left w:w="28" w:type="dxa"/>
              <w:right w:w="28" w:type="dxa"/>
            </w:tcMar>
            <w:vAlign w:val="center"/>
          </w:tcPr>
          <w:p w14:paraId="04BAEF14">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w:t>
            </w:r>
          </w:p>
          <w:p w14:paraId="6AF6B640">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物排</w:t>
            </w:r>
          </w:p>
          <w:p w14:paraId="57DFBE76">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放控</w:t>
            </w:r>
          </w:p>
          <w:p w14:paraId="0F2CEBCF">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制标</w:t>
            </w:r>
          </w:p>
          <w:p w14:paraId="3E7BAC8F">
            <w:pPr>
              <w:adjustRightInd w:val="0"/>
              <w:snapToGrid w:val="0"/>
              <w:ind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准</w:t>
            </w:r>
          </w:p>
        </w:tc>
        <w:tc>
          <w:tcPr>
            <w:tcW w:w="8405" w:type="dxa"/>
            <w:vAlign w:val="center"/>
          </w:tcPr>
          <w:p w14:paraId="1B926D35">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1废气</w:t>
            </w:r>
          </w:p>
          <w:p w14:paraId="1027F78D">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rPr>
              <w:t>施工期颗粒物无组织废气执行《大气污染物综合排放标准</w:t>
            </w:r>
            <w:r>
              <w:rPr>
                <w:rFonts w:hint="default" w:ascii="Times New Roman" w:hAnsi="Times New Roman" w:cs="Times New Roman"/>
                <w:spacing w:val="-1"/>
              </w:rPr>
              <w:t>》（</w:t>
            </w:r>
            <w:r>
              <w:rPr>
                <w:rFonts w:hint="default" w:ascii="Times New Roman" w:hAnsi="Times New Roman" w:eastAsia="Times New Roman" w:cs="Times New Roman"/>
                <w:spacing w:val="-1"/>
              </w:rPr>
              <w:t>GB16297-</w:t>
            </w:r>
            <w:r>
              <w:rPr>
                <w:rFonts w:hint="default" w:ascii="Times New Roman" w:hAnsi="Times New Roman" w:eastAsia="Times New Roman" w:cs="Times New Roman"/>
              </w:rPr>
              <w:t xml:space="preserve"> </w:t>
            </w:r>
            <w:r>
              <w:rPr>
                <w:rFonts w:hint="default" w:ascii="Times New Roman" w:hAnsi="Times New Roman" w:eastAsia="Times New Roman" w:cs="Times New Roman"/>
                <w:spacing w:val="-2"/>
              </w:rPr>
              <w:t>1996</w:t>
            </w:r>
            <w:r>
              <w:rPr>
                <w:rFonts w:hint="default" w:ascii="Times New Roman" w:hAnsi="Times New Roman" w:cs="Times New Roman"/>
                <w:spacing w:val="-2"/>
              </w:rPr>
              <w:t>）表</w:t>
            </w:r>
            <w:r>
              <w:rPr>
                <w:rFonts w:hint="default" w:ascii="Times New Roman" w:hAnsi="Times New Roman" w:eastAsia="Times New Roman" w:cs="Times New Roman"/>
                <w:spacing w:val="-2"/>
              </w:rPr>
              <w:t>2</w:t>
            </w:r>
            <w:r>
              <w:rPr>
                <w:rFonts w:hint="default" w:ascii="Times New Roman" w:hAnsi="Times New Roman" w:cs="Times New Roman"/>
                <w:spacing w:val="-2"/>
              </w:rPr>
              <w:t>，详见表</w:t>
            </w:r>
            <w:r>
              <w:rPr>
                <w:rFonts w:hint="default" w:ascii="Times New Roman" w:hAnsi="Times New Roman" w:eastAsia="Times New Roman" w:cs="Times New Roman"/>
                <w:spacing w:val="-2"/>
              </w:rPr>
              <w:t>3-</w:t>
            </w:r>
            <w:r>
              <w:rPr>
                <w:rFonts w:hint="default" w:ascii="Times New Roman" w:hAnsi="Times New Roman" w:cs="Times New Roman"/>
                <w:spacing w:val="-2"/>
                <w:lang w:val="en-US" w:eastAsia="zh-CN"/>
              </w:rPr>
              <w:t>4</w:t>
            </w:r>
            <w:r>
              <w:rPr>
                <w:rFonts w:hint="default" w:ascii="Times New Roman" w:hAnsi="Times New Roman" w:cs="Times New Roman"/>
                <w:color w:val="auto"/>
                <w:highlight w:val="none"/>
                <w:lang w:val="en-US" w:eastAsia="zh-CN"/>
              </w:rPr>
              <w:t>。</w:t>
            </w:r>
          </w:p>
          <w:p w14:paraId="1C2F53F5">
            <w:pPr>
              <w:pStyle w:val="74"/>
              <w:spacing w:line="216" w:lineRule="auto"/>
              <w:ind w:left="0" w:leftChars="0" w:firstLine="0" w:firstLineChars="0"/>
              <w:jc w:val="center"/>
              <w:rPr>
                <w:rFonts w:hint="default" w:ascii="Times New Roman" w:hAnsi="Times New Roman" w:eastAsia="MS UI Gothic" w:cs="Times New Roman"/>
                <w:sz w:val="21"/>
                <w:szCs w:val="21"/>
              </w:rPr>
            </w:pPr>
            <w:r>
              <w:rPr>
                <w:rFonts w:hint="default" w:ascii="Times New Roman" w:hAnsi="Times New Roman" w:eastAsia="MS UI Gothic" w:cs="Times New Roman"/>
                <w:b/>
                <w:bCs/>
                <w:spacing w:val="-3"/>
                <w:sz w:val="21"/>
                <w:szCs w:val="21"/>
              </w:rPr>
              <w:t>表</w:t>
            </w:r>
            <w:r>
              <w:rPr>
                <w:rFonts w:hint="default" w:ascii="Times New Roman" w:hAnsi="Times New Roman" w:eastAsia="Times New Roman" w:cs="Times New Roman"/>
                <w:b/>
                <w:bCs/>
                <w:spacing w:val="-3"/>
                <w:sz w:val="21"/>
                <w:szCs w:val="21"/>
              </w:rPr>
              <w:t>3</w:t>
            </w:r>
            <w:r>
              <w:rPr>
                <w:rFonts w:hint="default" w:ascii="Times New Roman" w:hAnsi="Times New Roman" w:eastAsia="宋体" w:cs="Times New Roman"/>
                <w:b/>
                <w:bCs/>
                <w:spacing w:val="-3"/>
                <w:sz w:val="21"/>
                <w:szCs w:val="21"/>
                <w:lang w:val="en-US" w:eastAsia="zh-CN"/>
              </w:rPr>
              <w:t>-4</w:t>
            </w:r>
            <w:r>
              <w:rPr>
                <w:rFonts w:hint="default" w:ascii="Times New Roman" w:hAnsi="Times New Roman" w:eastAsia="Times New Roman" w:cs="Times New Roman"/>
                <w:b/>
                <w:bCs/>
                <w:spacing w:val="-3"/>
                <w:sz w:val="21"/>
                <w:szCs w:val="21"/>
              </w:rPr>
              <w:t xml:space="preserve">   </w:t>
            </w:r>
            <w:r>
              <w:rPr>
                <w:rFonts w:hint="default" w:ascii="Times New Roman" w:hAnsi="Times New Roman" w:eastAsia="MS UI Gothic" w:cs="Times New Roman"/>
                <w:b/>
                <w:bCs/>
                <w:spacing w:val="-3"/>
                <w:sz w:val="21"/>
                <w:szCs w:val="21"/>
              </w:rPr>
              <w:t>施工期无</w:t>
            </w:r>
            <w:r>
              <w:rPr>
                <w:rFonts w:hint="default" w:ascii="Times New Roman" w:hAnsi="Times New Roman" w:cs="Times New Roman"/>
                <w:b/>
                <w:bCs/>
                <w:spacing w:val="-3"/>
                <w:sz w:val="21"/>
                <w:szCs w:val="21"/>
              </w:rPr>
              <w:t>组织废</w:t>
            </w:r>
            <w:r>
              <w:rPr>
                <w:rFonts w:hint="default" w:ascii="Times New Roman" w:hAnsi="Times New Roman" w:eastAsia="MS UI Gothic" w:cs="Times New Roman"/>
                <w:b/>
                <w:bCs/>
                <w:spacing w:val="-3"/>
                <w:sz w:val="21"/>
                <w:szCs w:val="21"/>
              </w:rPr>
              <w:t>气</w:t>
            </w:r>
            <w:r>
              <w:rPr>
                <w:rFonts w:hint="default" w:ascii="Times New Roman" w:hAnsi="Times New Roman" w:cs="Times New Roman"/>
                <w:b/>
                <w:bCs/>
                <w:spacing w:val="-3"/>
                <w:sz w:val="21"/>
                <w:szCs w:val="21"/>
              </w:rPr>
              <w:t>执</w:t>
            </w:r>
            <w:r>
              <w:rPr>
                <w:rFonts w:hint="default" w:ascii="Times New Roman" w:hAnsi="Times New Roman" w:eastAsia="MS UI Gothic" w:cs="Times New Roman"/>
                <w:b/>
                <w:bCs/>
                <w:spacing w:val="-3"/>
                <w:sz w:val="21"/>
                <w:szCs w:val="21"/>
              </w:rPr>
              <w:t>行</w:t>
            </w:r>
            <w:r>
              <w:rPr>
                <w:rFonts w:hint="default" w:ascii="Times New Roman" w:hAnsi="Times New Roman" w:cs="Times New Roman"/>
                <w:b/>
                <w:bCs/>
                <w:spacing w:val="-3"/>
                <w:sz w:val="21"/>
                <w:szCs w:val="21"/>
              </w:rPr>
              <w:t>标</w:t>
            </w:r>
            <w:r>
              <w:rPr>
                <w:rFonts w:hint="default" w:ascii="Times New Roman" w:hAnsi="Times New Roman" w:eastAsia="MS UI Gothic" w:cs="Times New Roman"/>
                <w:b/>
                <w:bCs/>
                <w:spacing w:val="-3"/>
                <w:sz w:val="21"/>
                <w:szCs w:val="21"/>
              </w:rPr>
              <w:t>准</w:t>
            </w:r>
          </w:p>
          <w:p w14:paraId="2E59C834">
            <w:pPr>
              <w:spacing w:line="29" w:lineRule="exact"/>
              <w:rPr>
                <w:rFonts w:hint="default" w:ascii="Times New Roman" w:hAnsi="Times New Roman" w:cs="Times New Roman"/>
              </w:rPr>
            </w:pPr>
          </w:p>
          <w:tbl>
            <w:tblPr>
              <w:tblStyle w:val="75"/>
              <w:tblW w:w="81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2"/>
              <w:gridCol w:w="1891"/>
              <w:gridCol w:w="3514"/>
            </w:tblGrid>
            <w:tr w14:paraId="16812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2702" w:type="dxa"/>
                  <w:vAlign w:val="center"/>
                </w:tcPr>
                <w:p w14:paraId="7AA2351C">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w:t>
                  </w:r>
                </w:p>
              </w:tc>
              <w:tc>
                <w:tcPr>
                  <w:tcW w:w="1891" w:type="dxa"/>
                  <w:vAlign w:val="center"/>
                </w:tcPr>
                <w:p w14:paraId="42E0E6FC">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限值</w:t>
                  </w:r>
                </w:p>
              </w:tc>
              <w:tc>
                <w:tcPr>
                  <w:tcW w:w="3514" w:type="dxa"/>
                  <w:vAlign w:val="center"/>
                </w:tcPr>
                <w:p w14:paraId="235358DC">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执行标准</w:t>
                  </w:r>
                </w:p>
              </w:tc>
            </w:tr>
            <w:tr w14:paraId="50113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2702" w:type="dxa"/>
                  <w:vAlign w:val="center"/>
                </w:tcPr>
                <w:p w14:paraId="30E7CEE9">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1891" w:type="dxa"/>
                  <w:vAlign w:val="center"/>
                </w:tcPr>
                <w:p w14:paraId="3694D407">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1mg/m</w:t>
                  </w:r>
                  <w:r>
                    <w:rPr>
                      <w:rFonts w:hint="default" w:ascii="Times New Roman" w:hAnsi="Times New Roman" w:eastAsia="宋体" w:cs="Times New Roman"/>
                      <w:color w:val="auto"/>
                      <w:highlight w:val="none"/>
                      <w:vertAlign w:val="superscript"/>
                      <w:lang w:val="en-US" w:eastAsia="zh-CN"/>
                    </w:rPr>
                    <w:t>3</w:t>
                  </w:r>
                </w:p>
              </w:tc>
              <w:tc>
                <w:tcPr>
                  <w:tcW w:w="3514" w:type="dxa"/>
                  <w:vAlign w:val="center"/>
                </w:tcPr>
                <w:p w14:paraId="157EB384">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《大气污染物综合排放标准》（GB16297-1996）中表2</w:t>
                  </w:r>
                </w:p>
              </w:tc>
            </w:tr>
          </w:tbl>
          <w:p w14:paraId="38CD1292">
            <w:pPr>
              <w:pStyle w:val="37"/>
              <w:rPr>
                <w:rFonts w:hint="default" w:ascii="Times New Roman" w:hAnsi="Times New Roman" w:cs="Times New Roman"/>
                <w:color w:val="auto"/>
                <w:highlight w:val="none"/>
              </w:rPr>
            </w:pPr>
            <w:r>
              <w:rPr>
                <w:rFonts w:hint="default" w:ascii="Times New Roman" w:hAnsi="Times New Roman" w:cs="Times New Roman"/>
                <w:color w:val="auto"/>
                <w:highlight w:val="none"/>
                <w:shd w:val="clear" w:color="auto" w:fill="FFFFFF"/>
              </w:rPr>
              <w:t>表3-</w:t>
            </w:r>
            <w:r>
              <w:rPr>
                <w:rFonts w:hint="default" w:ascii="Times New Roman" w:hAnsi="Times New Roman" w:cs="Times New Roman"/>
                <w:color w:val="auto"/>
                <w:highlight w:val="none"/>
                <w:shd w:val="clear" w:color="auto" w:fill="FFFFFF"/>
                <w:lang w:val="en-US" w:eastAsia="zh-CN"/>
              </w:rPr>
              <w:t>5</w:t>
            </w:r>
            <w:r>
              <w:rPr>
                <w:rFonts w:hint="default" w:ascii="Times New Roman" w:hAnsi="Times New Roman" w:cs="Times New Roman"/>
                <w:color w:val="auto"/>
                <w:highlight w:val="none"/>
                <w:shd w:val="clear" w:color="auto" w:fill="FFFFFF"/>
              </w:rPr>
              <w:t xml:space="preserve">   </w:t>
            </w:r>
            <w:r>
              <w:rPr>
                <w:rFonts w:hint="default" w:ascii="Times New Roman" w:hAnsi="Times New Roman" w:cs="Times New Roman"/>
                <w:color w:val="auto"/>
                <w:highlight w:val="none"/>
                <w:shd w:val="clear" w:color="auto" w:fill="FFFFFF"/>
                <w:lang w:val="en-US" w:eastAsia="zh-CN"/>
              </w:rPr>
              <w:t>运营期有组织</w:t>
            </w:r>
            <w:r>
              <w:rPr>
                <w:rFonts w:hint="default" w:ascii="Times New Roman" w:hAnsi="Times New Roman" w:cs="Times New Roman"/>
                <w:color w:val="auto"/>
                <w:highlight w:val="none"/>
                <w:shd w:val="clear" w:color="auto" w:fill="FFFFFF"/>
              </w:rPr>
              <w:t>大气污染物排放限值</w:t>
            </w:r>
          </w:p>
          <w:tbl>
            <w:tblPr>
              <w:tblStyle w:val="29"/>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60"/>
              <w:gridCol w:w="825"/>
              <w:gridCol w:w="1025"/>
              <w:gridCol w:w="5"/>
              <w:gridCol w:w="770"/>
              <w:gridCol w:w="1450"/>
              <w:gridCol w:w="2855"/>
            </w:tblGrid>
            <w:tr w14:paraId="540A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Align w:val="center"/>
                </w:tcPr>
                <w:p w14:paraId="56C1CCC9">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660" w:type="dxa"/>
                  <w:vAlign w:val="center"/>
                </w:tcPr>
                <w:p w14:paraId="47C2A60B">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w:t>
                  </w:r>
                </w:p>
              </w:tc>
              <w:tc>
                <w:tcPr>
                  <w:tcW w:w="825" w:type="dxa"/>
                  <w:vAlign w:val="center"/>
                </w:tcPr>
                <w:p w14:paraId="67C7BDBE">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排放限值（mg/m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c>
                <w:tcPr>
                  <w:tcW w:w="1025" w:type="dxa"/>
                  <w:vAlign w:val="center"/>
                </w:tcPr>
                <w:p w14:paraId="67850564">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排气筒高度（m）</w:t>
                  </w:r>
                </w:p>
              </w:tc>
              <w:tc>
                <w:tcPr>
                  <w:tcW w:w="775" w:type="dxa"/>
                  <w:gridSpan w:val="2"/>
                  <w:vAlign w:val="center"/>
                </w:tcPr>
                <w:p w14:paraId="74E51943">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排放速率（kg/h）</w:t>
                  </w:r>
                </w:p>
              </w:tc>
              <w:tc>
                <w:tcPr>
                  <w:tcW w:w="1450" w:type="dxa"/>
                  <w:vAlign w:val="center"/>
                </w:tcPr>
                <w:p w14:paraId="6B175C66">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污染物排放监控位置</w:t>
                  </w:r>
                </w:p>
              </w:tc>
              <w:tc>
                <w:tcPr>
                  <w:tcW w:w="2855" w:type="dxa"/>
                  <w:vAlign w:val="center"/>
                </w:tcPr>
                <w:p w14:paraId="7E7F07AD">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执行标准</w:t>
                  </w:r>
                </w:p>
              </w:tc>
            </w:tr>
            <w:tr w14:paraId="648A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17" w:type="dxa"/>
                  <w:vAlign w:val="center"/>
                </w:tcPr>
                <w:p w14:paraId="700E73F6">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660" w:type="dxa"/>
                  <w:shd w:val="clear" w:color="auto" w:fill="auto"/>
                  <w:vAlign w:val="center"/>
                </w:tcPr>
                <w:p w14:paraId="283FA869">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颗粒物</w:t>
                  </w:r>
                </w:p>
              </w:tc>
              <w:tc>
                <w:tcPr>
                  <w:tcW w:w="825" w:type="dxa"/>
                  <w:shd w:val="clear" w:color="auto" w:fill="auto"/>
                  <w:vAlign w:val="center"/>
                </w:tcPr>
                <w:p w14:paraId="2A34B5B4">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120</w:t>
                  </w:r>
                </w:p>
              </w:tc>
              <w:tc>
                <w:tcPr>
                  <w:tcW w:w="1030" w:type="dxa"/>
                  <w:gridSpan w:val="2"/>
                  <w:shd w:val="clear" w:color="auto" w:fill="auto"/>
                  <w:vAlign w:val="center"/>
                </w:tcPr>
                <w:p w14:paraId="34001BFA">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15</w:t>
                  </w:r>
                </w:p>
              </w:tc>
              <w:tc>
                <w:tcPr>
                  <w:tcW w:w="770" w:type="dxa"/>
                  <w:shd w:val="clear" w:color="auto" w:fill="auto"/>
                  <w:vAlign w:val="center"/>
                </w:tcPr>
                <w:p w14:paraId="5E7510D6">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3.5</w:t>
                  </w:r>
                </w:p>
              </w:tc>
              <w:tc>
                <w:tcPr>
                  <w:tcW w:w="1450" w:type="dxa"/>
                  <w:vMerge w:val="restart"/>
                  <w:vAlign w:val="center"/>
                </w:tcPr>
                <w:p w14:paraId="18B03510">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车间或生产设施排气筒</w:t>
                  </w:r>
                </w:p>
              </w:tc>
              <w:tc>
                <w:tcPr>
                  <w:tcW w:w="2855" w:type="dxa"/>
                  <w:vAlign w:val="center"/>
                </w:tcPr>
                <w:p w14:paraId="1CB592B8">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《大气污染物综合排放标准》（GB16297-1996）中表2</w:t>
                  </w:r>
                </w:p>
              </w:tc>
            </w:tr>
            <w:tr w14:paraId="13D2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17" w:type="dxa"/>
                  <w:vAlign w:val="center"/>
                </w:tcPr>
                <w:p w14:paraId="44E2F339">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660" w:type="dxa"/>
                  <w:shd w:val="clear" w:color="auto" w:fill="auto"/>
                  <w:vAlign w:val="center"/>
                </w:tcPr>
                <w:p w14:paraId="4D20D6D0">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cs="Times New Roman"/>
                      <w:color w:val="000000" w:themeColor="text1"/>
                      <w:sz w:val="21"/>
                      <w:szCs w:val="21"/>
                      <w:lang w:val="en-US" w:eastAsia="zh-CN"/>
                      <w14:textFill>
                        <w14:solidFill>
                          <w14:schemeClr w14:val="tx1"/>
                        </w14:solidFill>
                      </w14:textFill>
                    </w:rPr>
                    <w:t>氨</w:t>
                  </w:r>
                </w:p>
              </w:tc>
              <w:tc>
                <w:tcPr>
                  <w:tcW w:w="825" w:type="dxa"/>
                  <w:shd w:val="clear" w:color="auto" w:fill="auto"/>
                  <w:vAlign w:val="center"/>
                </w:tcPr>
                <w:p w14:paraId="45E5625B">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1030" w:type="dxa"/>
                  <w:gridSpan w:val="2"/>
                  <w:shd w:val="clear" w:color="auto" w:fill="auto"/>
                  <w:vAlign w:val="center"/>
                </w:tcPr>
                <w:p w14:paraId="4BC41A14">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770" w:type="dxa"/>
                  <w:shd w:val="clear" w:color="auto" w:fill="auto"/>
                  <w:vAlign w:val="center"/>
                </w:tcPr>
                <w:p w14:paraId="4DDE5E04">
                  <w:pPr>
                    <w:pStyle w:val="68"/>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4.9</w:t>
                  </w:r>
                </w:p>
              </w:tc>
              <w:tc>
                <w:tcPr>
                  <w:tcW w:w="1450" w:type="dxa"/>
                  <w:vMerge w:val="continue"/>
                  <w:vAlign w:val="center"/>
                </w:tcPr>
                <w:p w14:paraId="7630B81B">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2855" w:type="dxa"/>
                  <w:vAlign w:val="center"/>
                </w:tcPr>
                <w:p w14:paraId="00055672">
                  <w:pPr>
                    <w:pStyle w:val="6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恶臭污染物排放标准</w:t>
                  </w:r>
                  <w:r>
                    <w:rPr>
                      <w:rFonts w:hint="default" w:ascii="Times New Roman" w:hAnsi="Times New Roman" w:cs="Times New Roman"/>
                      <w:color w:val="000000" w:themeColor="text1"/>
                      <w:sz w:val="21"/>
                      <w:szCs w:val="21"/>
                      <w14:textFill>
                        <w14:solidFill>
                          <w14:schemeClr w14:val="tx1"/>
                        </w14:solidFill>
                      </w14:textFill>
                    </w:rPr>
                    <w:t>》（GB</w:t>
                  </w:r>
                  <w:r>
                    <w:rPr>
                      <w:rFonts w:hint="default" w:ascii="Times New Roman" w:hAnsi="Times New Roman" w:cs="Times New Roman"/>
                      <w:color w:val="000000" w:themeColor="text1"/>
                      <w:sz w:val="21"/>
                      <w:szCs w:val="21"/>
                      <w:lang w:val="en-US" w:eastAsia="zh-CN"/>
                      <w14:textFill>
                        <w14:solidFill>
                          <w14:schemeClr w14:val="tx1"/>
                        </w14:solidFill>
                      </w14:textFill>
                    </w:rPr>
                    <w:t>14554-93</w:t>
                  </w: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二级排放标准</w:t>
                  </w:r>
                </w:p>
              </w:tc>
            </w:tr>
          </w:tbl>
          <w:p w14:paraId="56762054">
            <w:pPr>
              <w:pStyle w:val="51"/>
              <w:ind w:left="0" w:leftChars="0" w:firstLine="480" w:firstLineChars="20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本项目运营期</w:t>
            </w:r>
            <w:r>
              <w:rPr>
                <w:rFonts w:hint="default" w:ascii="Times New Roman" w:hAnsi="Times New Roman" w:cs="Times New Roman"/>
                <w:color w:val="auto"/>
                <w:highlight w:val="none"/>
                <w:shd w:val="clear" w:color="auto" w:fill="FFFFFF"/>
                <w:lang w:val="en-US" w:eastAsia="zh-CN"/>
              </w:rPr>
              <w:t>生产车间</w:t>
            </w:r>
            <w:r>
              <w:rPr>
                <w:rFonts w:hint="default" w:ascii="Times New Roman" w:hAnsi="Times New Roman" w:cs="Times New Roman"/>
                <w:color w:val="auto"/>
                <w:highlight w:val="none"/>
                <w:shd w:val="clear" w:color="auto" w:fill="FFFFFF"/>
              </w:rPr>
              <w:t>产生</w:t>
            </w:r>
            <w:r>
              <w:rPr>
                <w:rFonts w:hint="default" w:ascii="Times New Roman" w:hAnsi="Times New Roman" w:cs="Times New Roman"/>
                <w:color w:val="auto"/>
                <w:highlight w:val="none"/>
                <w:shd w:val="clear" w:color="auto" w:fill="FFFFFF"/>
                <w:lang w:val="en-US" w:eastAsia="zh-CN"/>
              </w:rPr>
              <w:t>的</w:t>
            </w:r>
            <w:r>
              <w:rPr>
                <w:rFonts w:hint="default" w:ascii="Times New Roman" w:hAnsi="Times New Roman" w:cs="Times New Roman"/>
                <w:color w:val="auto"/>
                <w:highlight w:val="none"/>
                <w:shd w:val="clear" w:color="auto" w:fill="FFFFFF"/>
              </w:rPr>
              <w:t>无组织排放执行</w:t>
            </w:r>
            <w:r>
              <w:rPr>
                <w:rFonts w:hint="default" w:ascii="Times New Roman" w:hAnsi="Times New Roman" w:cs="Times New Roman"/>
              </w:rPr>
              <w:t>《大气污染物综合排放标准</w:t>
            </w:r>
            <w:r>
              <w:rPr>
                <w:rFonts w:hint="default" w:ascii="Times New Roman" w:hAnsi="Times New Roman" w:cs="Times New Roman"/>
                <w:spacing w:val="-1"/>
              </w:rPr>
              <w:t>》（</w:t>
            </w:r>
            <w:r>
              <w:rPr>
                <w:rFonts w:hint="default" w:ascii="Times New Roman" w:hAnsi="Times New Roman" w:eastAsia="Times New Roman" w:cs="Times New Roman"/>
                <w:spacing w:val="-1"/>
              </w:rPr>
              <w:t>GB16297-</w:t>
            </w:r>
            <w:r>
              <w:rPr>
                <w:rFonts w:hint="default" w:ascii="Times New Roman" w:hAnsi="Times New Roman" w:eastAsia="Times New Roman" w:cs="Times New Roman"/>
                <w:spacing w:val="-2"/>
              </w:rPr>
              <w:t>1996</w:t>
            </w:r>
            <w:r>
              <w:rPr>
                <w:rFonts w:hint="default" w:ascii="Times New Roman" w:hAnsi="Times New Roman" w:cs="Times New Roman"/>
                <w:spacing w:val="-2"/>
              </w:rPr>
              <w:t>）表</w:t>
            </w:r>
            <w:r>
              <w:rPr>
                <w:rFonts w:hint="default" w:ascii="Times New Roman" w:hAnsi="Times New Roman" w:eastAsia="Times New Roman" w:cs="Times New Roman"/>
                <w:spacing w:val="-2"/>
              </w:rPr>
              <w:t>2</w:t>
            </w:r>
            <w:r>
              <w:rPr>
                <w:rFonts w:hint="default" w:ascii="Times New Roman" w:hAnsi="Times New Roman" w:cs="Times New Roman"/>
                <w:color w:val="auto"/>
                <w:highlight w:val="none"/>
                <w:shd w:val="clear" w:color="auto" w:fill="FFFFFF"/>
              </w:rPr>
              <w:t>。</w:t>
            </w:r>
          </w:p>
          <w:p w14:paraId="446B412F">
            <w:pPr>
              <w:pStyle w:val="37"/>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表3-</w:t>
            </w:r>
            <w:r>
              <w:rPr>
                <w:rFonts w:hint="default" w:ascii="Times New Roman" w:hAnsi="Times New Roman" w:cs="Times New Roman"/>
                <w:color w:val="auto"/>
                <w:highlight w:val="none"/>
                <w:shd w:val="clear" w:color="auto" w:fill="FFFFFF"/>
                <w:lang w:val="en-US" w:eastAsia="zh-CN"/>
              </w:rPr>
              <w:t>6   运营期</w:t>
            </w:r>
            <w:r>
              <w:rPr>
                <w:rFonts w:hint="default" w:ascii="Times New Roman" w:hAnsi="Times New Roman" w:cs="Times New Roman"/>
                <w:color w:val="auto"/>
                <w:highlight w:val="none"/>
                <w:shd w:val="clear" w:color="auto" w:fill="FFFFFF"/>
              </w:rPr>
              <w:t>无组织排放限值</w:t>
            </w:r>
          </w:p>
          <w:tbl>
            <w:tblPr>
              <w:tblStyle w:val="29"/>
              <w:tblW w:w="8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530"/>
              <w:gridCol w:w="1239"/>
              <w:gridCol w:w="1575"/>
              <w:gridCol w:w="2504"/>
            </w:tblGrid>
            <w:tr w14:paraId="2D84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26" w:type="dxa"/>
                  <w:vAlign w:val="center"/>
                </w:tcPr>
                <w:p w14:paraId="179D9D2A">
                  <w:pPr>
                    <w:pStyle w:val="4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530" w:type="dxa"/>
                  <w:shd w:val="clear" w:color="auto" w:fill="auto"/>
                  <w:vAlign w:val="center"/>
                </w:tcPr>
                <w:p w14:paraId="0B474C1A">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排放限值（mg/m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39" w:type="dxa"/>
                  <w:shd w:val="clear" w:color="auto" w:fill="auto"/>
                  <w:vAlign w:val="center"/>
                </w:tcPr>
                <w:p w14:paraId="242B797C">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限值含义</w:t>
                  </w:r>
                </w:p>
              </w:tc>
              <w:tc>
                <w:tcPr>
                  <w:tcW w:w="1575" w:type="dxa"/>
                  <w:shd w:val="clear" w:color="auto" w:fill="auto"/>
                  <w:vAlign w:val="center"/>
                </w:tcPr>
                <w:p w14:paraId="1D79602B">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无组织排放监控位置</w:t>
                  </w:r>
                </w:p>
              </w:tc>
              <w:tc>
                <w:tcPr>
                  <w:tcW w:w="2504" w:type="dxa"/>
                  <w:vAlign w:val="center"/>
                </w:tcPr>
                <w:p w14:paraId="2A551793">
                  <w:pPr>
                    <w:pStyle w:val="47"/>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执行标准</w:t>
                  </w:r>
                </w:p>
              </w:tc>
            </w:tr>
            <w:tr w14:paraId="34C4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shd w:val="clear" w:color="auto" w:fill="auto"/>
                  <w:vAlign w:val="center"/>
                </w:tcPr>
                <w:p w14:paraId="0942C218">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530" w:type="dxa"/>
                  <w:shd w:val="clear" w:color="auto" w:fill="auto"/>
                  <w:vAlign w:val="center"/>
                </w:tcPr>
                <w:p w14:paraId="2044292C">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1239" w:type="dxa"/>
                  <w:shd w:val="clear" w:color="auto" w:fill="auto"/>
                  <w:vAlign w:val="center"/>
                </w:tcPr>
                <w:p w14:paraId="43BEE1BD">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575" w:type="dxa"/>
                  <w:vMerge w:val="restart"/>
                  <w:shd w:val="clear" w:color="auto" w:fill="auto"/>
                  <w:vAlign w:val="center"/>
                </w:tcPr>
                <w:p w14:paraId="75188BD7">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厂界外</w:t>
                  </w:r>
                  <w:r>
                    <w:rPr>
                      <w:rFonts w:hint="default" w:ascii="Times New Roman" w:hAnsi="Times New Roman" w:eastAsia="宋体" w:cs="Times New Roman"/>
                      <w:color w:val="auto"/>
                      <w:sz w:val="21"/>
                      <w:szCs w:val="21"/>
                      <w:highlight w:val="none"/>
                    </w:rPr>
                    <w:t>浓度最高点</w:t>
                  </w:r>
                </w:p>
              </w:tc>
              <w:tc>
                <w:tcPr>
                  <w:tcW w:w="2504" w:type="dxa"/>
                  <w:vAlign w:val="center"/>
                </w:tcPr>
                <w:p w14:paraId="3E7B9359">
                  <w:pPr>
                    <w:pStyle w:val="47"/>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《大气污染物综合排放标准》（GB16297-1996）中表2</w:t>
                  </w:r>
                </w:p>
              </w:tc>
            </w:tr>
            <w:tr w14:paraId="0C3B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shd w:val="clear" w:color="auto" w:fill="auto"/>
                  <w:vAlign w:val="center"/>
                </w:tcPr>
                <w:p w14:paraId="11D28779">
                  <w:pPr>
                    <w:pStyle w:val="47"/>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000000" w:themeColor="text1"/>
                      <w:sz w:val="21"/>
                      <w:szCs w:val="21"/>
                      <w:lang w:val="en-US" w:eastAsia="zh-CN"/>
                      <w14:textFill>
                        <w14:solidFill>
                          <w14:schemeClr w14:val="tx1"/>
                        </w14:solidFill>
                      </w14:textFill>
                    </w:rPr>
                    <w:t>氨</w:t>
                  </w:r>
                </w:p>
              </w:tc>
              <w:tc>
                <w:tcPr>
                  <w:tcW w:w="1530" w:type="dxa"/>
                  <w:shd w:val="clear" w:color="auto" w:fill="auto"/>
                  <w:vAlign w:val="center"/>
                </w:tcPr>
                <w:p w14:paraId="5C3BAE5C">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239" w:type="dxa"/>
                  <w:shd w:val="clear" w:color="auto" w:fill="auto"/>
                  <w:vAlign w:val="center"/>
                </w:tcPr>
                <w:p w14:paraId="71AD6FB8">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5" w:type="dxa"/>
                  <w:vMerge w:val="continue"/>
                  <w:shd w:val="clear" w:color="auto" w:fill="auto"/>
                  <w:vAlign w:val="center"/>
                </w:tcPr>
                <w:p w14:paraId="15DB359E">
                  <w:pPr>
                    <w:pStyle w:val="47"/>
                    <w:ind w:firstLine="0" w:firstLineChars="0"/>
                    <w:jc w:val="center"/>
                    <w:rPr>
                      <w:rFonts w:hint="default" w:ascii="Times New Roman" w:hAnsi="Times New Roman" w:eastAsia="宋体" w:cs="Times New Roman"/>
                      <w:color w:val="auto"/>
                      <w:sz w:val="21"/>
                      <w:szCs w:val="21"/>
                      <w:highlight w:val="none"/>
                      <w:lang w:val="en-US" w:eastAsia="zh-CN"/>
                    </w:rPr>
                  </w:pPr>
                </w:p>
              </w:tc>
              <w:tc>
                <w:tcPr>
                  <w:tcW w:w="2504" w:type="dxa"/>
                  <w:vMerge w:val="restart"/>
                  <w:vAlign w:val="center"/>
                </w:tcPr>
                <w:p w14:paraId="391C9B20">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恶臭污染物排放标准</w:t>
                  </w:r>
                  <w:r>
                    <w:rPr>
                      <w:rFonts w:hint="default" w:ascii="Times New Roman" w:hAnsi="Times New Roman" w:cs="Times New Roman"/>
                      <w:color w:val="000000" w:themeColor="text1"/>
                      <w:sz w:val="21"/>
                      <w:szCs w:val="21"/>
                      <w14:textFill>
                        <w14:solidFill>
                          <w14:schemeClr w14:val="tx1"/>
                        </w14:solidFill>
                      </w14:textFill>
                    </w:rPr>
                    <w:t>》（GB</w:t>
                  </w:r>
                  <w:r>
                    <w:rPr>
                      <w:rFonts w:hint="default" w:ascii="Times New Roman" w:hAnsi="Times New Roman" w:cs="Times New Roman"/>
                      <w:color w:val="000000" w:themeColor="text1"/>
                      <w:sz w:val="21"/>
                      <w:szCs w:val="21"/>
                      <w:lang w:val="en-US" w:eastAsia="zh-CN"/>
                      <w14:textFill>
                        <w14:solidFill>
                          <w14:schemeClr w14:val="tx1"/>
                        </w14:solidFill>
                      </w14:textFill>
                    </w:rPr>
                    <w:t>14554-93</w:t>
                  </w: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二级排放标准</w:t>
                  </w:r>
                </w:p>
              </w:tc>
            </w:tr>
            <w:tr w14:paraId="4E03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6" w:type="dxa"/>
                  <w:shd w:val="clear" w:color="auto" w:fill="auto"/>
                  <w:vAlign w:val="center"/>
                </w:tcPr>
                <w:p w14:paraId="7ED8FE1E">
                  <w:pPr>
                    <w:pStyle w:val="47"/>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臭气浓度</w:t>
                  </w:r>
                </w:p>
              </w:tc>
              <w:tc>
                <w:tcPr>
                  <w:tcW w:w="1530" w:type="dxa"/>
                  <w:shd w:val="clear" w:color="auto" w:fill="auto"/>
                  <w:vAlign w:val="center"/>
                </w:tcPr>
                <w:p w14:paraId="3024B33C">
                  <w:pPr>
                    <w:pStyle w:val="47"/>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239" w:type="dxa"/>
                  <w:shd w:val="clear" w:color="auto" w:fill="auto"/>
                  <w:vAlign w:val="center"/>
                </w:tcPr>
                <w:p w14:paraId="1113A4B5">
                  <w:pPr>
                    <w:pStyle w:val="47"/>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75" w:type="dxa"/>
                  <w:vMerge w:val="continue"/>
                  <w:shd w:val="clear" w:color="auto" w:fill="auto"/>
                  <w:vAlign w:val="center"/>
                </w:tcPr>
                <w:p w14:paraId="46A2DAAD">
                  <w:pPr>
                    <w:pStyle w:val="47"/>
                    <w:ind w:firstLine="0" w:firstLineChars="0"/>
                    <w:jc w:val="center"/>
                    <w:rPr>
                      <w:rFonts w:hint="default" w:ascii="Times New Roman" w:hAnsi="Times New Roman" w:eastAsia="宋体" w:cs="Times New Roman"/>
                      <w:color w:val="auto"/>
                      <w:sz w:val="21"/>
                      <w:szCs w:val="21"/>
                      <w:highlight w:val="none"/>
                      <w:lang w:val="en-US" w:eastAsia="zh-CN"/>
                    </w:rPr>
                  </w:pPr>
                </w:p>
              </w:tc>
              <w:tc>
                <w:tcPr>
                  <w:tcW w:w="2504" w:type="dxa"/>
                  <w:vMerge w:val="continue"/>
                  <w:vAlign w:val="center"/>
                </w:tcPr>
                <w:p w14:paraId="1D7F14A9">
                  <w:pPr>
                    <w:pStyle w:val="47"/>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bl>
          <w:p w14:paraId="2016D4D3">
            <w:pPr>
              <w:pStyle w:val="37"/>
              <w:rPr>
                <w:rFonts w:hint="default" w:ascii="Times New Roman" w:hAnsi="Times New Roman" w:cs="Times New Roman"/>
                <w:color w:val="auto"/>
                <w:highlight w:val="none"/>
              </w:rPr>
            </w:pPr>
            <w:r>
              <w:rPr>
                <w:rFonts w:hint="default" w:ascii="Times New Roman" w:hAnsi="Times New Roman" w:cs="Times New Roman"/>
                <w:color w:val="auto"/>
                <w:highlight w:val="none"/>
                <w:shd w:val="clear" w:color="auto" w:fill="FFFFFF"/>
              </w:rPr>
              <w:t>表3-</w:t>
            </w:r>
            <w:r>
              <w:rPr>
                <w:rFonts w:hint="default" w:ascii="Times New Roman" w:hAnsi="Times New Roman" w:cs="Times New Roman"/>
                <w:color w:val="auto"/>
                <w:highlight w:val="none"/>
                <w:shd w:val="clear" w:color="auto" w:fill="FFFFFF"/>
                <w:lang w:val="en-US" w:eastAsia="zh-CN"/>
              </w:rPr>
              <w:t>7</w:t>
            </w:r>
            <w:r>
              <w:rPr>
                <w:rFonts w:hint="default" w:ascii="Times New Roman" w:hAnsi="Times New Roman" w:cs="Times New Roman"/>
                <w:color w:val="auto"/>
                <w:highlight w:val="none"/>
                <w:shd w:val="clear" w:color="auto" w:fill="FFFFFF"/>
              </w:rPr>
              <w:t xml:space="preserve">   </w:t>
            </w:r>
            <w:r>
              <w:rPr>
                <w:rFonts w:hint="default" w:ascii="Times New Roman" w:hAnsi="Times New Roman" w:cs="Times New Roman"/>
                <w:color w:val="auto"/>
                <w:highlight w:val="none"/>
                <w:shd w:val="clear" w:color="auto" w:fill="FFFFFF"/>
                <w:lang w:val="en-US" w:eastAsia="zh-CN"/>
              </w:rPr>
              <w:t>运营期</w:t>
            </w:r>
            <w:r>
              <w:rPr>
                <w:rFonts w:hint="default" w:ascii="Times New Roman" w:hAnsi="Times New Roman" w:cs="Times New Roman"/>
                <w:color w:val="auto"/>
                <w:highlight w:val="none"/>
                <w:shd w:val="clear" w:color="auto" w:fill="FFFFFF"/>
              </w:rPr>
              <w:t>大气污染物排放限值</w:t>
            </w:r>
          </w:p>
          <w:tbl>
            <w:tblPr>
              <w:tblStyle w:val="29"/>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60"/>
              <w:gridCol w:w="1377"/>
              <w:gridCol w:w="1928"/>
              <w:gridCol w:w="2065"/>
            </w:tblGrid>
            <w:tr w14:paraId="45F9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333" w:type="dxa"/>
                  <w:vAlign w:val="center"/>
                </w:tcPr>
                <w:p w14:paraId="74795A67">
                  <w:pPr>
                    <w:kinsoku/>
                    <w:autoSpaceDE/>
                    <w:autoSpaceDN/>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rPr>
                    <w:t>污染源</w:t>
                  </w:r>
                </w:p>
              </w:tc>
              <w:tc>
                <w:tcPr>
                  <w:tcW w:w="1317" w:type="dxa"/>
                  <w:vAlign w:val="center"/>
                </w:tcPr>
                <w:p w14:paraId="7268E9D5">
                  <w:pPr>
                    <w:kinsoku/>
                    <w:autoSpaceDE/>
                    <w:autoSpaceDN/>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rPr>
                    <w:t>排放方式</w:t>
                  </w:r>
                </w:p>
              </w:tc>
              <w:tc>
                <w:tcPr>
                  <w:tcW w:w="1333" w:type="dxa"/>
                  <w:vAlign w:val="center"/>
                </w:tcPr>
                <w:p w14:paraId="31463E95">
                  <w:pPr>
                    <w:kinsoku/>
                    <w:autoSpaceDE/>
                    <w:autoSpaceDN/>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rPr>
                    <w:t>污染物名称</w:t>
                  </w:r>
                </w:p>
              </w:tc>
              <w:tc>
                <w:tcPr>
                  <w:tcW w:w="1867" w:type="dxa"/>
                  <w:vAlign w:val="center"/>
                </w:tcPr>
                <w:p w14:paraId="294D2942">
                  <w:pPr>
                    <w:pStyle w:val="73"/>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z w:val="21"/>
                      <w:szCs w:val="21"/>
                    </w:rPr>
                    <w:t>标准限值（mg/m</w:t>
                  </w:r>
                  <w:r>
                    <w:rPr>
                      <w:rFonts w:hint="default" w:ascii="Times New Roman" w:hAnsi="Times New Roman" w:eastAsia="宋体" w:cs="Times New Roman"/>
                      <w:b w:val="0"/>
                      <w:bCs/>
                      <w:sz w:val="21"/>
                      <w:szCs w:val="21"/>
                      <w:vertAlign w:val="superscript"/>
                    </w:rPr>
                    <w:t>3</w:t>
                  </w:r>
                  <w:r>
                    <w:rPr>
                      <w:rFonts w:hint="default" w:ascii="Times New Roman" w:hAnsi="Times New Roman" w:eastAsia="宋体" w:cs="Times New Roman"/>
                      <w:b w:val="0"/>
                      <w:bCs/>
                      <w:sz w:val="21"/>
                      <w:szCs w:val="21"/>
                    </w:rPr>
                    <w:t>）</w:t>
                  </w:r>
                </w:p>
              </w:tc>
              <w:tc>
                <w:tcPr>
                  <w:tcW w:w="1999" w:type="dxa"/>
                  <w:vAlign w:val="center"/>
                </w:tcPr>
                <w:p w14:paraId="582D202A">
                  <w:pPr>
                    <w:pStyle w:val="73"/>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z w:val="21"/>
                      <w:szCs w:val="21"/>
                    </w:rPr>
                    <w:t>执行标准</w:t>
                  </w:r>
                </w:p>
              </w:tc>
            </w:tr>
            <w:tr w14:paraId="38E6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33" w:type="dxa"/>
                  <w:vAlign w:val="center"/>
                </w:tcPr>
                <w:p w14:paraId="3F180852">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餐饮油烟</w:t>
                  </w:r>
                </w:p>
              </w:tc>
              <w:tc>
                <w:tcPr>
                  <w:tcW w:w="1317" w:type="dxa"/>
                  <w:vAlign w:val="center"/>
                </w:tcPr>
                <w:p w14:paraId="76847922">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lang w:val="en-US" w:eastAsia="zh-CN"/>
                    </w:rPr>
                    <w:t>有组织排放</w:t>
                  </w:r>
                </w:p>
              </w:tc>
              <w:tc>
                <w:tcPr>
                  <w:tcW w:w="1333" w:type="dxa"/>
                  <w:vAlign w:val="center"/>
                </w:tcPr>
                <w:p w14:paraId="52583F7F">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1867" w:type="dxa"/>
                  <w:vAlign w:val="center"/>
                </w:tcPr>
                <w:p w14:paraId="68BFC423">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99" w:type="dxa"/>
                  <w:vAlign w:val="center"/>
                </w:tcPr>
                <w:p w14:paraId="33A71349">
                  <w:pPr>
                    <w:pStyle w:val="4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《饮食行业油烟排放标准（试行）》（GB18483-2001）的要求</w:t>
                  </w:r>
                </w:p>
              </w:tc>
            </w:tr>
          </w:tbl>
          <w:p w14:paraId="6AB53479">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2废水</w:t>
            </w:r>
          </w:p>
          <w:p w14:paraId="338976B6">
            <w:pPr>
              <w:ind w:firstLine="480"/>
              <w:rPr>
                <w:rFonts w:hint="default" w:ascii="Times New Roman" w:hAnsi="Times New Roman" w:cs="Times New Roman"/>
                <w:spacing w:val="-4"/>
              </w:rPr>
            </w:pPr>
            <w:r>
              <w:rPr>
                <w:rFonts w:hint="default" w:ascii="Times New Roman" w:hAnsi="Times New Roman" w:cs="Times New Roman"/>
                <w:spacing w:val="-3"/>
              </w:rPr>
              <w:t>项目</w:t>
            </w:r>
            <w:r>
              <w:rPr>
                <w:rFonts w:hint="default" w:ascii="Times New Roman" w:hAnsi="Times New Roman" w:cs="Times New Roman"/>
                <w:spacing w:val="-3"/>
                <w:lang w:val="en-US" w:eastAsia="zh-CN"/>
              </w:rPr>
              <w:t>生产废水循环使用不外排</w:t>
            </w:r>
            <w:r>
              <w:rPr>
                <w:rFonts w:hint="default" w:ascii="Times New Roman" w:hAnsi="Times New Roman" w:cs="Times New Roman"/>
                <w:spacing w:val="-3"/>
              </w:rPr>
              <w:t>，</w:t>
            </w:r>
            <w:r>
              <w:rPr>
                <w:rFonts w:hint="default" w:ascii="Times New Roman" w:hAnsi="Times New Roman" w:cs="Times New Roman"/>
                <w:spacing w:val="-3"/>
                <w:lang w:eastAsia="zh-CN"/>
              </w:rPr>
              <w:t>生活污水</w:t>
            </w:r>
            <w:r>
              <w:rPr>
                <w:rFonts w:hint="default" w:ascii="Times New Roman" w:hAnsi="Times New Roman" w:cs="Times New Roman"/>
                <w:spacing w:val="-3"/>
              </w:rPr>
              <w:t>执行《污水综合排放标准》（</w:t>
            </w:r>
            <w:r>
              <w:rPr>
                <w:rFonts w:hint="default" w:ascii="Times New Roman" w:hAnsi="Times New Roman" w:eastAsia="Times New Roman" w:cs="Times New Roman"/>
                <w:spacing w:val="-3"/>
              </w:rPr>
              <w:t>GB897</w:t>
            </w:r>
            <w:r>
              <w:rPr>
                <w:rFonts w:hint="default" w:ascii="Times New Roman" w:hAnsi="Times New Roman" w:eastAsia="Times New Roman" w:cs="Times New Roman"/>
                <w:spacing w:val="-4"/>
              </w:rPr>
              <w:t>8-1996</w:t>
            </w:r>
            <w:r>
              <w:rPr>
                <w:rFonts w:hint="default" w:ascii="Times New Roman" w:hAnsi="Times New Roman" w:cs="Times New Roman"/>
                <w:spacing w:val="-4"/>
              </w:rPr>
              <w:t>）三级标准。</w:t>
            </w:r>
          </w:p>
          <w:p w14:paraId="5FFD8124">
            <w:pPr>
              <w:pStyle w:val="37"/>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表 3-</w:t>
            </w:r>
            <w:r>
              <w:rPr>
                <w:rFonts w:hint="default" w:ascii="Times New Roman" w:hAnsi="Times New Roman" w:cs="Times New Roman"/>
                <w:color w:val="auto"/>
                <w:highlight w:val="none"/>
                <w:shd w:val="clear" w:color="auto" w:fill="FFFFFF"/>
                <w:lang w:val="en-US" w:eastAsia="zh-CN"/>
              </w:rPr>
              <w:t>8</w:t>
            </w:r>
            <w:r>
              <w:rPr>
                <w:rFonts w:hint="default" w:ascii="Times New Roman" w:hAnsi="Times New Roman" w:cs="Times New Roman"/>
                <w:color w:val="auto"/>
                <w:highlight w:val="none"/>
                <w:shd w:val="clear" w:color="auto" w:fill="FFFFFF"/>
              </w:rPr>
              <w:t xml:space="preserve">   污水排放执行标准  单位：mg/L</w:t>
            </w:r>
          </w:p>
          <w:tbl>
            <w:tblPr>
              <w:tblStyle w:val="29"/>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192"/>
              <w:gridCol w:w="1483"/>
              <w:gridCol w:w="2269"/>
            </w:tblGrid>
            <w:tr w14:paraId="28F4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06" w:type="dxa"/>
                  <w:shd w:val="clear" w:color="auto" w:fill="auto"/>
                  <w:vAlign w:val="center"/>
                </w:tcPr>
                <w:p w14:paraId="258F397D">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序号</w:t>
                  </w:r>
                </w:p>
              </w:tc>
              <w:tc>
                <w:tcPr>
                  <w:tcW w:w="3192" w:type="dxa"/>
                  <w:shd w:val="clear" w:color="auto" w:fill="auto"/>
                  <w:vAlign w:val="center"/>
                </w:tcPr>
                <w:p w14:paraId="756F40D9">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基本控制项目</w:t>
                  </w:r>
                </w:p>
              </w:tc>
              <w:tc>
                <w:tcPr>
                  <w:tcW w:w="1483" w:type="dxa"/>
                  <w:shd w:val="clear" w:color="auto" w:fill="auto"/>
                  <w:vAlign w:val="center"/>
                </w:tcPr>
                <w:p w14:paraId="379BE68B">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三级标准</w:t>
                  </w:r>
                </w:p>
              </w:tc>
              <w:tc>
                <w:tcPr>
                  <w:tcW w:w="2269" w:type="dxa"/>
                  <w:shd w:val="clear" w:color="auto" w:fill="auto"/>
                  <w:vAlign w:val="center"/>
                </w:tcPr>
                <w:p w14:paraId="1A456976">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接管水质要求</w:t>
                  </w:r>
                </w:p>
              </w:tc>
            </w:tr>
            <w:tr w14:paraId="17D3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shd w:val="clear" w:color="auto" w:fill="auto"/>
                  <w:vAlign w:val="center"/>
                </w:tcPr>
                <w:p w14:paraId="6C6D3947">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3192" w:type="dxa"/>
                  <w:shd w:val="clear" w:color="auto" w:fill="auto"/>
                  <w:vAlign w:val="center"/>
                </w:tcPr>
                <w:p w14:paraId="2AED81C0">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化学需氧量（COD）</w:t>
                  </w:r>
                </w:p>
              </w:tc>
              <w:tc>
                <w:tcPr>
                  <w:tcW w:w="1483" w:type="dxa"/>
                  <w:shd w:val="clear" w:color="auto" w:fill="auto"/>
                  <w:vAlign w:val="center"/>
                </w:tcPr>
                <w:p w14:paraId="5A1A15D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500</w:t>
                  </w:r>
                </w:p>
              </w:tc>
              <w:tc>
                <w:tcPr>
                  <w:tcW w:w="2269" w:type="dxa"/>
                  <w:shd w:val="clear" w:color="auto" w:fill="auto"/>
                  <w:vAlign w:val="center"/>
                </w:tcPr>
                <w:p w14:paraId="79DAA271">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500</w:t>
                  </w:r>
                </w:p>
              </w:tc>
            </w:tr>
            <w:tr w14:paraId="74CE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dxa"/>
                  <w:shd w:val="clear" w:color="auto" w:fill="auto"/>
                  <w:vAlign w:val="center"/>
                </w:tcPr>
                <w:p w14:paraId="3384182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3192" w:type="dxa"/>
                  <w:shd w:val="clear" w:color="auto" w:fill="auto"/>
                  <w:vAlign w:val="center"/>
                </w:tcPr>
                <w:p w14:paraId="50E91EAA">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生化需氧量（BOD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p>
              </w:tc>
              <w:tc>
                <w:tcPr>
                  <w:tcW w:w="1483" w:type="dxa"/>
                  <w:shd w:val="clear" w:color="auto" w:fill="auto"/>
                  <w:vAlign w:val="center"/>
                </w:tcPr>
                <w:p w14:paraId="51B877DA">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300</w:t>
                  </w:r>
                </w:p>
              </w:tc>
              <w:tc>
                <w:tcPr>
                  <w:tcW w:w="2269" w:type="dxa"/>
                  <w:shd w:val="clear" w:color="auto" w:fill="auto"/>
                  <w:vAlign w:val="center"/>
                </w:tcPr>
                <w:p w14:paraId="571E813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300</w:t>
                  </w:r>
                </w:p>
              </w:tc>
            </w:tr>
            <w:tr w14:paraId="40E7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5808F7BE">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3192" w:type="dxa"/>
                  <w:shd w:val="clear" w:color="auto" w:fill="auto"/>
                  <w:vAlign w:val="center"/>
                </w:tcPr>
                <w:p w14:paraId="56B5DA5E">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悬浮物（SS）</w:t>
                  </w:r>
                </w:p>
              </w:tc>
              <w:tc>
                <w:tcPr>
                  <w:tcW w:w="1483" w:type="dxa"/>
                  <w:shd w:val="clear" w:color="auto" w:fill="auto"/>
                  <w:vAlign w:val="center"/>
                </w:tcPr>
                <w:p w14:paraId="564144A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400</w:t>
                  </w:r>
                </w:p>
              </w:tc>
              <w:tc>
                <w:tcPr>
                  <w:tcW w:w="2269" w:type="dxa"/>
                  <w:shd w:val="clear" w:color="auto" w:fill="auto"/>
                  <w:vAlign w:val="center"/>
                </w:tcPr>
                <w:p w14:paraId="58DE8CF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400</w:t>
                  </w:r>
                </w:p>
              </w:tc>
            </w:tr>
            <w:tr w14:paraId="7727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5F14DC3D">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3192" w:type="dxa"/>
                  <w:shd w:val="clear" w:color="auto" w:fill="auto"/>
                  <w:vAlign w:val="center"/>
                </w:tcPr>
                <w:p w14:paraId="543543F1">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总氮（以N计）</w:t>
                  </w:r>
                </w:p>
              </w:tc>
              <w:tc>
                <w:tcPr>
                  <w:tcW w:w="1483" w:type="dxa"/>
                  <w:shd w:val="clear" w:color="auto" w:fill="auto"/>
                  <w:vAlign w:val="center"/>
                </w:tcPr>
                <w:p w14:paraId="6BFEFA3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2269" w:type="dxa"/>
                  <w:shd w:val="clear" w:color="auto" w:fill="auto"/>
                  <w:vAlign w:val="center"/>
                </w:tcPr>
                <w:p w14:paraId="1CE4773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4F5D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4DCC3B0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3192" w:type="dxa"/>
                  <w:shd w:val="clear" w:color="auto" w:fill="auto"/>
                  <w:vAlign w:val="center"/>
                </w:tcPr>
                <w:p w14:paraId="7867C88F">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氨氮（以N计）</w:t>
                  </w:r>
                </w:p>
              </w:tc>
              <w:tc>
                <w:tcPr>
                  <w:tcW w:w="1483" w:type="dxa"/>
                  <w:shd w:val="clear" w:color="auto" w:fill="auto"/>
                  <w:vAlign w:val="center"/>
                </w:tcPr>
                <w:p w14:paraId="79D180E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2269" w:type="dxa"/>
                  <w:shd w:val="clear" w:color="auto" w:fill="auto"/>
                  <w:vAlign w:val="center"/>
                </w:tcPr>
                <w:p w14:paraId="06C04ED6">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22B8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7E1433C3">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3192" w:type="dxa"/>
                  <w:shd w:val="clear" w:color="auto" w:fill="auto"/>
                  <w:vAlign w:val="center"/>
                </w:tcPr>
                <w:p w14:paraId="00D1763F">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总磷（以P计）</w:t>
                  </w:r>
                </w:p>
              </w:tc>
              <w:tc>
                <w:tcPr>
                  <w:tcW w:w="1483" w:type="dxa"/>
                  <w:shd w:val="clear" w:color="auto" w:fill="auto"/>
                  <w:vAlign w:val="center"/>
                </w:tcPr>
                <w:p w14:paraId="7BE3194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2269" w:type="dxa"/>
                  <w:shd w:val="clear" w:color="auto" w:fill="auto"/>
                  <w:vAlign w:val="center"/>
                </w:tcPr>
                <w:p w14:paraId="47320E1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r w14:paraId="42B5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570C852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3192" w:type="dxa"/>
                  <w:shd w:val="clear" w:color="auto" w:fill="auto"/>
                  <w:vAlign w:val="center"/>
                </w:tcPr>
                <w:p w14:paraId="2A3BE9D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p>
              </w:tc>
              <w:tc>
                <w:tcPr>
                  <w:tcW w:w="1483" w:type="dxa"/>
                  <w:shd w:val="clear" w:color="auto" w:fill="auto"/>
                  <w:vAlign w:val="center"/>
                </w:tcPr>
                <w:p w14:paraId="329176AD">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p>
              </w:tc>
              <w:tc>
                <w:tcPr>
                  <w:tcW w:w="2269" w:type="dxa"/>
                  <w:shd w:val="clear" w:color="auto" w:fill="auto"/>
                  <w:vAlign w:val="center"/>
                </w:tcPr>
                <w:p w14:paraId="53E400AB">
                  <w:pPr>
                    <w:pStyle w:val="47"/>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6</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p>
              </w:tc>
            </w:tr>
          </w:tbl>
          <w:p w14:paraId="5769A9D8">
            <w:pPr>
              <w:ind w:firstLine="0" w:firstLineChars="0"/>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3噪声</w:t>
            </w:r>
          </w:p>
          <w:p w14:paraId="0F698A85">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建筑施工噪声执行《建筑施工场界环境噪声排放标准》（GB12523-2011）中的相关标准，即昼间≤70dB</w:t>
            </w:r>
            <w:r>
              <w:rPr>
                <w:rFonts w:hint="eastAsia"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，夜间≤55dB</w:t>
            </w:r>
            <w:r>
              <w:rPr>
                <w:rFonts w:hint="eastAsia"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5F705B1C">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运营期噪声执行《工业企业厂界环境噪声排放标准》（GB12348-2008）3类标准，</w:t>
            </w:r>
            <w:r>
              <w:rPr>
                <w:rFonts w:hint="default" w:ascii="Times New Roman" w:hAnsi="Times New Roman" w:cs="Times New Roman"/>
                <w:color w:val="auto"/>
                <w:kern w:val="0"/>
                <w:highlight w:val="none"/>
              </w:rPr>
              <w:t>即昼间≤65dB</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，夜间≤55dB</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w:t>
            </w:r>
          </w:p>
          <w:p w14:paraId="0887E14A">
            <w:pPr>
              <w:ind w:firstLine="0" w:firstLineChars="0"/>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4固废</w:t>
            </w:r>
          </w:p>
          <w:p w14:paraId="71B4CE64">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本项目一般固废处置执行《中华人民共和国固体废物污染环境防治法》中的有关规定和《一般工业固体废物贮存和填埋污染控制标准》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GB18599-2020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；危险废物贮存执行《危险废物贮存污染控制标准》（GB18597-2023）。</w:t>
            </w:r>
          </w:p>
        </w:tc>
      </w:tr>
      <w:tr w14:paraId="7DCF9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tcMar>
              <w:left w:w="28" w:type="dxa"/>
              <w:right w:w="28" w:type="dxa"/>
            </w:tcMar>
            <w:vAlign w:val="center"/>
          </w:tcPr>
          <w:p w14:paraId="1CC63ED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0DB03C95">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322677CF">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kern w:val="0"/>
                <w:sz w:val="24"/>
                <w:szCs w:val="24"/>
                <w:highlight w:val="none"/>
              </w:rPr>
              <w:t>指标</w:t>
            </w:r>
          </w:p>
        </w:tc>
        <w:tc>
          <w:tcPr>
            <w:tcW w:w="8405" w:type="dxa"/>
            <w:vAlign w:val="center"/>
          </w:tcPr>
          <w:p w14:paraId="4B05527D">
            <w:pPr>
              <w:pStyle w:val="10"/>
              <w:widowControl w:val="0"/>
              <w:numPr>
                <w:ilvl w:val="0"/>
                <w:numId w:val="0"/>
              </w:numPr>
              <w:spacing w:line="360" w:lineRule="auto"/>
              <w:ind w:left="0" w:leftChars="0"/>
              <w:jc w:val="center"/>
              <w:rPr>
                <w:rFonts w:hint="default" w:ascii="Times New Roman" w:hAnsi="Times New Roman" w:cs="Times New Roman"/>
              </w:rPr>
            </w:pPr>
            <w:r>
              <w:rPr>
                <w:rFonts w:hint="default" w:ascii="Times New Roman" w:hAnsi="Times New Roman" w:cs="Times New Roman"/>
                <w:color w:val="auto"/>
                <w:kern w:val="0"/>
                <w:sz w:val="24"/>
                <w:szCs w:val="24"/>
                <w:highlight w:val="none"/>
                <w:lang w:val="en-US" w:eastAsia="zh-CN"/>
              </w:rPr>
              <w:t>/</w:t>
            </w:r>
          </w:p>
          <w:p w14:paraId="7422DCE1">
            <w:pPr>
              <w:pStyle w:val="10"/>
              <w:widowControl w:val="0"/>
              <w:numPr>
                <w:ilvl w:val="0"/>
                <w:numId w:val="0"/>
              </w:numPr>
              <w:spacing w:line="360" w:lineRule="auto"/>
              <w:jc w:val="both"/>
              <w:rPr>
                <w:rFonts w:hint="default" w:ascii="Times New Roman" w:hAnsi="Times New Roman" w:cs="Times New Roman"/>
              </w:rPr>
            </w:pPr>
          </w:p>
          <w:p w14:paraId="2206085B">
            <w:pPr>
              <w:pStyle w:val="10"/>
              <w:widowControl w:val="0"/>
              <w:numPr>
                <w:ilvl w:val="0"/>
                <w:numId w:val="0"/>
              </w:numPr>
              <w:spacing w:line="360" w:lineRule="auto"/>
              <w:jc w:val="both"/>
              <w:rPr>
                <w:rFonts w:hint="default" w:ascii="Times New Roman" w:hAnsi="Times New Roman" w:cs="Times New Roman"/>
              </w:rPr>
            </w:pPr>
          </w:p>
          <w:p w14:paraId="754CD60C">
            <w:pPr>
              <w:pStyle w:val="10"/>
              <w:widowControl w:val="0"/>
              <w:numPr>
                <w:ilvl w:val="0"/>
                <w:numId w:val="0"/>
              </w:numPr>
              <w:spacing w:line="360" w:lineRule="auto"/>
              <w:jc w:val="both"/>
              <w:rPr>
                <w:rFonts w:hint="default" w:ascii="Times New Roman" w:hAnsi="Times New Roman" w:cs="Times New Roman"/>
              </w:rPr>
            </w:pPr>
          </w:p>
          <w:p w14:paraId="12D0F3B1">
            <w:pPr>
              <w:pStyle w:val="10"/>
              <w:widowControl w:val="0"/>
              <w:numPr>
                <w:ilvl w:val="0"/>
                <w:numId w:val="0"/>
              </w:numPr>
              <w:spacing w:line="360" w:lineRule="auto"/>
              <w:jc w:val="both"/>
              <w:rPr>
                <w:rFonts w:hint="default" w:ascii="Times New Roman" w:hAnsi="Times New Roman" w:cs="Times New Roman"/>
              </w:rPr>
            </w:pPr>
          </w:p>
          <w:p w14:paraId="111EC12A">
            <w:pPr>
              <w:pStyle w:val="10"/>
              <w:widowControl w:val="0"/>
              <w:numPr>
                <w:ilvl w:val="0"/>
                <w:numId w:val="0"/>
              </w:numPr>
              <w:spacing w:line="360" w:lineRule="auto"/>
              <w:jc w:val="both"/>
              <w:rPr>
                <w:rFonts w:hint="default" w:ascii="Times New Roman" w:hAnsi="Times New Roman" w:cs="Times New Roman"/>
              </w:rPr>
            </w:pPr>
          </w:p>
          <w:p w14:paraId="7D547A39">
            <w:pPr>
              <w:pStyle w:val="10"/>
              <w:widowControl w:val="0"/>
              <w:numPr>
                <w:ilvl w:val="0"/>
                <w:numId w:val="0"/>
              </w:numPr>
              <w:spacing w:line="360" w:lineRule="auto"/>
              <w:jc w:val="both"/>
              <w:rPr>
                <w:rFonts w:hint="default" w:ascii="Times New Roman" w:hAnsi="Times New Roman" w:cs="Times New Roman"/>
              </w:rPr>
            </w:pPr>
          </w:p>
          <w:p w14:paraId="4648A586">
            <w:pPr>
              <w:pStyle w:val="10"/>
              <w:widowControl w:val="0"/>
              <w:numPr>
                <w:ilvl w:val="0"/>
                <w:numId w:val="0"/>
              </w:numPr>
              <w:spacing w:line="360" w:lineRule="auto"/>
              <w:jc w:val="both"/>
              <w:rPr>
                <w:rFonts w:hint="default" w:ascii="Times New Roman" w:hAnsi="Times New Roman" w:cs="Times New Roman"/>
              </w:rPr>
            </w:pPr>
          </w:p>
          <w:p w14:paraId="47F786C8">
            <w:pPr>
              <w:pStyle w:val="10"/>
              <w:widowControl w:val="0"/>
              <w:numPr>
                <w:ilvl w:val="0"/>
                <w:numId w:val="0"/>
              </w:numPr>
              <w:spacing w:line="360" w:lineRule="auto"/>
              <w:jc w:val="both"/>
              <w:rPr>
                <w:rFonts w:hint="default" w:ascii="Times New Roman" w:hAnsi="Times New Roman" w:cs="Times New Roman"/>
              </w:rPr>
            </w:pPr>
          </w:p>
          <w:p w14:paraId="337C3D28">
            <w:pPr>
              <w:pStyle w:val="10"/>
              <w:widowControl w:val="0"/>
              <w:numPr>
                <w:ilvl w:val="0"/>
                <w:numId w:val="0"/>
              </w:numPr>
              <w:spacing w:line="360" w:lineRule="auto"/>
              <w:jc w:val="both"/>
              <w:rPr>
                <w:rFonts w:hint="default" w:ascii="Times New Roman" w:hAnsi="Times New Roman" w:cs="Times New Roman"/>
              </w:rPr>
            </w:pPr>
          </w:p>
          <w:p w14:paraId="5A3E8984">
            <w:pPr>
              <w:pStyle w:val="10"/>
              <w:widowControl w:val="0"/>
              <w:numPr>
                <w:ilvl w:val="0"/>
                <w:numId w:val="0"/>
              </w:numPr>
              <w:spacing w:line="360" w:lineRule="auto"/>
              <w:jc w:val="both"/>
              <w:rPr>
                <w:rFonts w:hint="default" w:ascii="Times New Roman" w:hAnsi="Times New Roman" w:cs="Times New Roman"/>
              </w:rPr>
            </w:pPr>
          </w:p>
          <w:p w14:paraId="77D1EAC7">
            <w:pPr>
              <w:pStyle w:val="10"/>
              <w:widowControl w:val="0"/>
              <w:numPr>
                <w:ilvl w:val="0"/>
                <w:numId w:val="0"/>
              </w:numPr>
              <w:spacing w:line="360" w:lineRule="auto"/>
              <w:jc w:val="both"/>
              <w:rPr>
                <w:rFonts w:hint="default" w:ascii="Times New Roman" w:hAnsi="Times New Roman" w:cs="Times New Roman"/>
              </w:rPr>
            </w:pPr>
          </w:p>
          <w:p w14:paraId="3FF492CF">
            <w:pPr>
              <w:pStyle w:val="10"/>
              <w:widowControl w:val="0"/>
              <w:numPr>
                <w:ilvl w:val="0"/>
                <w:numId w:val="0"/>
              </w:numPr>
              <w:spacing w:line="360" w:lineRule="auto"/>
              <w:jc w:val="both"/>
              <w:rPr>
                <w:rFonts w:hint="default" w:ascii="Times New Roman" w:hAnsi="Times New Roman" w:cs="Times New Roman"/>
              </w:rPr>
            </w:pPr>
          </w:p>
          <w:p w14:paraId="737AC6E5">
            <w:pPr>
              <w:pStyle w:val="10"/>
              <w:widowControl w:val="0"/>
              <w:numPr>
                <w:ilvl w:val="0"/>
                <w:numId w:val="0"/>
              </w:numPr>
              <w:spacing w:line="360" w:lineRule="auto"/>
              <w:jc w:val="both"/>
              <w:rPr>
                <w:rFonts w:hint="default" w:ascii="Times New Roman" w:hAnsi="Times New Roman" w:cs="Times New Roman"/>
              </w:rPr>
            </w:pPr>
          </w:p>
          <w:p w14:paraId="346115DA">
            <w:pPr>
              <w:pStyle w:val="10"/>
              <w:widowControl w:val="0"/>
              <w:numPr>
                <w:ilvl w:val="0"/>
                <w:numId w:val="0"/>
              </w:numPr>
              <w:spacing w:line="360" w:lineRule="auto"/>
              <w:jc w:val="both"/>
              <w:rPr>
                <w:rFonts w:hint="default" w:ascii="Times New Roman" w:hAnsi="Times New Roman" w:cs="Times New Roman"/>
              </w:rPr>
            </w:pPr>
          </w:p>
          <w:p w14:paraId="0F0A958B">
            <w:pPr>
              <w:pStyle w:val="10"/>
              <w:widowControl w:val="0"/>
              <w:numPr>
                <w:ilvl w:val="0"/>
                <w:numId w:val="0"/>
              </w:numPr>
              <w:spacing w:line="360" w:lineRule="auto"/>
              <w:jc w:val="both"/>
              <w:rPr>
                <w:rFonts w:hint="default" w:ascii="Times New Roman" w:hAnsi="Times New Roman" w:cs="Times New Roman"/>
              </w:rPr>
            </w:pPr>
          </w:p>
          <w:p w14:paraId="4AD5A8CD">
            <w:pPr>
              <w:pStyle w:val="10"/>
              <w:widowControl w:val="0"/>
              <w:numPr>
                <w:ilvl w:val="0"/>
                <w:numId w:val="0"/>
              </w:numPr>
              <w:spacing w:line="360" w:lineRule="auto"/>
              <w:jc w:val="both"/>
              <w:rPr>
                <w:rFonts w:hint="default" w:ascii="Times New Roman" w:hAnsi="Times New Roman" w:cs="Times New Roman"/>
              </w:rPr>
            </w:pPr>
          </w:p>
          <w:p w14:paraId="77884885">
            <w:pPr>
              <w:pStyle w:val="10"/>
              <w:widowControl w:val="0"/>
              <w:numPr>
                <w:ilvl w:val="0"/>
                <w:numId w:val="0"/>
              </w:numPr>
              <w:spacing w:line="360" w:lineRule="auto"/>
              <w:jc w:val="both"/>
              <w:rPr>
                <w:rFonts w:hint="default" w:ascii="Times New Roman" w:hAnsi="Times New Roman" w:cs="Times New Roman"/>
              </w:rPr>
            </w:pPr>
          </w:p>
          <w:p w14:paraId="4835B8F3">
            <w:pPr>
              <w:pStyle w:val="10"/>
              <w:widowControl w:val="0"/>
              <w:numPr>
                <w:ilvl w:val="0"/>
                <w:numId w:val="0"/>
              </w:numPr>
              <w:spacing w:line="360" w:lineRule="auto"/>
              <w:jc w:val="both"/>
              <w:rPr>
                <w:rFonts w:hint="default" w:ascii="Times New Roman" w:hAnsi="Times New Roman" w:cs="Times New Roman"/>
              </w:rPr>
            </w:pPr>
          </w:p>
          <w:p w14:paraId="4AD56DB2">
            <w:pPr>
              <w:pStyle w:val="10"/>
              <w:widowControl w:val="0"/>
              <w:numPr>
                <w:ilvl w:val="0"/>
                <w:numId w:val="0"/>
              </w:numPr>
              <w:spacing w:line="360" w:lineRule="auto"/>
              <w:jc w:val="both"/>
              <w:rPr>
                <w:rFonts w:hint="default" w:ascii="Times New Roman" w:hAnsi="Times New Roman" w:cs="Times New Roman"/>
              </w:rPr>
            </w:pPr>
          </w:p>
          <w:p w14:paraId="014D48A4">
            <w:pPr>
              <w:pStyle w:val="10"/>
              <w:widowControl w:val="0"/>
              <w:numPr>
                <w:ilvl w:val="0"/>
                <w:numId w:val="0"/>
              </w:numPr>
              <w:spacing w:line="360" w:lineRule="auto"/>
              <w:jc w:val="both"/>
              <w:rPr>
                <w:rFonts w:hint="default" w:ascii="Times New Roman" w:hAnsi="Times New Roman" w:cs="Times New Roman"/>
              </w:rPr>
            </w:pPr>
          </w:p>
          <w:p w14:paraId="2004F47E">
            <w:pPr>
              <w:pStyle w:val="10"/>
              <w:widowControl w:val="0"/>
              <w:numPr>
                <w:ilvl w:val="0"/>
                <w:numId w:val="0"/>
              </w:numPr>
              <w:spacing w:line="360" w:lineRule="auto"/>
              <w:jc w:val="both"/>
              <w:rPr>
                <w:rFonts w:hint="default" w:ascii="Times New Roman" w:hAnsi="Times New Roman" w:cs="Times New Roman"/>
              </w:rPr>
            </w:pPr>
          </w:p>
          <w:p w14:paraId="75A36F7D">
            <w:pPr>
              <w:pStyle w:val="10"/>
              <w:widowControl w:val="0"/>
              <w:numPr>
                <w:ilvl w:val="0"/>
                <w:numId w:val="0"/>
              </w:numPr>
              <w:spacing w:line="360" w:lineRule="auto"/>
              <w:jc w:val="both"/>
              <w:rPr>
                <w:rFonts w:hint="default" w:ascii="Times New Roman" w:hAnsi="Times New Roman" w:cs="Times New Roman"/>
              </w:rPr>
            </w:pPr>
          </w:p>
        </w:tc>
      </w:tr>
    </w:tbl>
    <w:p w14:paraId="6593B28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12AB2306">
      <w:pPr>
        <w:pStyle w:val="24"/>
        <w:spacing w:before="0" w:beforeAutospacing="0" w:after="0" w:afterAutospacing="0" w:line="240" w:lineRule="auto"/>
        <w:ind w:firstLine="600"/>
        <w:jc w:val="center"/>
        <w:outlineLvl w:val="0"/>
        <w:rPr>
          <w:rFonts w:hint="default" w:ascii="Times New Roman" w:hAnsi="Times New Roman" w:eastAsia="黑体" w:cs="Times New Roman"/>
          <w:snapToGrid w:val="0"/>
          <w:color w:val="auto"/>
          <w:sz w:val="30"/>
          <w:szCs w:val="30"/>
          <w:highlight w:val="none"/>
        </w:rPr>
      </w:pPr>
      <w:bookmarkStart w:id="11" w:name="_Toc7762"/>
      <w:bookmarkStart w:id="12" w:name="_Toc28034"/>
      <w:r>
        <w:rPr>
          <w:rFonts w:hint="default" w:ascii="Times New Roman" w:hAnsi="Times New Roman" w:eastAsia="黑体" w:cs="Times New Roman"/>
          <w:snapToGrid w:val="0"/>
          <w:color w:val="auto"/>
          <w:sz w:val="30"/>
          <w:szCs w:val="30"/>
          <w:highlight w:val="none"/>
        </w:rPr>
        <w:t>四、主要环境影响和保护措施</w:t>
      </w:r>
      <w:bookmarkEnd w:id="11"/>
      <w:bookmarkEnd w:id="12"/>
    </w:p>
    <w:tbl>
      <w:tblPr>
        <w:tblStyle w:val="29"/>
        <w:tblpPr w:leftFromText="180" w:rightFromText="180" w:vertAnchor="text" w:tblpXSpec="center" w:tblpY="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14:paraId="5E756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449" w:type="dxa"/>
            <w:tcMar>
              <w:left w:w="28" w:type="dxa"/>
              <w:right w:w="28" w:type="dxa"/>
            </w:tcMar>
            <w:vAlign w:val="center"/>
          </w:tcPr>
          <w:p w14:paraId="1A68F00A">
            <w:pPr>
              <w:pStyle w:val="24"/>
              <w:adjustRightInd w:val="0"/>
              <w:snapToGrid w:val="0"/>
              <w:spacing w:before="0" w:beforeAutospacing="0" w:after="0" w:afterAutospacing="0"/>
              <w:ind w:firstLine="0" w:firstLineChars="0"/>
              <w:jc w:val="center"/>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color w:val="auto"/>
                <w:kern w:val="2"/>
                <w:sz w:val="24"/>
                <w:szCs w:val="24"/>
                <w:highlight w:val="none"/>
              </w:rPr>
              <w:t>施工期环境保护措施</w:t>
            </w:r>
          </w:p>
        </w:tc>
        <w:tc>
          <w:tcPr>
            <w:tcW w:w="8532" w:type="dxa"/>
            <w:vAlign w:val="center"/>
          </w:tcPr>
          <w:p w14:paraId="34E08AB5">
            <w:pPr>
              <w:ind w:left="0" w:leftChars="0" w:firstLine="0" w:firstLineChars="0"/>
              <w:jc w:val="left"/>
              <w:rPr>
                <w:rFonts w:hint="default" w:ascii="Times New Roman" w:hAnsi="Times New Roman" w:eastAsia="宋体" w:cs="Times New Roman"/>
                <w:b w:val="0"/>
                <w:bCs/>
                <w:color w:val="auto"/>
                <w:sz w:val="24"/>
                <w:szCs w:val="24"/>
                <w:highlight w:val="none"/>
                <w:lang w:val="en-US" w:eastAsia="zh-CN"/>
              </w:rPr>
            </w:pPr>
            <w:bookmarkStart w:id="13" w:name="_Toc517195126"/>
            <w:r>
              <w:rPr>
                <w:rFonts w:hint="default"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施工期环境保护措施：</w:t>
            </w:r>
          </w:p>
          <w:p w14:paraId="7498A0D2">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本项目预计施工期为</w:t>
            </w:r>
            <w:r>
              <w:rPr>
                <w:rFonts w:hint="default" w:ascii="Times New Roman" w:hAnsi="Times New Roman" w:cs="Times New Roman"/>
                <w:b w:val="0"/>
                <w:bCs/>
                <w:color w:val="auto"/>
                <w:sz w:val="24"/>
                <w:szCs w:val="24"/>
                <w:highlight w:val="none"/>
                <w:lang w:val="en-US" w:eastAsia="zh-CN"/>
              </w:rPr>
              <w:t>16</w:t>
            </w:r>
            <w:r>
              <w:rPr>
                <w:rFonts w:hint="default" w:ascii="Times New Roman" w:hAnsi="Times New Roman" w:eastAsia="宋体" w:cs="Times New Roman"/>
                <w:b w:val="0"/>
                <w:bCs/>
                <w:color w:val="auto"/>
                <w:sz w:val="24"/>
                <w:szCs w:val="24"/>
                <w:highlight w:val="none"/>
                <w:lang w:val="en-US" w:eastAsia="zh-CN"/>
              </w:rPr>
              <w:t>个月，厂区施工内容主要包括地基挖掘、结构施工及设备安装调试。在此期间将产生施工扬尘、废水、噪声和建筑垃圾等。此外，物料运输也将对运输路线两侧一定范围内大气、声环境产生不利影响。</w:t>
            </w:r>
          </w:p>
          <w:p w14:paraId="43847013">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施工期扬尘防治措施</w:t>
            </w:r>
          </w:p>
          <w:p w14:paraId="01A67F5D">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期的大气污染源主要为施工区裸露的地表在大风气象条件下易形成风蚀扬尘，其产生量与风力、表土含水率等因素有关。另外建筑材料运输、卸载中的扬尘，土方运输车辆行驶产生的扬尘，临时物料堆场产生的风蚀扬尘等。但影响程度及范围有限，而且是短期的局部影响。</w:t>
            </w:r>
          </w:p>
          <w:p w14:paraId="471371E3">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为减轻扬尘对区域环境空气质量的不利影响，应对厂区进行合理绿化，以减少表土的裸露。项目在建设工程中，建设单位需加强管理，严格防治扬尘对大气环境产生的污染。</w:t>
            </w:r>
          </w:p>
          <w:p w14:paraId="42163826">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为</w:t>
            </w:r>
            <w:r>
              <w:rPr>
                <w:rFonts w:hint="default" w:ascii="Times New Roman" w:hAnsi="Times New Roman" w:cs="Times New Roman"/>
                <w:b w:val="0"/>
                <w:bCs/>
                <w:color w:val="auto"/>
                <w:sz w:val="24"/>
                <w:szCs w:val="24"/>
                <w:highlight w:val="none"/>
                <w:lang w:val="en-US" w:eastAsia="zh-CN"/>
              </w:rPr>
              <w:t>减少</w:t>
            </w:r>
            <w:r>
              <w:rPr>
                <w:rFonts w:hint="default" w:ascii="Times New Roman" w:hAnsi="Times New Roman" w:eastAsia="宋体" w:cs="Times New Roman"/>
                <w:b w:val="0"/>
                <w:bCs/>
                <w:color w:val="auto"/>
                <w:sz w:val="24"/>
                <w:szCs w:val="24"/>
                <w:highlight w:val="none"/>
                <w:lang w:val="en-US" w:eastAsia="zh-CN"/>
              </w:rPr>
              <w:t>施工扬</w:t>
            </w:r>
            <w:r>
              <w:rPr>
                <w:rFonts w:hint="eastAsia" w:cs="Times New Roman"/>
                <w:b w:val="0"/>
                <w:bCs/>
                <w:color w:val="auto"/>
                <w:sz w:val="24"/>
                <w:szCs w:val="24"/>
                <w:highlight w:val="none"/>
                <w:lang w:val="en-US" w:eastAsia="zh-CN"/>
              </w:rPr>
              <w:t>尘对</w:t>
            </w:r>
            <w:r>
              <w:rPr>
                <w:rFonts w:hint="default" w:ascii="Times New Roman" w:hAnsi="Times New Roman" w:eastAsia="宋体" w:cs="Times New Roman"/>
                <w:b w:val="0"/>
                <w:bCs/>
                <w:color w:val="auto"/>
                <w:sz w:val="24"/>
                <w:szCs w:val="24"/>
                <w:highlight w:val="none"/>
                <w:lang w:val="en-US" w:eastAsia="zh-CN"/>
              </w:rPr>
              <w:t>周围环境的污染影响，应要求施工单位文明施工，同时可对施工单位提出如下要求：</w:t>
            </w:r>
          </w:p>
          <w:p w14:paraId="6405D48D">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（1）对施工现场进行科学管理，砂石料应统一堆放，水泥应设专门库房堆放，尽量减少搬运环节，同时应使用商品混凝土，禁止现场搅拌。</w:t>
            </w:r>
          </w:p>
          <w:p w14:paraId="0B32F522">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（2）地面开挖时，对作业面适当喷水，使其保持一定湿度，以减少扬尘产生量；建筑材料和建筑垃圾应及时清运。</w:t>
            </w:r>
          </w:p>
          <w:p w14:paraId="57FE2B8C">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（3）谨防运输车辆装载过满，并尽量采取遮盖、密闭措施，减少其沿途遗洒，及时清扫散落在路面的泥土和灰尘，冲洗轮胎，定时洒水压尘，减少运输过程中的扬尘。</w:t>
            </w:r>
          </w:p>
          <w:p w14:paraId="5EF59B7F">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（5）风速过大时应停止施工作业，并对堆放的砂石等建筑材料进行遮盖处理。</w:t>
            </w:r>
          </w:p>
          <w:p w14:paraId="4569192F">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综上所述，本项目施工期在采取以上防治措施后，对周边环境影响不大，施工期的大气环境污染为短暂影响，伴随施工期的结束而消失。</w:t>
            </w:r>
          </w:p>
          <w:p w14:paraId="2779CF35">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施工期废水污染防治措施</w:t>
            </w:r>
          </w:p>
          <w:p w14:paraId="7DB24003">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项目施工期污水主要为建筑施工废水和生活污水。建筑施工废水包括地基、道</w:t>
            </w:r>
            <w:bookmarkEnd w:id="13"/>
            <w:r>
              <w:rPr>
                <w:rFonts w:hint="default" w:ascii="Times New Roman" w:hAnsi="Times New Roman" w:eastAsia="宋体" w:cs="Times New Roman"/>
                <w:b w:val="0"/>
                <w:bCs/>
                <w:color w:val="auto"/>
                <w:sz w:val="24"/>
                <w:szCs w:val="24"/>
                <w:highlight w:val="none"/>
                <w:lang w:val="en-US" w:eastAsia="zh-CN"/>
              </w:rPr>
              <w:t>路铺设、厂房建设过程中产生的泥浆水、机械设备运转的冷却水和清洗水；</w:t>
            </w:r>
            <w:r>
              <w:rPr>
                <w:rFonts w:hint="default" w:ascii="Times New Roman" w:hAnsi="Times New Roman" w:cs="Times New Roman"/>
                <w:lang w:val="en-US" w:eastAsia="zh-CN"/>
              </w:rPr>
              <w:t>项目施工不在厂区内</w:t>
            </w:r>
            <w:r>
              <w:rPr>
                <w:rFonts w:hint="eastAsia" w:cs="Times New Roman"/>
                <w:lang w:val="en-US" w:eastAsia="zh-CN"/>
              </w:rPr>
              <w:t>设置</w:t>
            </w:r>
            <w:r>
              <w:rPr>
                <w:rFonts w:hint="default" w:ascii="Times New Roman" w:hAnsi="Times New Roman" w:cs="Times New Roman"/>
                <w:lang w:val="en-US" w:eastAsia="zh-CN"/>
              </w:rPr>
              <w:t>生活设施，施工人员不在厂区内食宿，因此，不考虑施工期生活污水</w:t>
            </w:r>
            <w:r>
              <w:rPr>
                <w:rFonts w:hint="default" w:ascii="Times New Roman" w:hAnsi="Times New Roman" w:eastAsia="宋体" w:cs="Times New Roman"/>
                <w:b w:val="0"/>
                <w:bCs/>
                <w:color w:val="auto"/>
                <w:sz w:val="24"/>
                <w:szCs w:val="24"/>
                <w:highlight w:val="none"/>
                <w:lang w:val="en-US" w:eastAsia="zh-CN"/>
              </w:rPr>
              <w:t>。</w:t>
            </w:r>
          </w:p>
          <w:p w14:paraId="6B815CCF">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施工废水水量不大，但若不经处理或处理不当直接外排，同样危害环境。因此要求建设工程的</w:t>
            </w:r>
            <w:r>
              <w:rPr>
                <w:rFonts w:hint="eastAsia" w:cs="Times New Roman"/>
                <w:b w:val="0"/>
                <w:bCs/>
                <w:color w:val="auto"/>
                <w:sz w:val="24"/>
                <w:szCs w:val="24"/>
                <w:highlight w:val="none"/>
                <w:lang w:val="en-US" w:eastAsia="zh-CN"/>
              </w:rPr>
              <w:t>场地</w:t>
            </w:r>
            <w:r>
              <w:rPr>
                <w:rFonts w:hint="default" w:ascii="Times New Roman" w:hAnsi="Times New Roman" w:eastAsia="宋体" w:cs="Times New Roman"/>
                <w:b w:val="0"/>
                <w:bCs/>
                <w:color w:val="auto"/>
                <w:sz w:val="24"/>
                <w:szCs w:val="24"/>
                <w:highlight w:val="none"/>
                <w:lang w:val="en-US" w:eastAsia="zh-CN"/>
              </w:rPr>
              <w:t>应设置连续、通畅的处理设施（如临时沉淀池、隔油池等）和</w:t>
            </w:r>
            <w:r>
              <w:rPr>
                <w:rFonts w:hint="default" w:ascii="Times New Roman" w:hAnsi="Times New Roman" w:cs="Times New Roman"/>
                <w:b w:val="0"/>
                <w:bCs/>
                <w:color w:val="auto"/>
                <w:sz w:val="24"/>
                <w:szCs w:val="24"/>
                <w:highlight w:val="none"/>
                <w:lang w:val="en-US" w:eastAsia="zh-CN"/>
              </w:rPr>
              <w:t>其他</w:t>
            </w:r>
            <w:r>
              <w:rPr>
                <w:rFonts w:hint="default" w:ascii="Times New Roman" w:hAnsi="Times New Roman" w:eastAsia="宋体" w:cs="Times New Roman"/>
                <w:b w:val="0"/>
                <w:bCs/>
                <w:color w:val="auto"/>
                <w:sz w:val="24"/>
                <w:szCs w:val="24"/>
                <w:highlight w:val="none"/>
                <w:lang w:val="en-US" w:eastAsia="zh-CN"/>
              </w:rPr>
              <w:t>应急设施，防止泥浆、污水、废水外流或者堵塞下水道。严格要求施工人员做到：施工产生的泥浆或</w:t>
            </w:r>
            <w:r>
              <w:rPr>
                <w:rFonts w:hint="default" w:ascii="Times New Roman" w:hAnsi="Times New Roman" w:cs="Times New Roman"/>
                <w:b w:val="0"/>
                <w:bCs/>
                <w:color w:val="auto"/>
                <w:sz w:val="24"/>
                <w:szCs w:val="24"/>
                <w:highlight w:val="none"/>
                <w:lang w:val="en-US" w:eastAsia="zh-CN"/>
              </w:rPr>
              <w:t>其他</w:t>
            </w:r>
            <w:r>
              <w:rPr>
                <w:rFonts w:hint="default" w:ascii="Times New Roman" w:hAnsi="Times New Roman" w:eastAsia="宋体" w:cs="Times New Roman"/>
                <w:b w:val="0"/>
                <w:bCs/>
                <w:color w:val="auto"/>
                <w:sz w:val="24"/>
                <w:szCs w:val="24"/>
                <w:highlight w:val="none"/>
                <w:lang w:val="en-US" w:eastAsia="zh-CN"/>
              </w:rPr>
              <w:t>浑浊废物，未经沉淀不得排放。对此，施工单位应做到：</w:t>
            </w:r>
          </w:p>
          <w:p w14:paraId="12392721">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（1）尽量减少物料损失、散落和溢流现象，减少废水产生量。</w:t>
            </w:r>
          </w:p>
          <w:p w14:paraId="77251201">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（2）注意设备维护，并配备吸油毯、草垫等设施，防止设备滴漏的油污下渗。</w:t>
            </w:r>
          </w:p>
          <w:p w14:paraId="58F6BA68">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区应建有排水明沟，可以利用施工过程中的部分坑、沟作沉淀后排入污水管网，或经沉淀分离后上清液再利用于堆场、料场喷淋防尘、道路冲洗、驶离施工区的车辆轮胎冲洗等，沉淀池的固体废物定期清理，与建筑垃圾一同处置。</w:t>
            </w:r>
          </w:p>
          <w:p w14:paraId="459D1F9A">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（3）施工中外排坑沟内积水时，在不妨碍施工车辆或道路交通的前提下，尽量用软管排到阴井边，避免使施工区或行车道路泥泞路滑，造成污染及人身事故。</w:t>
            </w:r>
          </w:p>
          <w:p w14:paraId="01F1530E">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lang w:val="en-US" w:eastAsia="zh-CN"/>
              </w:rPr>
              <w:t>施工期噪声防治措施</w:t>
            </w:r>
          </w:p>
          <w:p w14:paraId="0CDC3F48">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期噪声主要有施工运输车辆噪声和建筑施工噪声两类。建筑施工通常分为4个阶段，即土方阶段、基础阶段、结构阶段和装修阶段等。每一阶段所采用的施工机械不同，对外界环境造成的噪声污染水平也不同。类比同类工程，在昼间施工时，一般情况下建设施工场界噪声均可达标。但在夜间，打桩阶段的噪声影响较大，建设施工场界噪声</w:t>
            </w:r>
            <w:r>
              <w:rPr>
                <w:rFonts w:hint="default" w:ascii="Times New Roman" w:hAnsi="Times New Roman" w:cs="Times New Roman"/>
                <w:b w:val="0"/>
                <w:bCs/>
                <w:color w:val="auto"/>
                <w:sz w:val="24"/>
                <w:szCs w:val="24"/>
                <w:highlight w:val="none"/>
                <w:lang w:val="en-US" w:eastAsia="zh-CN"/>
              </w:rPr>
              <w:t>难以</w:t>
            </w:r>
            <w:r>
              <w:rPr>
                <w:rFonts w:hint="default" w:ascii="Times New Roman" w:hAnsi="Times New Roman" w:eastAsia="宋体" w:cs="Times New Roman"/>
                <w:b w:val="0"/>
                <w:bCs/>
                <w:color w:val="auto"/>
                <w:sz w:val="24"/>
                <w:szCs w:val="24"/>
                <w:highlight w:val="none"/>
                <w:lang w:val="en-US" w:eastAsia="zh-CN"/>
              </w:rPr>
              <w:t>达标。因此，必须加强施工管理，严禁夜间打桩施工。</w:t>
            </w:r>
          </w:p>
          <w:p w14:paraId="1788186A">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建筑施工由于各阶段使用的机械设备组合情况不同，噪声辐射影响的程度也不尽相同。施工阶段设备多属高噪声机械，噪声特点是持续时间长，强度高，对一些重点噪声设备和声源，提出一些治理措施和建议：</w:t>
            </w:r>
          </w:p>
          <w:p w14:paraId="194BB553">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①合理安排施工时间，未经环保部门批准，禁止夜间24</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00—8</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00施工；</w:t>
            </w:r>
          </w:p>
          <w:p w14:paraId="4184917E">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②合理布局施工场地，选用良好的施工设备，降低设备声级，降低人为的噪声，对各施工环节中噪声较为突出且又难以对声源进行降噪可能的设备装置，应设临时围障，采用吸声材料，以达到降噪效果。</w:t>
            </w:r>
          </w:p>
          <w:p w14:paraId="0C4A3293">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③运输车辆选线要尽量避开人口密集地区，不能避开的敏感地区，应减速、禁止鸣笛；汽车晚间运输尽量用灯光示警，禁止鸣笛，防止噪声扰民；</w:t>
            </w:r>
          </w:p>
          <w:p w14:paraId="410477B7">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④对产生噪声的施工设备加强维护和维修工作。</w:t>
            </w:r>
          </w:p>
          <w:p w14:paraId="7826908E">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在采取以上各项噪声防治措施后，本项目施工对周围环境的影响可以控制在</w:t>
            </w:r>
            <w:r>
              <w:rPr>
                <w:rFonts w:hint="default" w:ascii="Times New Roman" w:hAnsi="Times New Roman" w:cs="Times New Roman"/>
                <w:b w:val="0"/>
                <w:bCs/>
                <w:color w:val="auto"/>
                <w:sz w:val="24"/>
                <w:szCs w:val="24"/>
                <w:highlight w:val="none"/>
                <w:lang w:val="en-US" w:eastAsia="zh-CN"/>
              </w:rPr>
              <w:t>最低</w:t>
            </w:r>
            <w:r>
              <w:rPr>
                <w:rFonts w:hint="default" w:ascii="Times New Roman" w:hAnsi="Times New Roman" w:eastAsia="宋体" w:cs="Times New Roman"/>
                <w:b w:val="0"/>
                <w:bCs/>
                <w:color w:val="auto"/>
                <w:sz w:val="24"/>
                <w:szCs w:val="24"/>
                <w:highlight w:val="none"/>
                <w:lang w:val="en-US" w:eastAsia="zh-CN"/>
              </w:rPr>
              <w:t>程度。</w:t>
            </w:r>
          </w:p>
          <w:p w14:paraId="5A01C57F">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时应设置隔音围护结构，尽量少使用高噪声设备，分段作业，缩短工期等，使对周边环境的施工噪声影响降到最低。施工场地噪声除采取以上减噪措施以外，还应与附近单位、企业建立良好的社会关系，对受施工干扰的单位和企业应在作业前予以通知，并将施工进度及施工中对降低噪声采取的措施进行公告，求得公众的理解。此外，施工期间应设热线投诉电话，接受噪声扰民的投诉，并对投诉情况进行积极处理</w:t>
            </w:r>
            <w:r>
              <w:rPr>
                <w:rFonts w:hint="default" w:ascii="Times New Roman" w:hAnsi="Times New Roman" w:cs="Times New Roman"/>
                <w:lang w:eastAsia="zh-CN"/>
              </w:rPr>
              <w:t>。</w:t>
            </w:r>
          </w:p>
          <w:p w14:paraId="4352B2D1">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施工期固废污染防治措施</w:t>
            </w:r>
          </w:p>
          <w:p w14:paraId="21413F00">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施工期间产生的固体废物主要为建筑垃圾、焊接残渣和生活垃圾。</w:t>
            </w:r>
          </w:p>
          <w:p w14:paraId="16FB3EE6">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建筑垃圾包括挖掘的土石方、废弃建材（如砂石、石灰、混凝土、木材、废砖等）、设备安装过程中产生的废包装材料以及管道铺设产生的弃土等。</w:t>
            </w:r>
          </w:p>
          <w:p w14:paraId="54EAFD48">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为防止施工期产生的固体废物对环境产生不利影响，本工程应采取如下控制措施：</w:t>
            </w:r>
          </w:p>
          <w:p w14:paraId="20ED8C8C">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（1）在工程开工前，向市有关渣土管理部门申报工程弃土和建筑垃圾排放</w:t>
            </w:r>
            <w:r>
              <w:rPr>
                <w:rFonts w:hint="default" w:ascii="Times New Roman" w:hAnsi="Times New Roman" w:cs="Times New Roman"/>
                <w:b w:val="0"/>
                <w:bCs/>
                <w:color w:val="auto"/>
                <w:sz w:val="24"/>
                <w:szCs w:val="24"/>
                <w:highlight w:val="none"/>
                <w:lang w:val="en-US" w:eastAsia="zh-CN"/>
              </w:rPr>
              <w:t>处置</w:t>
            </w:r>
            <w:r>
              <w:rPr>
                <w:rFonts w:hint="default" w:ascii="Times New Roman" w:hAnsi="Times New Roman" w:eastAsia="宋体" w:cs="Times New Roman"/>
                <w:b w:val="0"/>
                <w:bCs/>
                <w:color w:val="auto"/>
                <w:sz w:val="24"/>
                <w:szCs w:val="24"/>
                <w:highlight w:val="none"/>
                <w:lang w:val="en-US" w:eastAsia="zh-CN"/>
              </w:rPr>
              <w:t>计划。</w:t>
            </w:r>
          </w:p>
          <w:p w14:paraId="183433DE">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（2）工地废钢筋、金属及废木料等应回收加工再利用。</w:t>
            </w:r>
          </w:p>
          <w:p w14:paraId="0515B730">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（3）施工场地内须设临时生活垃圾收集站，收集的生活垃圾与厂区内生活垃圾一并送指定垃圾处置场所消纳处理。施工人员生活垃圾收集后由厂区后勤或环卫部门收集、清运。</w:t>
            </w:r>
          </w:p>
          <w:p w14:paraId="6796E8E8">
            <w:pPr>
              <w:pStyle w:val="51"/>
              <w:ind w:firstLine="480"/>
              <w:rPr>
                <w:rFonts w:hint="default" w:ascii="Times New Roman" w:hAnsi="Times New Roman" w:cs="Times New Roman"/>
                <w:color w:val="auto"/>
                <w:highlight w:val="none"/>
                <w:lang w:val="en-US" w:eastAsia="zh-CN"/>
              </w:rPr>
            </w:pPr>
            <w:r>
              <w:rPr>
                <w:rFonts w:hint="default" w:ascii="Times New Roman" w:hAnsi="Times New Roman"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防沙治沙</w:t>
            </w:r>
            <w:r>
              <w:rPr>
                <w:rFonts w:hint="default" w:ascii="Times New Roman" w:hAnsi="Times New Roman" w:cs="Times New Roman"/>
                <w:b w:val="0"/>
                <w:bCs/>
                <w:color w:val="auto"/>
                <w:sz w:val="24"/>
                <w:szCs w:val="24"/>
                <w:highlight w:val="none"/>
                <w:lang w:val="en-US" w:eastAsia="zh-CN"/>
              </w:rPr>
              <w:t>因素</w:t>
            </w:r>
          </w:p>
          <w:p w14:paraId="78771CC6">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①建设项目区土地沙化基本情况</w:t>
            </w:r>
          </w:p>
          <w:p w14:paraId="4451A457">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根据《第</w:t>
            </w:r>
            <w:r>
              <w:rPr>
                <w:rFonts w:hint="default" w:ascii="Times New Roman" w:hAnsi="Times New Roman" w:cs="Times New Roman"/>
                <w:b w:val="0"/>
                <w:bCs/>
                <w:color w:val="auto"/>
                <w:sz w:val="24"/>
                <w:szCs w:val="24"/>
                <w:highlight w:val="none"/>
                <w:lang w:val="en-US" w:eastAsia="zh-CN"/>
              </w:rPr>
              <w:t>六</w:t>
            </w:r>
            <w:r>
              <w:rPr>
                <w:rFonts w:hint="default" w:ascii="Times New Roman" w:hAnsi="Times New Roman" w:eastAsia="宋体" w:cs="Times New Roman"/>
                <w:b w:val="0"/>
                <w:bCs/>
                <w:color w:val="auto"/>
                <w:sz w:val="24"/>
                <w:szCs w:val="24"/>
                <w:highlight w:val="none"/>
                <w:lang w:val="en-US" w:eastAsia="zh-CN"/>
              </w:rPr>
              <w:t>次中国荒漠化和沙化状况公告（20</w:t>
            </w:r>
            <w:r>
              <w:rPr>
                <w:rFonts w:hint="default" w:ascii="Times New Roman" w:hAnsi="Times New Roman" w:cs="Times New Roman"/>
                <w:b w:val="0"/>
                <w:bCs/>
                <w:color w:val="auto"/>
                <w:sz w:val="24"/>
                <w:szCs w:val="24"/>
                <w:highlight w:val="none"/>
                <w:lang w:val="en-US" w:eastAsia="zh-CN"/>
              </w:rPr>
              <w:t>22</w:t>
            </w:r>
            <w:r>
              <w:rPr>
                <w:rFonts w:hint="default" w:ascii="Times New Roman" w:hAnsi="Times New Roman" w:eastAsia="宋体" w:cs="Times New Roman"/>
                <w:b w:val="0"/>
                <w:bCs/>
                <w:color w:val="auto"/>
                <w:sz w:val="24"/>
                <w:szCs w:val="24"/>
                <w:highlight w:val="none"/>
                <w:lang w:val="en-US" w:eastAsia="zh-CN"/>
              </w:rPr>
              <w:t>）》，新疆是我国沙化土地面积最大，分布最广，风沙危害最严重的省区，本项目区位于</w:t>
            </w:r>
            <w:r>
              <w:rPr>
                <w:rFonts w:hint="default" w:ascii="Times New Roman" w:hAnsi="Times New Roman" w:cs="Times New Roman"/>
                <w:b w:val="0"/>
                <w:bCs/>
                <w:color w:val="auto"/>
                <w:sz w:val="24"/>
                <w:szCs w:val="24"/>
                <w:highlight w:val="none"/>
                <w:lang w:val="en-US" w:eastAsia="zh-CN"/>
              </w:rPr>
              <w:t>库尔勒市上库工业园</w:t>
            </w:r>
            <w:r>
              <w:rPr>
                <w:rFonts w:hint="default" w:ascii="Times New Roman" w:hAnsi="Times New Roman" w:eastAsia="宋体" w:cs="Times New Roman"/>
                <w:b w:val="0"/>
                <w:bCs/>
                <w:color w:val="auto"/>
                <w:sz w:val="24"/>
                <w:szCs w:val="24"/>
                <w:highlight w:val="none"/>
                <w:lang w:val="en-US" w:eastAsia="zh-CN"/>
              </w:rPr>
              <w:t>，目前项目区内植被覆盖</w:t>
            </w:r>
            <w:r>
              <w:rPr>
                <w:rFonts w:hint="default" w:ascii="Times New Roman" w:hAnsi="Times New Roman" w:cs="Times New Roman"/>
                <w:b w:val="0"/>
                <w:bCs/>
                <w:color w:val="auto"/>
                <w:sz w:val="24"/>
                <w:szCs w:val="24"/>
                <w:highlight w:val="none"/>
                <w:lang w:val="en-US" w:eastAsia="zh-CN"/>
              </w:rPr>
              <w:t>度低</w:t>
            </w:r>
            <w:r>
              <w:rPr>
                <w:rFonts w:hint="default" w:ascii="Times New Roman" w:hAnsi="Times New Roman" w:eastAsia="宋体" w:cs="Times New Roman"/>
                <w:b w:val="0"/>
                <w:bCs/>
                <w:color w:val="auto"/>
                <w:sz w:val="24"/>
                <w:szCs w:val="24"/>
                <w:highlight w:val="none"/>
                <w:lang w:val="en-US" w:eastAsia="zh-CN"/>
              </w:rPr>
              <w:t>。</w:t>
            </w:r>
          </w:p>
          <w:p w14:paraId="1974BFAC">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②项目建设对沙化土地环境影响分析</w:t>
            </w:r>
          </w:p>
          <w:p w14:paraId="6B860F0B">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本次施工活动主要表现和施工期间将不可避免</w:t>
            </w:r>
            <w:r>
              <w:rPr>
                <w:rFonts w:hint="default" w:ascii="Times New Roman" w:hAnsi="Times New Roman" w:cs="Times New Roman"/>
                <w:b w:val="0"/>
                <w:bCs/>
                <w:color w:val="auto"/>
                <w:sz w:val="24"/>
                <w:szCs w:val="24"/>
                <w:highlight w:val="none"/>
                <w:lang w:val="en-US" w:eastAsia="zh-CN"/>
              </w:rPr>
              <w:t>地</w:t>
            </w:r>
            <w:r>
              <w:rPr>
                <w:rFonts w:hint="default" w:ascii="Times New Roman" w:hAnsi="Times New Roman" w:eastAsia="宋体" w:cs="Times New Roman"/>
                <w:b w:val="0"/>
                <w:bCs/>
                <w:color w:val="auto"/>
                <w:sz w:val="24"/>
                <w:szCs w:val="24"/>
                <w:highlight w:val="none"/>
                <w:lang w:val="en-US" w:eastAsia="zh-CN"/>
              </w:rPr>
              <w:t>对原生微地貌、地表植被产生碾压、破坏。导致植物干枯死亡，丧失了固定地表土壤的能力，受风蚀和水蚀的影响，土壤将流失，肥力降低。</w:t>
            </w:r>
          </w:p>
          <w:p w14:paraId="4BE5EA3C">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施工活动（主要表现为场地平整堆垫，基础开挖等）和施工期间临时占地（包括施工的辅道、作业场地、废土、废料在临时堆放场所）将不可避免</w:t>
            </w:r>
            <w:r>
              <w:rPr>
                <w:rFonts w:hint="default" w:ascii="Times New Roman" w:hAnsi="Times New Roman" w:cs="Times New Roman"/>
                <w:b w:val="0"/>
                <w:bCs/>
                <w:color w:val="auto"/>
                <w:sz w:val="24"/>
                <w:szCs w:val="24"/>
                <w:highlight w:val="none"/>
                <w:lang w:val="en-US" w:eastAsia="zh-CN"/>
              </w:rPr>
              <w:t>地</w:t>
            </w:r>
            <w:r>
              <w:rPr>
                <w:rFonts w:hint="default" w:ascii="Times New Roman" w:hAnsi="Times New Roman" w:eastAsia="宋体" w:cs="Times New Roman"/>
                <w:b w:val="0"/>
                <w:bCs/>
                <w:color w:val="auto"/>
                <w:sz w:val="24"/>
                <w:szCs w:val="24"/>
                <w:highlight w:val="none"/>
                <w:lang w:val="en-US" w:eastAsia="zh-CN"/>
              </w:rPr>
              <w:t>对原生微地貌、地表植被产生碾压、破坏。导致植物干枯死亡，丧失了固定地表土壤的能力，受风蚀和水蚀的影响，土壤将流失，肥力降低。</w:t>
            </w:r>
          </w:p>
          <w:p w14:paraId="5780617B">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③防沙治沙措施</w:t>
            </w:r>
          </w:p>
          <w:p w14:paraId="13244B8F">
            <w:pPr>
              <w:ind w:firstLine="480" w:firstLineChars="200"/>
              <w:jc w:val="left"/>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lang w:val="en-US" w:eastAsia="zh-CN"/>
              </w:rPr>
              <w:t>本项目施工过程中建（构）筑物不涉及开挖，如有基础开挖，及时用于厂区土地平整，防止碾压；</w:t>
            </w:r>
          </w:p>
          <w:p w14:paraId="6DDB2B21">
            <w:pPr>
              <w:ind w:firstLine="480" w:firstLineChars="200"/>
              <w:jc w:val="left"/>
              <w:rPr>
                <w:rFonts w:hint="default" w:ascii="Times New Roman" w:hAnsi="Times New Roman" w:cs="Times New Roman"/>
                <w:spacing w:val="-1"/>
                <w:lang w:eastAsia="zh-CN"/>
              </w:rPr>
            </w:pPr>
            <w:r>
              <w:rPr>
                <w:rFonts w:hint="default" w:ascii="Times New Roman" w:hAnsi="Times New Roman" w:eastAsia="宋体" w:cs="Times New Roman"/>
                <w:b w:val="0"/>
                <w:bCs/>
                <w:color w:val="auto"/>
                <w:sz w:val="24"/>
                <w:szCs w:val="24"/>
                <w:highlight w:val="yellow"/>
                <w:lang w:val="en-US" w:eastAsia="zh-CN"/>
              </w:rPr>
              <w:t>地面开挖后尽可能降低地面坡度，除去易于侵蚀的土垄背；</w:t>
            </w:r>
            <w:r>
              <w:rPr>
                <w:rFonts w:hint="default" w:ascii="Times New Roman" w:hAnsi="Times New Roman" w:eastAsia="宋体" w:cs="Times New Roman"/>
                <w:b w:val="0"/>
                <w:bCs/>
                <w:color w:val="auto"/>
                <w:sz w:val="24"/>
                <w:szCs w:val="24"/>
                <w:highlight w:val="none"/>
                <w:lang w:val="en-US" w:eastAsia="zh-CN"/>
              </w:rPr>
              <w:t>合理布置施工时间，避开</w:t>
            </w:r>
            <w:r>
              <w:rPr>
                <w:rFonts w:hint="default" w:ascii="Times New Roman" w:hAnsi="Times New Roman" w:cs="Times New Roman"/>
                <w:b w:val="0"/>
                <w:bCs/>
                <w:color w:val="auto"/>
                <w:sz w:val="24"/>
                <w:szCs w:val="24"/>
                <w:highlight w:val="none"/>
                <w:lang w:val="en-US" w:eastAsia="zh-CN"/>
              </w:rPr>
              <w:t>沙尘</w:t>
            </w:r>
            <w:r>
              <w:rPr>
                <w:rFonts w:hint="default" w:ascii="Times New Roman" w:hAnsi="Times New Roman" w:eastAsia="宋体" w:cs="Times New Roman"/>
                <w:b w:val="0"/>
                <w:bCs/>
                <w:color w:val="auto"/>
                <w:sz w:val="24"/>
                <w:szCs w:val="24"/>
                <w:highlight w:val="none"/>
                <w:lang w:val="en-US" w:eastAsia="zh-CN"/>
              </w:rPr>
              <w:t>及大风天气进行施工。</w:t>
            </w:r>
          </w:p>
        </w:tc>
      </w:tr>
      <w:tr w14:paraId="7A1CB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5" w:hRule="atLeast"/>
        </w:trPr>
        <w:tc>
          <w:tcPr>
            <w:tcW w:w="449" w:type="dxa"/>
            <w:tcMar>
              <w:left w:w="28" w:type="dxa"/>
              <w:right w:w="28" w:type="dxa"/>
            </w:tcMar>
            <w:vAlign w:val="center"/>
          </w:tcPr>
          <w:p w14:paraId="55FE3930">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4CB88CA9">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0AF5698A">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3589A4D8">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59283393">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00C1D0DA">
            <w:pPr>
              <w:adjustRightInd w:val="0"/>
              <w:snapToGrid w:val="0"/>
              <w:ind w:firstLine="0" w:firstLineChars="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532" w:type="dxa"/>
            <w:vAlign w:val="center"/>
          </w:tcPr>
          <w:p w14:paraId="673116C5">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废气</w:t>
            </w:r>
            <w:r>
              <w:rPr>
                <w:rFonts w:hint="default" w:ascii="Times New Roman" w:hAnsi="Times New Roman" w:cs="Times New Roman"/>
                <w:b/>
                <w:bCs/>
                <w:spacing w:val="-7"/>
              </w:rPr>
              <w:t>污染源分析</w:t>
            </w:r>
          </w:p>
          <w:p w14:paraId="1D64A7FC">
            <w:pPr>
              <w:ind w:firstLine="484" w:firstLineChars="200"/>
              <w:jc w:val="left"/>
              <w:rPr>
                <w:rFonts w:hint="default" w:ascii="Times New Roman" w:hAnsi="Times New Roman" w:cs="Times New Roman"/>
                <w:lang w:val="en-US"/>
              </w:rPr>
            </w:pPr>
            <w:r>
              <w:rPr>
                <w:rFonts w:hint="default" w:ascii="Times New Roman" w:hAnsi="Times New Roman" w:cs="Times New Roman"/>
                <w:spacing w:val="1"/>
              </w:rPr>
              <w:t>本项目生产废气主要为</w:t>
            </w:r>
            <w:r>
              <w:rPr>
                <w:rFonts w:hint="default" w:ascii="Times New Roman" w:hAnsi="Times New Roman" w:cs="Times New Roman"/>
                <w:spacing w:val="1"/>
                <w:lang w:val="en-US" w:eastAsia="zh-CN"/>
              </w:rPr>
              <w:t>投料、过滤、包装工艺所产生的颗粒物及过滤工艺产生的少量氨气</w:t>
            </w:r>
            <w:r>
              <w:rPr>
                <w:rFonts w:hint="default" w:ascii="Times New Roman" w:hAnsi="Times New Roman" w:cs="Times New Roman"/>
                <w:highlight w:val="none"/>
                <w:lang w:val="en-US" w:eastAsia="zh-CN"/>
              </w:rPr>
              <w:t>。</w:t>
            </w:r>
          </w:p>
          <w:p w14:paraId="203AB8BE">
            <w:pPr>
              <w:ind w:firstLine="482" w:firstLineChars="200"/>
              <w:jc w:val="left"/>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2.1有组织废气</w:t>
            </w:r>
          </w:p>
          <w:p w14:paraId="50A6E728">
            <w:pPr>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本项目根据生产车间及排污环节，对生产废气进行收集处理。</w:t>
            </w:r>
          </w:p>
          <w:p w14:paraId="235DCCE7">
            <w:pPr>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本项目在</w:t>
            </w:r>
            <w:r>
              <w:rPr>
                <w:rFonts w:hint="eastAsia"/>
                <w:lang w:val="en-US" w:eastAsia="zh-CN"/>
              </w:rPr>
              <w:t>拆解、</w:t>
            </w:r>
            <w:r>
              <w:rPr>
                <w:rFonts w:hint="eastAsia" w:cs="Times New Roman"/>
                <w:lang w:val="en-US" w:eastAsia="zh-CN"/>
              </w:rPr>
              <w:t>破碎、干燥</w:t>
            </w:r>
            <w:r>
              <w:rPr>
                <w:rFonts w:hint="default" w:ascii="Times New Roman" w:hAnsi="Times New Roman" w:eastAsia="宋体" w:cs="Times New Roman"/>
                <w:lang w:val="en-US" w:eastAsia="zh-CN"/>
              </w:rPr>
              <w:t>工艺分别设置集气罩，废气经集气罩（收集效率90%）收集后，由脉冲式布袋除尘器（处理效率9</w:t>
            </w:r>
            <w:r>
              <w:rPr>
                <w:rFonts w:hint="default" w:ascii="Times New Roman" w:hAnsi="Times New Roman" w:cs="Times New Roman"/>
                <w:lang w:val="en-US" w:eastAsia="zh-CN"/>
              </w:rPr>
              <w:t>9</w:t>
            </w:r>
            <w:r>
              <w:rPr>
                <w:rFonts w:hint="default" w:ascii="Times New Roman" w:hAnsi="Times New Roman" w:eastAsia="宋体" w:cs="Times New Roman"/>
                <w:lang w:val="en-US" w:eastAsia="zh-CN"/>
              </w:rPr>
              <w:t>%）处理后，经15m高排气筒（DA001）排放。在滑石粉</w:t>
            </w:r>
            <w:r>
              <w:rPr>
                <w:rFonts w:hint="default" w:ascii="Times New Roman" w:hAnsi="Times New Roman" w:cs="Times New Roman"/>
                <w:lang w:val="en-US" w:eastAsia="zh-CN"/>
              </w:rPr>
              <w:t>干燥</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包装</w:t>
            </w:r>
            <w:r>
              <w:rPr>
                <w:rFonts w:hint="default" w:ascii="Times New Roman" w:hAnsi="Times New Roman" w:eastAsia="宋体" w:cs="Times New Roman"/>
                <w:lang w:val="en-US" w:eastAsia="zh-CN"/>
              </w:rPr>
              <w:t>分别设置集气罩，废气经集气罩（收集效率9</w:t>
            </w:r>
            <w:r>
              <w:rPr>
                <w:rFonts w:hint="default" w:ascii="Times New Roman" w:hAnsi="Times New Roman" w:cs="Times New Roman"/>
                <w:lang w:val="en-US" w:eastAsia="zh-CN"/>
              </w:rPr>
              <w:t>0</w:t>
            </w:r>
            <w:r>
              <w:rPr>
                <w:rFonts w:hint="default" w:ascii="Times New Roman" w:hAnsi="Times New Roman" w:eastAsia="宋体" w:cs="Times New Roman"/>
                <w:lang w:val="en-US" w:eastAsia="zh-CN"/>
              </w:rPr>
              <w:t>%）收集后，由脉冲式布袋除尘器（处理效率99%）处理后，经15m高排气筒（DA002）排放。本项目一年产生7200h，每个除尘设施风量为5000</w:t>
            </w:r>
            <w:r>
              <w:rPr>
                <w:rFonts w:hint="default" w:ascii="Times New Roman" w:hAnsi="Times New Roman" w:eastAsia="Segoe UI" w:cs="Times New Roman"/>
                <w:i w:val="0"/>
                <w:iCs w:val="0"/>
                <w:caps w:val="0"/>
                <w:spacing w:val="0"/>
                <w:sz w:val="24"/>
                <w:szCs w:val="24"/>
                <w:shd w:val="clear" w:fill="FFFFFF"/>
              </w:rPr>
              <w:t>m³/h</w:t>
            </w:r>
            <w:r>
              <w:rPr>
                <w:rFonts w:hint="default" w:ascii="Times New Roman" w:hAnsi="Times New Roman" w:eastAsia="宋体" w:cs="Times New Roman"/>
                <w:i w:val="0"/>
                <w:iCs w:val="0"/>
                <w:caps w:val="0"/>
                <w:spacing w:val="0"/>
                <w:sz w:val="24"/>
                <w:szCs w:val="24"/>
                <w:shd w:val="clear" w:fill="FFFFFF"/>
                <w:lang w:eastAsia="zh-CN"/>
              </w:rPr>
              <w:t>。</w:t>
            </w:r>
          </w:p>
          <w:p w14:paraId="31486880">
            <w:pPr>
              <w:pStyle w:val="51"/>
              <w:ind w:firstLine="48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lang w:val="en-US" w:eastAsia="zh-CN"/>
              </w:rPr>
              <w:t>①</w:t>
            </w:r>
            <w:r>
              <w:rPr>
                <w:rFonts w:hint="default" w:ascii="Times New Roman" w:hAnsi="Times New Roman" w:cs="Times New Roman"/>
                <w:lang w:val="en-US" w:eastAsia="zh-CN"/>
              </w:rPr>
              <w:t>拆解</w:t>
            </w:r>
            <w:r>
              <w:rPr>
                <w:rFonts w:hint="default" w:ascii="Times New Roman" w:hAnsi="Times New Roman" w:cs="Times New Roman"/>
                <w:b w:val="0"/>
                <w:bCs/>
                <w:color w:val="auto"/>
                <w:kern w:val="2"/>
                <w:sz w:val="24"/>
                <w:szCs w:val="24"/>
                <w:highlight w:val="none"/>
                <w:lang w:val="en-US" w:eastAsia="zh-CN" w:bidi="ar-SA"/>
              </w:rPr>
              <w:t>颗粒物</w:t>
            </w:r>
          </w:p>
          <w:p w14:paraId="7BEF2C3D">
            <w:pPr>
              <w:pStyle w:val="8"/>
              <w:rPr>
                <w:rFonts w:hint="default" w:ascii="Times New Roman" w:hAnsi="Times New Roman" w:eastAsia="宋体" w:cs="Times New Roman"/>
                <w:spacing w:val="-2"/>
                <w:highlight w:val="none"/>
                <w:lang w:val="en-US" w:eastAsia="zh-CN"/>
              </w:rPr>
            </w:pPr>
            <w:r>
              <w:rPr>
                <w:rFonts w:hint="default" w:ascii="Times New Roman" w:hAnsi="Times New Roman" w:cs="Times New Roman"/>
                <w:kern w:val="2"/>
                <w:highlight w:val="none"/>
                <w:lang w:val="en-US" w:eastAsia="zh-CN"/>
              </w:rPr>
              <w:t>本项目为新型行业，参考《排放源统计调查产排污核算方法和系数手册》无与本项目相似行业。本项目拆解报废灭火器后，ABC粉直接送入管道输送到溶解罐，过程会产生粉尘，</w:t>
            </w:r>
            <w:r>
              <w:rPr>
                <w:rFonts w:hint="default" w:ascii="Times New Roman" w:hAnsi="Times New Roman" w:cs="Times New Roman"/>
                <w:kern w:val="2"/>
                <w:highlight w:val="none"/>
              </w:rPr>
              <w:t>参考《逸散性工业粉尘控制技术》</w:t>
            </w:r>
            <w:r>
              <w:rPr>
                <w:rFonts w:hint="default" w:ascii="Times New Roman" w:hAnsi="Times New Roman" w:cs="Times New Roman"/>
                <w:kern w:val="2"/>
                <w:highlight w:val="none"/>
                <w:lang w:val="en-US" w:eastAsia="zh-CN"/>
              </w:rPr>
              <w:t>中石灰石输送和转运排放因子为0.4</w:t>
            </w:r>
            <w:r>
              <w:rPr>
                <w:rFonts w:hint="default" w:ascii="Times New Roman" w:hAnsi="Times New Roman" w:cs="Times New Roman"/>
                <w:kern w:val="2"/>
                <w:highlight w:val="none"/>
              </w:rPr>
              <w:t>kg/t</w:t>
            </w:r>
            <w:r>
              <w:rPr>
                <w:rFonts w:hint="default" w:ascii="Times New Roman" w:hAnsi="Times New Roman" w:cs="Times New Roman"/>
                <w:kern w:val="2"/>
                <w:highlight w:val="none"/>
                <w:lang w:eastAsia="zh-CN"/>
              </w:rPr>
              <w:t>（</w:t>
            </w:r>
            <w:r>
              <w:rPr>
                <w:rFonts w:hint="default" w:ascii="Times New Roman" w:hAnsi="Times New Roman" w:cs="Times New Roman"/>
                <w:kern w:val="2"/>
                <w:highlight w:val="none"/>
                <w:lang w:val="en-US" w:eastAsia="zh-CN"/>
              </w:rPr>
              <w:t>原料</w:t>
            </w:r>
            <w:r>
              <w:rPr>
                <w:rFonts w:hint="default" w:ascii="Times New Roman" w:hAnsi="Times New Roman" w:cs="Times New Roman"/>
                <w:kern w:val="2"/>
                <w:highlight w:val="none"/>
                <w:lang w:eastAsia="zh-CN"/>
              </w:rPr>
              <w:t>），</w:t>
            </w:r>
            <w:r>
              <w:rPr>
                <w:rFonts w:hint="default" w:ascii="Times New Roman" w:hAnsi="Times New Roman" w:cs="Times New Roman"/>
                <w:kern w:val="2"/>
                <w:highlight w:val="none"/>
                <w:lang w:val="en-US" w:eastAsia="zh-CN"/>
              </w:rPr>
              <w:t>石灰石粉与报废灭火器ABC粉密度相似，具有参考性</w:t>
            </w:r>
            <w:r>
              <w:rPr>
                <w:rFonts w:hint="default" w:ascii="Times New Roman" w:hAnsi="Times New Roman" w:cs="Times New Roman"/>
                <w:spacing w:val="1"/>
                <w:highlight w:val="none"/>
                <w:lang w:val="en-US" w:eastAsia="zh-CN"/>
              </w:rPr>
              <w:t>，则产生颗粒物16t/a；</w:t>
            </w:r>
            <w:r>
              <w:rPr>
                <w:rFonts w:hint="default" w:ascii="Times New Roman" w:hAnsi="Times New Roman" w:cs="Times New Roman"/>
                <w:spacing w:val="-2"/>
                <w:highlight w:val="none"/>
                <w:lang w:val="en-US" w:eastAsia="zh-CN"/>
              </w:rPr>
              <w:t>有组织颗粒物产生量为14.4</w:t>
            </w:r>
            <w:r>
              <w:rPr>
                <w:rFonts w:hint="default" w:ascii="Times New Roman" w:hAnsi="Times New Roman" w:cs="Times New Roman"/>
                <w:spacing w:val="-2"/>
                <w:highlight w:val="none"/>
              </w:rPr>
              <w:t>t/a</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产生速率为1.82</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highlight w:val="none"/>
                <w:lang w:val="en-US" w:eastAsia="zh-CN"/>
              </w:rPr>
              <w:t>，</w:t>
            </w:r>
            <w:r>
              <w:rPr>
                <w:rFonts w:hint="default" w:ascii="Times New Roman" w:hAnsi="Times New Roman" w:cs="Times New Roman"/>
                <w:spacing w:val="-2"/>
                <w:highlight w:val="none"/>
                <w:lang w:val="en-US" w:eastAsia="zh-CN"/>
              </w:rPr>
              <w:t>产生浓度227.5</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w:t>
            </w:r>
            <w:r>
              <w:rPr>
                <w:rFonts w:hint="default" w:ascii="Times New Roman" w:hAnsi="Times New Roman" w:eastAsia="Times New Roman" w:cs="Times New Roman"/>
                <w:spacing w:val="1"/>
              </w:rPr>
              <w:t>m</w:t>
            </w:r>
            <w:r>
              <w:rPr>
                <w:rFonts w:hint="default" w:ascii="Times New Roman" w:hAnsi="Times New Roman" w:eastAsia="宋体" w:cs="Times New Roman"/>
                <w:spacing w:val="1"/>
                <w:vertAlign w:val="superscript"/>
                <w:lang w:val="en-US" w:eastAsia="zh-CN"/>
              </w:rPr>
              <w:t>3</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有组织排放量为0.144t/a，排放速率0.018</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spacing w:val="-2"/>
                <w:highlight w:val="none"/>
                <w:lang w:val="en-US" w:eastAsia="zh-CN"/>
              </w:rPr>
              <w:t>，排放浓度2.25</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g/m</w:t>
            </w:r>
            <w:r>
              <w:rPr>
                <w:rFonts w:hint="default" w:ascii="Times New Roman" w:hAnsi="Times New Roman" w:cs="Times New Roman"/>
                <w:spacing w:val="-2"/>
                <w:highlight w:val="none"/>
                <w:vertAlign w:val="superscript"/>
                <w:lang w:val="en-US" w:eastAsia="zh-CN"/>
              </w:rPr>
              <w:t>3</w:t>
            </w:r>
            <w:r>
              <w:rPr>
                <w:rFonts w:hint="default" w:ascii="Times New Roman" w:hAnsi="Times New Roman" w:cs="Times New Roman"/>
                <w:spacing w:val="-2"/>
                <w:highlight w:val="none"/>
                <w:lang w:val="en-US" w:eastAsia="zh-CN"/>
              </w:rPr>
              <w:t>，无组织颗粒物排放量为1.6</w:t>
            </w:r>
            <w:r>
              <w:rPr>
                <w:rFonts w:hint="default" w:ascii="Times New Roman" w:hAnsi="Times New Roman" w:cs="Times New Roman"/>
                <w:spacing w:val="1"/>
                <w:highlight w:val="none"/>
                <w:lang w:val="en-US" w:eastAsia="zh-CN"/>
              </w:rPr>
              <w:t>t/a，排放速率为</w:t>
            </w:r>
            <w:r>
              <w:rPr>
                <w:rFonts w:hint="default" w:ascii="Times New Roman" w:hAnsi="Times New Roman" w:cs="Times New Roman"/>
                <w:spacing w:val="-2"/>
                <w:highlight w:val="none"/>
                <w:lang w:val="en-US" w:eastAsia="zh-CN"/>
              </w:rPr>
              <w:t>0.20</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lang w:eastAsia="zh-CN"/>
              </w:rPr>
              <w:t>。</w:t>
            </w:r>
          </w:p>
          <w:p w14:paraId="5BBCBB59">
            <w:pPr>
              <w:pStyle w:val="51"/>
              <w:ind w:firstLine="48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lang w:val="en-US" w:eastAsia="zh-CN"/>
              </w:rPr>
              <w:t>②灭火器瓶</w:t>
            </w:r>
            <w:r>
              <w:rPr>
                <w:rFonts w:hint="eastAsia" w:cs="Times New Roman"/>
                <w:lang w:val="en-US" w:eastAsia="zh-CN"/>
              </w:rPr>
              <w:t>内残余</w:t>
            </w:r>
            <w:r>
              <w:rPr>
                <w:rFonts w:hint="default" w:ascii="Times New Roman" w:hAnsi="Times New Roman" w:cs="Times New Roman"/>
                <w:lang w:val="en-US" w:eastAsia="zh-CN"/>
              </w:rPr>
              <w:t>粉尘</w:t>
            </w:r>
          </w:p>
          <w:p w14:paraId="0F2F7CEF">
            <w:pPr>
              <w:pStyle w:val="51"/>
              <w:ind w:firstLine="480"/>
              <w:rPr>
                <w:rFonts w:hint="default" w:ascii="Times New Roman" w:hAnsi="Times New Roman" w:cs="Times New Roman"/>
                <w:lang w:val="en-US" w:eastAsia="zh-CN"/>
              </w:rPr>
            </w:pPr>
            <w:r>
              <w:rPr>
                <w:rFonts w:hint="default" w:ascii="Times New Roman" w:hAnsi="Times New Roman" w:cs="Times New Roman"/>
                <w:lang w:val="en-US" w:eastAsia="zh-CN"/>
              </w:rPr>
              <w:t>根据物料平衡法灭火器拆解后瓶内残留灭火剂为充装量×残留率×报废总瓶数，本项目平均每瓶充装量为10kg，残留率为0.05%，充装瓶数为400万个，即</w:t>
            </w:r>
            <w:r>
              <w:rPr>
                <w:rFonts w:hint="eastAsia" w:cs="Times New Roman"/>
                <w:lang w:val="en-US" w:eastAsia="zh-CN"/>
              </w:rPr>
              <w:t>瓶内残余干粉量</w:t>
            </w:r>
            <w:r>
              <w:rPr>
                <w:rFonts w:hint="default" w:ascii="Times New Roman" w:hAnsi="Times New Roman" w:cs="Times New Roman"/>
                <w:lang w:val="en-US" w:eastAsia="zh-CN"/>
              </w:rPr>
              <w:t>为20t/a</w:t>
            </w:r>
            <w:r>
              <w:rPr>
                <w:rFonts w:hint="default" w:ascii="Times New Roman" w:hAnsi="Times New Roman" w:cs="Times New Roman"/>
                <w:spacing w:val="-2"/>
                <w:highlight w:val="none"/>
                <w:lang w:val="en-US" w:eastAsia="zh-CN"/>
              </w:rPr>
              <w:t>，有组织颗粒物产生量为18</w:t>
            </w:r>
            <w:r>
              <w:rPr>
                <w:rFonts w:hint="default" w:ascii="Times New Roman" w:hAnsi="Times New Roman" w:cs="Times New Roman"/>
                <w:spacing w:val="-2"/>
                <w:highlight w:val="none"/>
              </w:rPr>
              <w:t>t/a</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产生速率为2.5</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highlight w:val="none"/>
                <w:lang w:val="en-US" w:eastAsia="zh-CN"/>
              </w:rPr>
              <w:t>，</w:t>
            </w:r>
            <w:r>
              <w:rPr>
                <w:rFonts w:hint="default" w:ascii="Times New Roman" w:hAnsi="Times New Roman" w:cs="Times New Roman"/>
                <w:spacing w:val="-2"/>
                <w:highlight w:val="none"/>
                <w:lang w:val="en-US" w:eastAsia="zh-CN"/>
              </w:rPr>
              <w:t>产生浓度500</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w:t>
            </w:r>
            <w:r>
              <w:rPr>
                <w:rFonts w:hint="default" w:ascii="Times New Roman" w:hAnsi="Times New Roman" w:eastAsia="Times New Roman" w:cs="Times New Roman"/>
                <w:spacing w:val="1"/>
              </w:rPr>
              <w:t>m</w:t>
            </w:r>
            <w:r>
              <w:rPr>
                <w:rFonts w:hint="default" w:ascii="Times New Roman" w:hAnsi="Times New Roman" w:eastAsia="宋体" w:cs="Times New Roman"/>
                <w:spacing w:val="1"/>
                <w:vertAlign w:val="superscript"/>
                <w:lang w:val="en-US" w:eastAsia="zh-CN"/>
              </w:rPr>
              <w:t>3</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有组织排放量为0.18t/a，排放速率0.025</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spacing w:val="-2"/>
                <w:highlight w:val="none"/>
                <w:lang w:val="en-US" w:eastAsia="zh-CN"/>
              </w:rPr>
              <w:t>，排放浓度5</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g/m</w:t>
            </w:r>
            <w:r>
              <w:rPr>
                <w:rFonts w:hint="default" w:ascii="Times New Roman" w:hAnsi="Times New Roman" w:cs="Times New Roman"/>
                <w:spacing w:val="-2"/>
                <w:highlight w:val="none"/>
                <w:vertAlign w:val="superscript"/>
                <w:lang w:val="en-US" w:eastAsia="zh-CN"/>
              </w:rPr>
              <w:t>3</w:t>
            </w:r>
            <w:r>
              <w:rPr>
                <w:rFonts w:hint="default" w:ascii="Times New Roman" w:hAnsi="Times New Roman" w:cs="Times New Roman"/>
                <w:spacing w:val="-2"/>
                <w:highlight w:val="none"/>
                <w:lang w:val="en-US" w:eastAsia="zh-CN"/>
              </w:rPr>
              <w:t>，无组织排放量为2t/a，无组织排放速率为0.278</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highlight w:val="none"/>
                <w:lang w:val="en-US" w:eastAsia="zh-CN"/>
              </w:rPr>
              <w:t>。</w:t>
            </w:r>
          </w:p>
          <w:p w14:paraId="00CDD62B">
            <w:pPr>
              <w:pStyle w:val="51"/>
              <w:ind w:firstLine="48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lang w:val="en-US" w:eastAsia="zh-CN"/>
              </w:rPr>
              <w:t>③</w:t>
            </w:r>
            <w:r>
              <w:rPr>
                <w:rFonts w:hint="default" w:ascii="Times New Roman" w:hAnsi="Times New Roman" w:eastAsia="宋体" w:cs="Times New Roman"/>
                <w:b w:val="0"/>
                <w:bCs/>
                <w:color w:val="auto"/>
                <w:kern w:val="2"/>
                <w:sz w:val="24"/>
                <w:szCs w:val="24"/>
                <w:highlight w:val="none"/>
                <w:lang w:val="en-US" w:eastAsia="zh-CN" w:bidi="ar-SA"/>
              </w:rPr>
              <w:t>滑石粉</w:t>
            </w:r>
            <w:r>
              <w:rPr>
                <w:rFonts w:hint="default" w:ascii="Times New Roman" w:hAnsi="Times New Roman" w:cs="Times New Roman"/>
                <w:b w:val="0"/>
                <w:bCs/>
                <w:color w:val="auto"/>
                <w:kern w:val="2"/>
                <w:sz w:val="24"/>
                <w:szCs w:val="24"/>
                <w:highlight w:val="none"/>
                <w:lang w:val="en-US" w:eastAsia="zh-CN" w:bidi="ar-SA"/>
              </w:rPr>
              <w:t>干燥、</w:t>
            </w:r>
            <w:r>
              <w:rPr>
                <w:rFonts w:hint="default" w:ascii="Times New Roman" w:hAnsi="Times New Roman" w:eastAsia="宋体" w:cs="Times New Roman"/>
                <w:b w:val="0"/>
                <w:bCs/>
                <w:color w:val="auto"/>
                <w:kern w:val="2"/>
                <w:sz w:val="24"/>
                <w:szCs w:val="24"/>
                <w:highlight w:val="none"/>
                <w:lang w:val="en-US" w:eastAsia="zh-CN" w:bidi="ar-SA"/>
              </w:rPr>
              <w:t>包装颗粒物</w:t>
            </w:r>
          </w:p>
          <w:p w14:paraId="526BB75E">
            <w:pPr>
              <w:pStyle w:val="8"/>
              <w:rPr>
                <w:rFonts w:hint="default" w:ascii="Times New Roman" w:hAnsi="Times New Roman" w:cs="Times New Roman"/>
                <w:kern w:val="2"/>
                <w:highlight w:val="none"/>
              </w:rPr>
            </w:pPr>
            <w:r>
              <w:rPr>
                <w:rFonts w:hint="default" w:ascii="Times New Roman" w:hAnsi="Times New Roman" w:cs="Times New Roman"/>
                <w:kern w:val="2"/>
                <w:highlight w:val="none"/>
                <w:lang w:val="en-US" w:eastAsia="zh-CN"/>
              </w:rPr>
              <w:t>项目滑石粉干燥过程会产生一定粉尘，</w:t>
            </w:r>
            <w:r>
              <w:rPr>
                <w:rFonts w:hint="default" w:ascii="Times New Roman" w:hAnsi="Times New Roman" w:cs="Times New Roman"/>
                <w:kern w:val="2"/>
                <w:highlight w:val="none"/>
              </w:rPr>
              <w:t>参考《逸散性工业粉尘控制技术》</w:t>
            </w:r>
            <w:r>
              <w:rPr>
                <w:rFonts w:hint="default" w:ascii="Times New Roman" w:hAnsi="Times New Roman" w:eastAsia="Segoe UI" w:cs="Times New Roman"/>
                <w:i w:val="0"/>
                <w:iCs w:val="0"/>
                <w:caps w:val="0"/>
                <w:spacing w:val="0"/>
                <w:sz w:val="24"/>
                <w:szCs w:val="24"/>
                <w:shd w:val="clear" w:fill="FFFFFF"/>
              </w:rPr>
              <w:t>中“干燥机粉尘排放因子”（细粉干燥排放因子通常为0.2</w:t>
            </w:r>
            <w:r>
              <w:rPr>
                <w:rFonts w:hint="eastAsia" w:eastAsia="宋体" w:cs="Times New Roman"/>
                <w:i w:val="0"/>
                <w:iCs w:val="0"/>
                <w:caps w:val="0"/>
                <w:spacing w:val="0"/>
                <w:sz w:val="24"/>
                <w:szCs w:val="24"/>
                <w:shd w:val="clear" w:fill="FFFFFF"/>
                <w:lang w:eastAsia="zh-CN"/>
              </w:rPr>
              <w:t>～</w:t>
            </w:r>
            <w:r>
              <w:rPr>
                <w:rFonts w:hint="default" w:ascii="Times New Roman" w:hAnsi="Times New Roman" w:eastAsia="Segoe UI" w:cs="Times New Roman"/>
                <w:i w:val="0"/>
                <w:iCs w:val="0"/>
                <w:caps w:val="0"/>
                <w:spacing w:val="0"/>
                <w:sz w:val="24"/>
                <w:szCs w:val="24"/>
                <w:shd w:val="clear" w:fill="FFFFFF"/>
              </w:rPr>
              <w:t>0.5kg/t产品）</w:t>
            </w:r>
            <w:r>
              <w:rPr>
                <w:rFonts w:hint="default"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宋体" w:cs="Times New Roman"/>
                <w:i w:val="0"/>
                <w:iCs w:val="0"/>
                <w:caps w:val="0"/>
                <w:spacing w:val="0"/>
                <w:sz w:val="24"/>
                <w:szCs w:val="24"/>
                <w:shd w:val="clear" w:fill="FFFFFF"/>
                <w:lang w:val="en-US" w:eastAsia="zh-CN"/>
              </w:rPr>
              <w:t>本项目取0.35</w:t>
            </w:r>
            <w:r>
              <w:rPr>
                <w:rFonts w:hint="default" w:ascii="Times New Roman" w:hAnsi="Times New Roman" w:eastAsia="Segoe UI" w:cs="Times New Roman"/>
                <w:i w:val="0"/>
                <w:iCs w:val="0"/>
                <w:caps w:val="0"/>
                <w:spacing w:val="0"/>
                <w:sz w:val="24"/>
                <w:szCs w:val="24"/>
                <w:shd w:val="clear" w:fill="FFFFFF"/>
              </w:rPr>
              <w:t>kg/t</w:t>
            </w:r>
            <w:r>
              <w:rPr>
                <w:rFonts w:hint="default" w:ascii="Times New Roman" w:hAnsi="Times New Roman" w:eastAsia="宋体" w:cs="Times New Roman"/>
                <w:i w:val="0"/>
                <w:iCs w:val="0"/>
                <w:caps w:val="0"/>
                <w:spacing w:val="0"/>
                <w:sz w:val="24"/>
                <w:szCs w:val="24"/>
                <w:shd w:val="clear" w:fill="FFFFFF"/>
                <w:lang w:val="en-US" w:eastAsia="zh-CN"/>
              </w:rPr>
              <w:t>滑石粉，</w:t>
            </w:r>
            <w:r>
              <w:rPr>
                <w:rFonts w:hint="default" w:ascii="Times New Roman" w:hAnsi="Times New Roman" w:cs="Times New Roman"/>
                <w:kern w:val="2"/>
                <w:highlight w:val="none"/>
              </w:rPr>
              <w:t>项目</w:t>
            </w:r>
            <w:r>
              <w:rPr>
                <w:rFonts w:hint="default" w:ascii="Times New Roman" w:hAnsi="Times New Roman" w:cs="Times New Roman"/>
                <w:kern w:val="2"/>
                <w:highlight w:val="none"/>
                <w:lang w:val="en-US" w:eastAsia="zh-CN"/>
              </w:rPr>
              <w:t>成品</w:t>
            </w:r>
            <w:r>
              <w:rPr>
                <w:rFonts w:hint="default" w:ascii="Times New Roman" w:hAnsi="Times New Roman" w:cs="Times New Roman"/>
                <w:kern w:val="2"/>
                <w:highlight w:val="none"/>
              </w:rPr>
              <w:t>产量为</w:t>
            </w:r>
            <w:r>
              <w:rPr>
                <w:rFonts w:hint="default" w:ascii="Times New Roman" w:hAnsi="Times New Roman" w:cs="Times New Roman"/>
                <w:kern w:val="2"/>
                <w:highlight w:val="none"/>
                <w:lang w:val="en-US" w:eastAsia="zh-CN"/>
              </w:rPr>
              <w:t>5800</w:t>
            </w:r>
            <w:r>
              <w:rPr>
                <w:rFonts w:hint="default" w:ascii="Times New Roman" w:hAnsi="Times New Roman" w:cs="Times New Roman"/>
                <w:kern w:val="2"/>
                <w:highlight w:val="none"/>
              </w:rPr>
              <w:t>t/a，因此</w:t>
            </w:r>
            <w:r>
              <w:rPr>
                <w:rFonts w:hint="default" w:ascii="Times New Roman" w:hAnsi="Times New Roman" w:cs="Times New Roman"/>
                <w:kern w:val="2"/>
                <w:highlight w:val="none"/>
                <w:lang w:val="en-US" w:eastAsia="zh-CN"/>
              </w:rPr>
              <w:t>干燥</w:t>
            </w:r>
            <w:r>
              <w:rPr>
                <w:rFonts w:hint="default" w:ascii="Times New Roman" w:hAnsi="Times New Roman" w:cs="Times New Roman"/>
                <w:kern w:val="2"/>
                <w:highlight w:val="none"/>
              </w:rPr>
              <w:t>工序颗粒物的产生量为</w:t>
            </w:r>
            <w:r>
              <w:rPr>
                <w:rFonts w:hint="default" w:ascii="Times New Roman" w:hAnsi="Times New Roman" w:cs="Times New Roman"/>
                <w:kern w:val="2"/>
                <w:highlight w:val="none"/>
                <w:lang w:val="en-US" w:eastAsia="zh-CN"/>
              </w:rPr>
              <w:t>2.03</w:t>
            </w:r>
            <w:r>
              <w:rPr>
                <w:rFonts w:hint="default" w:ascii="Times New Roman" w:hAnsi="Times New Roman" w:cs="Times New Roman"/>
                <w:kern w:val="2"/>
                <w:highlight w:val="none"/>
              </w:rPr>
              <w:t>t/a。</w:t>
            </w:r>
          </w:p>
          <w:p w14:paraId="1EFED2A1">
            <w:pPr>
              <w:pStyle w:val="8"/>
              <w:rPr>
                <w:rFonts w:hint="default" w:ascii="Times New Roman" w:hAnsi="Times New Roman" w:cs="Times New Roman"/>
                <w:spacing w:val="-2"/>
                <w:highlight w:val="none"/>
                <w:vertAlign w:val="baseline"/>
                <w:lang w:val="en-US" w:eastAsia="zh-CN"/>
              </w:rPr>
            </w:pPr>
            <w:r>
              <w:rPr>
                <w:rFonts w:hint="default" w:ascii="Times New Roman" w:hAnsi="Times New Roman" w:cs="Times New Roman"/>
                <w:kern w:val="2"/>
                <w:highlight w:val="none"/>
              </w:rPr>
              <w:t>项目</w:t>
            </w:r>
            <w:r>
              <w:rPr>
                <w:rFonts w:hint="default" w:ascii="Times New Roman" w:hAnsi="Times New Roman" w:eastAsia="宋体" w:cs="Times New Roman"/>
                <w:b w:val="0"/>
                <w:bCs/>
                <w:color w:val="auto"/>
                <w:kern w:val="2"/>
                <w:sz w:val="24"/>
                <w:szCs w:val="24"/>
                <w:highlight w:val="none"/>
                <w:lang w:val="en-US" w:eastAsia="zh-CN" w:bidi="ar-SA"/>
              </w:rPr>
              <w:t>滑石粉包装</w:t>
            </w:r>
            <w:r>
              <w:rPr>
                <w:rFonts w:hint="default" w:ascii="Times New Roman" w:hAnsi="Times New Roman" w:cs="Times New Roman"/>
                <w:kern w:val="2"/>
                <w:highlight w:val="none"/>
              </w:rPr>
              <w:t>过程由于物料落差会产生一定量颗粒物，参考《逸散性工业粉尘控制技术》混合肥料厂混合厂房内逸散损失（由原料搬运、混合和袋装引起的）排放因子为0.1kg/t，项目</w:t>
            </w:r>
            <w:r>
              <w:rPr>
                <w:rFonts w:hint="default" w:ascii="Times New Roman" w:hAnsi="Times New Roman" w:cs="Times New Roman"/>
                <w:kern w:val="2"/>
                <w:highlight w:val="none"/>
                <w:lang w:val="en-US" w:eastAsia="zh-CN"/>
              </w:rPr>
              <w:t>成品</w:t>
            </w:r>
            <w:r>
              <w:rPr>
                <w:rFonts w:hint="default" w:ascii="Times New Roman" w:hAnsi="Times New Roman" w:cs="Times New Roman"/>
                <w:kern w:val="2"/>
                <w:highlight w:val="none"/>
              </w:rPr>
              <w:t>产量为</w:t>
            </w:r>
            <w:r>
              <w:rPr>
                <w:rFonts w:hint="default" w:ascii="Times New Roman" w:hAnsi="Times New Roman" w:cs="Times New Roman"/>
                <w:kern w:val="2"/>
                <w:highlight w:val="none"/>
                <w:lang w:val="en-US" w:eastAsia="zh-CN"/>
              </w:rPr>
              <w:t>5800</w:t>
            </w:r>
            <w:r>
              <w:rPr>
                <w:rFonts w:hint="default" w:ascii="Times New Roman" w:hAnsi="Times New Roman" w:cs="Times New Roman"/>
                <w:kern w:val="2"/>
                <w:highlight w:val="none"/>
              </w:rPr>
              <w:t>t/a，因此包装工序颗粒物的产生量为</w:t>
            </w:r>
            <w:r>
              <w:rPr>
                <w:rFonts w:hint="default" w:ascii="Times New Roman" w:hAnsi="Times New Roman" w:cs="Times New Roman"/>
                <w:kern w:val="2"/>
                <w:highlight w:val="none"/>
                <w:lang w:val="en-US" w:eastAsia="zh-CN"/>
              </w:rPr>
              <w:t>0.58</w:t>
            </w:r>
            <w:r>
              <w:rPr>
                <w:rFonts w:hint="default" w:ascii="Times New Roman" w:hAnsi="Times New Roman" w:cs="Times New Roman"/>
                <w:kern w:val="2"/>
                <w:highlight w:val="none"/>
              </w:rPr>
              <w:t>t/a。</w:t>
            </w:r>
            <w:r>
              <w:rPr>
                <w:rFonts w:hint="default" w:ascii="Times New Roman" w:hAnsi="Times New Roman" w:eastAsia="宋体" w:cs="Times New Roman"/>
                <w:b w:val="0"/>
                <w:bCs/>
                <w:color w:val="auto"/>
                <w:kern w:val="2"/>
                <w:sz w:val="24"/>
                <w:szCs w:val="24"/>
                <w:highlight w:val="none"/>
                <w:lang w:val="en-US" w:eastAsia="zh-CN" w:bidi="ar-SA"/>
              </w:rPr>
              <w:t>滑石粉</w:t>
            </w:r>
            <w:r>
              <w:rPr>
                <w:rFonts w:hint="default" w:ascii="Times New Roman" w:hAnsi="Times New Roman" w:cs="Times New Roman"/>
                <w:b w:val="0"/>
                <w:bCs/>
                <w:color w:val="auto"/>
                <w:kern w:val="2"/>
                <w:sz w:val="24"/>
                <w:szCs w:val="24"/>
                <w:highlight w:val="none"/>
                <w:lang w:val="en-US" w:eastAsia="zh-CN" w:bidi="ar-SA"/>
              </w:rPr>
              <w:t>干燥、</w:t>
            </w:r>
            <w:r>
              <w:rPr>
                <w:rFonts w:hint="default" w:ascii="Times New Roman" w:hAnsi="Times New Roman" w:eastAsia="宋体" w:cs="Times New Roman"/>
                <w:b w:val="0"/>
                <w:bCs/>
                <w:color w:val="auto"/>
                <w:kern w:val="2"/>
                <w:sz w:val="24"/>
                <w:szCs w:val="24"/>
                <w:highlight w:val="none"/>
                <w:lang w:val="en-US" w:eastAsia="zh-CN" w:bidi="ar-SA"/>
              </w:rPr>
              <w:t>包装颗粒物</w:t>
            </w:r>
            <w:r>
              <w:rPr>
                <w:rFonts w:hint="default" w:ascii="Times New Roman" w:hAnsi="Times New Roman" w:cs="Times New Roman"/>
                <w:b w:val="0"/>
                <w:bCs/>
                <w:color w:val="auto"/>
                <w:kern w:val="2"/>
                <w:sz w:val="24"/>
                <w:szCs w:val="24"/>
                <w:highlight w:val="none"/>
                <w:lang w:val="en-US" w:eastAsia="zh-CN" w:bidi="ar-SA"/>
              </w:rPr>
              <w:t>经</w:t>
            </w:r>
            <w:r>
              <w:rPr>
                <w:rFonts w:hint="default" w:ascii="Times New Roman" w:hAnsi="Times New Roman" w:eastAsia="宋体" w:cs="Times New Roman"/>
                <w:lang w:val="en-US" w:eastAsia="zh-CN"/>
              </w:rPr>
              <w:t>集气罩（收集效率9</w:t>
            </w:r>
            <w:r>
              <w:rPr>
                <w:rFonts w:hint="default" w:ascii="Times New Roman" w:hAnsi="Times New Roman" w:cs="Times New Roman"/>
                <w:lang w:val="en-US" w:eastAsia="zh-CN"/>
              </w:rPr>
              <w:t>0</w:t>
            </w:r>
            <w:r>
              <w:rPr>
                <w:rFonts w:hint="default" w:ascii="Times New Roman" w:hAnsi="Times New Roman" w:eastAsia="宋体" w:cs="Times New Roman"/>
                <w:lang w:val="en-US" w:eastAsia="zh-CN"/>
              </w:rPr>
              <w:t>%）收集后，由脉冲式布袋除尘器（处理效率99%）处理后，经15m高排气筒（DA002）排放</w:t>
            </w:r>
            <w:r>
              <w:rPr>
                <w:rFonts w:hint="default" w:ascii="Times New Roman" w:hAnsi="Times New Roman" w:cs="Times New Roman"/>
                <w:lang w:val="en-US" w:eastAsia="zh-CN"/>
              </w:rPr>
              <w:t>，则有组织颗粒物产生量为2.349t/a，产生速率为0.326kg/h，产生浓度65.2mg/m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；有组织排放量为0.024t/a，排放速率0.003kg/h，排放浓度0.65mg/m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，无组织排放量为0.261t/a，无组织排放速率为0.036kg/h。</w:t>
            </w:r>
          </w:p>
          <w:p w14:paraId="7432EFD5">
            <w:pPr>
              <w:pStyle w:val="8"/>
              <w:rPr>
                <w:rFonts w:hint="default" w:ascii="Times New Roman" w:hAnsi="Times New Roman" w:eastAsia="宋体" w:cs="Times New Roman"/>
                <w:spacing w:val="1"/>
                <w:highlight w:val="none"/>
                <w:lang w:val="en-US" w:eastAsia="zh-CN"/>
              </w:rPr>
            </w:pPr>
            <w:r>
              <w:rPr>
                <w:rFonts w:hint="default" w:ascii="Times New Roman" w:hAnsi="Times New Roman" w:eastAsia="宋体" w:cs="Times New Roman"/>
                <w:highlight w:val="none"/>
                <w:lang w:val="en-US" w:eastAsia="zh-CN"/>
              </w:rPr>
              <w:t>本项目投料、过滤、</w:t>
            </w:r>
            <w:r>
              <w:rPr>
                <w:rFonts w:hint="default" w:ascii="Times New Roman" w:hAnsi="Times New Roman" w:cs="Times New Roman"/>
                <w:highlight w:val="none"/>
                <w:lang w:val="en-US" w:eastAsia="zh-CN"/>
              </w:rPr>
              <w:t>干燥、</w:t>
            </w:r>
            <w:r>
              <w:rPr>
                <w:rFonts w:hint="default" w:ascii="Times New Roman" w:hAnsi="Times New Roman" w:eastAsia="宋体" w:cs="Times New Roman"/>
                <w:highlight w:val="none"/>
                <w:lang w:val="en-US" w:eastAsia="zh-CN"/>
              </w:rPr>
              <w:t>包装时厂房密闭，且通过洒水降尘，</w:t>
            </w:r>
            <w:r>
              <w:rPr>
                <w:rFonts w:hint="default" w:ascii="Times New Roman" w:hAnsi="Times New Roman" w:cs="Times New Roman"/>
                <w:color w:val="000000" w:themeColor="text1"/>
                <w:kern w:val="2"/>
                <w:highlight w:val="none"/>
                <w14:textFill>
                  <w14:solidFill>
                    <w14:schemeClr w14:val="tx1"/>
                  </w14:solidFill>
                </w14:textFill>
              </w:rPr>
              <w:t>可使无组织颗粒物削减80%，则全厂无组织颗粒物排放量为</w:t>
            </w:r>
            <w:r>
              <w:rPr>
                <w:rFonts w:hint="default" w:ascii="Times New Roman" w:hAnsi="Times New Roman" w:cs="Times New Roman"/>
                <w:color w:val="000000" w:themeColor="text1"/>
                <w:kern w:val="2"/>
                <w:highlight w:val="none"/>
                <w:lang w:val="en-US" w:eastAsia="zh-CN"/>
                <w14:textFill>
                  <w14:solidFill>
                    <w14:schemeClr w14:val="tx1"/>
                  </w14:solidFill>
                </w14:textFill>
              </w:rPr>
              <w:t>3.861</w:t>
            </w:r>
            <w:r>
              <w:rPr>
                <w:rFonts w:hint="default" w:ascii="Times New Roman" w:hAnsi="Times New Roman" w:cs="Times New Roman"/>
                <w:color w:val="000000" w:themeColor="text1"/>
                <w:kern w:val="2"/>
                <w:highlight w:val="none"/>
                <w14:textFill>
                  <w14:solidFill>
                    <w14:schemeClr w14:val="tx1"/>
                  </w14:solidFill>
                </w14:textFill>
              </w:rPr>
              <w:t>t/a，排放速率为</w:t>
            </w:r>
            <w:r>
              <w:rPr>
                <w:rFonts w:hint="default" w:ascii="Times New Roman" w:hAnsi="Times New Roman" w:cs="Times New Roman"/>
                <w:color w:val="000000" w:themeColor="text1"/>
                <w:kern w:val="2"/>
                <w:highlight w:val="none"/>
                <w:lang w:val="en-US" w:eastAsia="zh-CN"/>
                <w14:textFill>
                  <w14:solidFill>
                    <w14:schemeClr w14:val="tx1"/>
                  </w14:solidFill>
                </w14:textFill>
              </w:rPr>
              <w:t>0.536</w:t>
            </w:r>
            <w:r>
              <w:rPr>
                <w:rFonts w:hint="default" w:ascii="Times New Roman" w:hAnsi="Times New Roman" w:cs="Times New Roman"/>
                <w:color w:val="000000" w:themeColor="text1"/>
                <w:kern w:val="2"/>
                <w:highlight w:val="none"/>
                <w14:textFill>
                  <w14:solidFill>
                    <w14:schemeClr w14:val="tx1"/>
                  </w14:solidFill>
                </w14:textFill>
              </w:rPr>
              <w:t>kg/h。</w:t>
            </w:r>
          </w:p>
          <w:p w14:paraId="5289357D">
            <w:pPr>
              <w:pStyle w:val="74"/>
              <w:spacing w:before="116" w:line="365" w:lineRule="auto"/>
              <w:ind w:left="101" w:right="95"/>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④氨气</w:t>
            </w:r>
          </w:p>
          <w:p w14:paraId="3005A712">
            <w:pPr>
              <w:pStyle w:val="74"/>
              <w:spacing w:before="116" w:line="365" w:lineRule="auto"/>
              <w:ind w:left="101" w:right="95"/>
              <w:rPr>
                <w:rFonts w:hint="default" w:ascii="Times New Roman" w:hAnsi="Times New Roman" w:cs="Times New Roman"/>
                <w:lang w:val="en-US" w:eastAsia="zh-CN"/>
              </w:rPr>
            </w:pP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本项目臭气浓度主要来源于氨气，本项目干燥工序生成滑石粉时有少量</w:t>
            </w:r>
            <w:r>
              <w:rPr>
                <w:rFonts w:hint="default" w:ascii="Times New Roman" w:hAnsi="Times New Roman" w:eastAsia="Segoe UI" w:cs="Times New Roman"/>
                <w:i w:val="0"/>
                <w:iCs w:val="0"/>
                <w:caps w:val="0"/>
                <w:spacing w:val="0"/>
                <w:sz w:val="24"/>
                <w:szCs w:val="24"/>
                <w:shd w:val="clear" w:fill="FFFFFF"/>
              </w:rPr>
              <w:t>磷酸二氢铵</w:t>
            </w:r>
            <w:r>
              <w:rPr>
                <w:rFonts w:hint="default" w:ascii="Times New Roman" w:hAnsi="Times New Roman" w:eastAsia="宋体" w:cs="Times New Roman"/>
                <w:i w:val="0"/>
                <w:iCs w:val="0"/>
                <w:caps w:val="0"/>
                <w:spacing w:val="0"/>
                <w:sz w:val="24"/>
                <w:szCs w:val="24"/>
                <w:shd w:val="clear" w:fill="FFFFFF"/>
                <w:lang w:val="en-US" w:eastAsia="zh-CN"/>
              </w:rPr>
              <w:t>残留在滑石粉内，参考</w:t>
            </w:r>
            <w:r>
              <w:rPr>
                <w:rFonts w:hint="default" w:ascii="Times New Roman" w:hAnsi="Times New Roman" w:eastAsia="Segoe UI" w:cs="Times New Roman"/>
                <w:i w:val="0"/>
                <w:iCs w:val="0"/>
                <w:caps w:val="0"/>
                <w:spacing w:val="0"/>
                <w:sz w:val="24"/>
                <w:szCs w:val="24"/>
                <w:shd w:val="clear" w:fill="FFFFFF"/>
              </w:rPr>
              <w:t>“过滤后固体残留可溶性盐”行业均值</w:t>
            </w:r>
            <w:r>
              <w:rPr>
                <w:rFonts w:hint="default"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宋体" w:cs="Times New Roman"/>
                <w:i w:val="0"/>
                <w:iCs w:val="0"/>
                <w:caps w:val="0"/>
                <w:spacing w:val="0"/>
                <w:sz w:val="24"/>
                <w:szCs w:val="24"/>
                <w:shd w:val="clear" w:fill="FFFFFF"/>
                <w:lang w:val="en-US" w:eastAsia="zh-CN"/>
              </w:rPr>
              <w:t>本项目残留率取0.8%，则</w:t>
            </w:r>
            <w:r>
              <w:rPr>
                <w:rFonts w:hint="default" w:ascii="Times New Roman" w:hAnsi="Times New Roman" w:eastAsia="Segoe UI" w:cs="Times New Roman"/>
                <w:i w:val="0"/>
                <w:iCs w:val="0"/>
                <w:caps w:val="0"/>
                <w:spacing w:val="0"/>
                <w:sz w:val="24"/>
                <w:szCs w:val="24"/>
                <w:shd w:val="clear" w:fill="FFFFFF"/>
              </w:rPr>
              <w:t>磷酸二氢铵</w:t>
            </w:r>
            <w:r>
              <w:rPr>
                <w:rFonts w:hint="default" w:ascii="Times New Roman" w:hAnsi="Times New Roman" w:eastAsia="宋体" w:cs="Times New Roman"/>
                <w:i w:val="0"/>
                <w:iCs w:val="0"/>
                <w:caps w:val="0"/>
                <w:spacing w:val="0"/>
                <w:sz w:val="24"/>
                <w:szCs w:val="24"/>
                <w:shd w:val="clear" w:fill="FFFFFF"/>
                <w:lang w:val="en-US" w:eastAsia="zh-CN"/>
              </w:rPr>
              <w:t>残留量为46.4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Segoe UI" w:cs="Times New Roman"/>
                <w:i w:val="0"/>
                <w:iCs w:val="0"/>
                <w:caps w:val="0"/>
                <w:spacing w:val="0"/>
                <w:sz w:val="24"/>
                <w:szCs w:val="24"/>
                <w:shd w:val="clear" w:fill="FFFFFF"/>
              </w:rPr>
              <w:t>磷酸二氢铵</w:t>
            </w:r>
            <w:r>
              <w:rPr>
                <w:rFonts w:hint="default" w:ascii="Times New Roman" w:hAnsi="Times New Roman" w:eastAsia="宋体" w:cs="Times New Roman"/>
                <w:i w:val="0"/>
                <w:iCs w:val="0"/>
                <w:caps w:val="0"/>
                <w:spacing w:val="0"/>
                <w:sz w:val="24"/>
                <w:szCs w:val="24"/>
                <w:shd w:val="clear" w:fill="FFFFFF"/>
                <w:lang w:val="en-US" w:eastAsia="zh-CN"/>
              </w:rPr>
              <w:t>在干燥机中分解率约为15%，根据</w:t>
            </w:r>
            <w:r>
              <w:rPr>
                <w:rFonts w:hint="default" w:ascii="Times New Roman" w:hAnsi="Times New Roman" w:eastAsia="Segoe UI" w:cs="Times New Roman"/>
                <w:i w:val="0"/>
                <w:iCs w:val="0"/>
                <w:caps w:val="0"/>
                <w:spacing w:val="0"/>
                <w:sz w:val="24"/>
                <w:szCs w:val="24"/>
                <w:shd w:val="clear" w:fill="FFFFFF"/>
              </w:rPr>
              <w:t>1molNH₄H₂PO₄（分子量115）分解生成1molNH₃（分子量17）</w:t>
            </w:r>
            <w:r>
              <w:rPr>
                <w:rFonts w:hint="default" w:ascii="Times New Roman" w:hAnsi="Times New Roman" w:eastAsia="宋体" w:cs="Times New Roman"/>
                <w:i w:val="0"/>
                <w:iCs w:val="0"/>
                <w:caps w:val="0"/>
                <w:spacing w:val="0"/>
                <w:sz w:val="24"/>
                <w:szCs w:val="24"/>
                <w:shd w:val="clear" w:fill="FFFFFF"/>
                <w:lang w:eastAsia="zh-CN"/>
              </w:rPr>
              <w:t>，</w:t>
            </w:r>
            <w:r>
              <w:rPr>
                <w:rFonts w:hint="default" w:ascii="Times New Roman" w:hAnsi="Times New Roman" w:eastAsia="宋体" w:cs="Times New Roman"/>
                <w:i w:val="0"/>
                <w:iCs w:val="0"/>
                <w:caps w:val="0"/>
                <w:spacing w:val="0"/>
                <w:sz w:val="24"/>
                <w:szCs w:val="24"/>
                <w:shd w:val="clear" w:fill="FFFFFF"/>
                <w:lang w:val="en-US" w:eastAsia="zh-CN"/>
              </w:rPr>
              <w:t>则产生的氨气为0.101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。经</w:t>
            </w:r>
            <w:r>
              <w:rPr>
                <w:rFonts w:hint="default" w:ascii="Times New Roman" w:hAnsi="Times New Roman" w:eastAsia="宋体" w:cs="Times New Roman"/>
                <w:lang w:val="en-US" w:eastAsia="zh-CN"/>
              </w:rPr>
              <w:t>集气罩（收集效率9</w:t>
            </w:r>
            <w:r>
              <w:rPr>
                <w:rFonts w:hint="default" w:ascii="Times New Roman" w:hAnsi="Times New Roman" w:cs="Times New Roman"/>
                <w:lang w:val="en-US" w:eastAsia="zh-CN"/>
              </w:rPr>
              <w:t>0</w:t>
            </w:r>
            <w:r>
              <w:rPr>
                <w:rFonts w:hint="default" w:ascii="Times New Roman" w:hAnsi="Times New Roman" w:eastAsia="宋体" w:cs="Times New Roman"/>
                <w:lang w:val="en-US" w:eastAsia="zh-CN"/>
              </w:rPr>
              <w:t>%）收集后</w:t>
            </w:r>
            <w:r>
              <w:rPr>
                <w:rFonts w:hint="default" w:ascii="Times New Roman" w:hAnsi="Times New Roman" w:cs="Times New Roman"/>
                <w:lang w:val="en-US" w:eastAsia="zh-CN"/>
              </w:rPr>
              <w:t>，由</w:t>
            </w:r>
            <w:r>
              <w:rPr>
                <w:rFonts w:hint="default" w:ascii="Times New Roman" w:hAnsi="Times New Roman" w:eastAsia="宋体" w:cs="Times New Roman"/>
                <w:lang w:val="en-US" w:eastAsia="zh-CN"/>
              </w:rPr>
              <w:t>15m高排气筒（DA002）排放</w:t>
            </w:r>
            <w:r>
              <w:rPr>
                <w:rFonts w:hint="default" w:ascii="Times New Roman" w:hAnsi="Times New Roman" w:cs="Times New Roman"/>
                <w:lang w:val="en-US" w:eastAsia="zh-CN"/>
              </w:rPr>
              <w:t>。氨气的</w:t>
            </w:r>
            <w:r>
              <w:rPr>
                <w:rFonts w:hint="default" w:ascii="Times New Roman" w:hAnsi="Times New Roman" w:cs="Times New Roman"/>
                <w:spacing w:val="-2"/>
                <w:highlight w:val="none"/>
                <w:lang w:val="en-US" w:eastAsia="zh-CN"/>
              </w:rPr>
              <w:t>有组织产生量为0.091</w:t>
            </w:r>
            <w:r>
              <w:rPr>
                <w:rFonts w:hint="default" w:ascii="Times New Roman" w:hAnsi="Times New Roman" w:cs="Times New Roman"/>
                <w:spacing w:val="-2"/>
                <w:highlight w:val="none"/>
              </w:rPr>
              <w:t>t/a</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产生速率为0.013</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highlight w:val="none"/>
                <w:lang w:val="en-US" w:eastAsia="zh-CN"/>
              </w:rPr>
              <w:t>，</w:t>
            </w:r>
            <w:r>
              <w:rPr>
                <w:rFonts w:hint="default" w:ascii="Times New Roman" w:hAnsi="Times New Roman" w:cs="Times New Roman"/>
                <w:spacing w:val="-2"/>
                <w:highlight w:val="none"/>
                <w:lang w:val="en-US" w:eastAsia="zh-CN"/>
              </w:rPr>
              <w:t>产生浓度2.52</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w:t>
            </w:r>
            <w:r>
              <w:rPr>
                <w:rFonts w:hint="default" w:ascii="Times New Roman" w:hAnsi="Times New Roman" w:eastAsia="Times New Roman" w:cs="Times New Roman"/>
                <w:spacing w:val="1"/>
              </w:rPr>
              <w:t>m</w:t>
            </w:r>
            <w:r>
              <w:rPr>
                <w:rFonts w:hint="default" w:ascii="Times New Roman" w:hAnsi="Times New Roman" w:eastAsia="宋体" w:cs="Times New Roman"/>
                <w:spacing w:val="1"/>
                <w:vertAlign w:val="superscript"/>
                <w:lang w:val="en-US" w:eastAsia="zh-CN"/>
              </w:rPr>
              <w:t>3</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有组织排放量为0.091t/a，排放速率0.013</w:t>
            </w:r>
            <w:r>
              <w:rPr>
                <w:rFonts w:hint="default" w:ascii="Times New Roman" w:hAnsi="Times New Roman" w:cs="Times New Roman"/>
                <w:highlight w:val="none"/>
                <w:lang w:val="en-US" w:eastAsia="zh-CN"/>
              </w:rPr>
              <w:t>k</w:t>
            </w:r>
            <w:r>
              <w:rPr>
                <w:rFonts w:hint="default" w:ascii="Times New Roman" w:hAnsi="Times New Roman" w:eastAsia="宋体" w:cs="Times New Roman"/>
                <w:highlight w:val="none"/>
                <w:lang w:val="en-US" w:eastAsia="zh-CN"/>
              </w:rPr>
              <w:t>g/h</w:t>
            </w:r>
            <w:r>
              <w:rPr>
                <w:rFonts w:hint="default" w:ascii="Times New Roman" w:hAnsi="Times New Roman" w:cs="Times New Roman"/>
                <w:spacing w:val="-2"/>
                <w:highlight w:val="none"/>
                <w:lang w:val="en-US" w:eastAsia="zh-CN"/>
              </w:rPr>
              <w:t>，排放浓度2.52</w:t>
            </w:r>
            <w:r>
              <w:rPr>
                <w:rFonts w:hint="default" w:ascii="Times New Roman" w:hAnsi="Times New Roman" w:eastAsia="Times New Roman" w:cs="Times New Roman"/>
                <w:spacing w:val="1"/>
              </w:rPr>
              <w:t>m</w:t>
            </w:r>
            <w:r>
              <w:rPr>
                <w:rFonts w:hint="default" w:ascii="Times New Roman" w:hAnsi="Times New Roman" w:cs="Times New Roman"/>
                <w:spacing w:val="-2"/>
                <w:highlight w:val="none"/>
                <w:lang w:val="en-US" w:eastAsia="zh-CN"/>
              </w:rPr>
              <w:t>g/m</w:t>
            </w:r>
            <w:r>
              <w:rPr>
                <w:rFonts w:hint="default" w:ascii="Times New Roman" w:hAnsi="Times New Roman" w:cs="Times New Roman"/>
                <w:spacing w:val="-2"/>
                <w:highlight w:val="none"/>
                <w:vertAlign w:val="superscript"/>
                <w:lang w:val="en-US" w:eastAsia="zh-CN"/>
              </w:rPr>
              <w:t>3</w:t>
            </w:r>
            <w:r>
              <w:rPr>
                <w:rFonts w:hint="default" w:ascii="Times New Roman" w:hAnsi="Times New Roman" w:cs="Times New Roman"/>
                <w:spacing w:val="-2"/>
                <w:highlight w:val="none"/>
                <w:lang w:val="en-US" w:eastAsia="zh-CN"/>
              </w:rPr>
              <w:t>，无组织排放量为0.101t/a</w:t>
            </w:r>
            <w:r>
              <w:rPr>
                <w:rFonts w:hint="default" w:ascii="Times New Roman" w:hAnsi="Times New Roman" w:cs="Times New Roman"/>
                <w:lang w:val="en-US" w:eastAsia="zh-CN"/>
              </w:rPr>
              <w:t>。</w:t>
            </w:r>
          </w:p>
          <w:p w14:paraId="5973A89A">
            <w:pPr>
              <w:pStyle w:val="74"/>
              <w:spacing w:before="116" w:line="365" w:lineRule="auto"/>
              <w:ind w:left="101" w:right="95"/>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auto"/>
                <w:sz w:val="24"/>
                <w:szCs w:val="24"/>
                <w:highlight w:val="none"/>
                <w:lang w:val="en-US" w:eastAsia="zh-CN"/>
              </w:rPr>
              <w:t>本项目过滤工序ABC灭火剂粉主要成分为磷酸二氢铵75%，年消耗ABC灭火剂粉4万吨，磷酸二氢铵在温度为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20-100℃</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中水解率</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加热解率为0.02</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根据氮守恒</w:t>
            </w:r>
            <w:r>
              <w:rPr>
                <w:rFonts w:ascii="Segoe UI" w:hAnsi="Segoe UI" w:eastAsia="Segoe UI" w:cs="Segoe UI"/>
                <w:i w:val="0"/>
                <w:iCs w:val="0"/>
                <w:caps w:val="0"/>
                <w:spacing w:val="0"/>
                <w:sz w:val="24"/>
                <w:szCs w:val="24"/>
                <w:shd w:val="clear" w:fill="FFFFFF"/>
              </w:rPr>
              <w:t>磷酸二氢铵</w:t>
            </w:r>
            <w:r>
              <w:rPr>
                <w:rFonts w:hint="eastAsia" w:ascii="Segoe UI" w:hAnsi="Segoe UI" w:eastAsia="宋体" w:cs="Segoe UI"/>
                <w:i w:val="0"/>
                <w:iCs w:val="0"/>
                <w:caps w:val="0"/>
                <w:spacing w:val="0"/>
                <w:sz w:val="24"/>
                <w:szCs w:val="24"/>
                <w:shd w:val="clear" w:fill="FFFFFF"/>
                <w:lang w:val="en-US" w:eastAsia="zh-CN"/>
              </w:rPr>
              <w:t>中氮的质量分数为12.17%，氮的总质量为3651</w:t>
            </w:r>
            <w:r>
              <w:rPr>
                <w:rFonts w:hint="default" w:ascii="Times New Roman" w:hAnsi="Times New Roman" w:cs="Times New Roman"/>
                <w:spacing w:val="-2"/>
                <w:highlight w:val="none"/>
                <w:lang w:val="en-US" w:eastAsia="zh-CN"/>
              </w:rPr>
              <w:t>t</w:t>
            </w:r>
            <w:r>
              <w:rPr>
                <w:rFonts w:hint="eastAsia" w:ascii="Times New Roman" w:hAnsi="Times New Roman" w:cs="Times New Roman"/>
                <w:spacing w:val="-2"/>
                <w:highlight w:val="none"/>
                <w:lang w:val="en-US" w:eastAsia="zh-CN"/>
              </w:rPr>
              <w:t>，转化为氨气的氮质量数为0.351</w:t>
            </w:r>
            <w:r>
              <w:rPr>
                <w:rFonts w:hint="default" w:ascii="Times New Roman" w:hAnsi="Times New Roman" w:cs="Times New Roman"/>
                <w:spacing w:val="-2"/>
                <w:highlight w:val="none"/>
                <w:lang w:val="en-US" w:eastAsia="zh-CN"/>
              </w:rPr>
              <w:t>t</w:t>
            </w:r>
            <w:r>
              <w:rPr>
                <w:rFonts w:hint="eastAsia" w:ascii="Times New Roman" w:hAnsi="Times New Roman" w:cs="Times New Roman"/>
                <w:spacing w:val="-2"/>
                <w:highlight w:val="none"/>
                <w:lang w:val="en-US" w:eastAsia="zh-CN"/>
              </w:rPr>
              <w:t>，氨气中氮的质量分数为82.35%</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则过滤工序产生氨气为</w:t>
            </w:r>
            <w:r>
              <w:rPr>
                <w:rFonts w:hint="eastAsia" w:ascii="Times New Roman" w:hAnsi="Times New Roman" w:cs="Times New Roman"/>
                <w:color w:val="auto"/>
                <w:sz w:val="24"/>
                <w:szCs w:val="24"/>
                <w:highlight w:val="none"/>
                <w:lang w:val="en-US" w:eastAsia="zh-CN"/>
              </w:rPr>
              <w:t>0.89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本项目溶解釜采用机械密闭搅拌器，釜盖与筒体连接处加装充气式密闭垫圈，氨气易泄漏的管道接口采用焊接连接代替法兰连接，生产车间采用“上送下排”通风系统，顶部安装新风送风口，底部四周设排风口。</w:t>
            </w:r>
            <w:r>
              <w:rPr>
                <w:rFonts w:hint="default" w:ascii="Times New Roman" w:hAnsi="Times New Roman" w:eastAsia="Segoe UI" w:cs="Times New Roman"/>
                <w:i w:val="0"/>
                <w:iCs w:val="0"/>
                <w:caps w:val="0"/>
                <w:spacing w:val="0"/>
                <w:sz w:val="24"/>
                <w:szCs w:val="24"/>
                <w:shd w:val="clear" w:fill="FFFFFF"/>
              </w:rPr>
              <w:t>溶解釜、储槽外壁每周用湿布擦拭1次。</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全厂产生的</w:t>
            </w:r>
            <w:r>
              <w:rPr>
                <w:rFonts w:hint="default" w:ascii="Times New Roman" w:hAnsi="Times New Roman" w:cs="Times New Roman"/>
                <w:spacing w:val="-2"/>
                <w:highlight w:val="none"/>
                <w:lang w:val="en-US" w:eastAsia="zh-CN"/>
              </w:rPr>
              <w:t>无组织氨气为</w:t>
            </w:r>
            <w:r>
              <w:rPr>
                <w:rFonts w:hint="eastAsia" w:ascii="Times New Roman" w:hAnsi="Times New Roman" w:cs="Times New Roman"/>
                <w:spacing w:val="-2"/>
                <w:highlight w:val="none"/>
                <w:lang w:val="en-US" w:eastAsia="zh-CN"/>
              </w:rPr>
              <w:t>0.991</w:t>
            </w:r>
            <w:r>
              <w:rPr>
                <w:rFonts w:hint="default" w:ascii="Times New Roman" w:hAnsi="Times New Roman" w:cs="Times New Roman"/>
                <w:spacing w:val="-2"/>
                <w:highlight w:val="none"/>
                <w:lang w:val="en-US" w:eastAsia="zh-CN"/>
              </w:rPr>
              <w:t>，</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采取以上</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处理措施后可消减80%，即</w:t>
            </w:r>
            <w:r>
              <w:rPr>
                <w:rFonts w:hint="default" w:ascii="Times New Roman" w:hAnsi="Times New Roman" w:cs="Times New Roman"/>
                <w:color w:val="auto"/>
                <w:sz w:val="24"/>
                <w:szCs w:val="24"/>
                <w:highlight w:val="none"/>
                <w:lang w:val="en-US" w:eastAsia="zh-CN"/>
              </w:rPr>
              <w:t>氨气</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无组织排放量为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0.198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，排放速率为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0.028</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kg/h。</w:t>
            </w:r>
          </w:p>
          <w:p w14:paraId="7427AD5F">
            <w:pPr>
              <w:spacing w:line="360" w:lineRule="auto"/>
              <w:ind w:left="0" w:leftChars="0" w:firstLine="480" w:firstLineChars="200"/>
              <w:rPr>
                <w:rFonts w:hint="default" w:ascii="Times New Roman" w:hAnsi="Times New Roman"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③食堂油烟</w:t>
            </w:r>
          </w:p>
          <w:p w14:paraId="3B7AE66D">
            <w:pPr>
              <w:pStyle w:val="74"/>
              <w:spacing w:before="116" w:line="365" w:lineRule="auto"/>
              <w:ind w:left="101" w:right="95"/>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区内设有食堂，每餐用餐人数为140人，每日提供三餐。经类比分析，食用油用量按0.01kg/人·日计，则日耗油量为1.4kg。油的平均挥发量为总耗油量的3%，则油烟产生量为0.013t/a。本项目食堂属于小型规模，设4个灶头，单个灶头基准排风量为2000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/h，每天工作4h，产生油烟的浓度为1.31mg/m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。油烟经油烟净化器（处理效率75%）处理后排放，经处理后油烟排放浓度为0.33mg/m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，满足《饮食业油烟排放标准》（GB18483-2001）表2中型规模标准限值即2.0mg/m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p>
          <w:p w14:paraId="30AC3F81">
            <w:pPr>
              <w:pStyle w:val="36"/>
              <w:rPr>
                <w:rFonts w:hint="default" w:ascii="Times New Roman" w:hAnsi="Times New Roman" w:eastAsia="宋体" w:cs="Times New Roman"/>
                <w:lang w:val="en-US" w:eastAsia="zh-CN"/>
              </w:rPr>
            </w:pPr>
            <w:r>
              <w:rPr>
                <w:rFonts w:hint="default" w:ascii="Times New Roman" w:hAnsi="Times New Roman" w:cs="Times New Roman"/>
                <w:lang w:val="en-US" w:eastAsia="zh-CN"/>
              </w:rPr>
              <w:t>各</w:t>
            </w:r>
            <w:r>
              <w:rPr>
                <w:rFonts w:hint="default" w:ascii="Times New Roman" w:hAnsi="Times New Roman" w:cs="Times New Roman"/>
              </w:rPr>
              <w:t>废气产排情</w:t>
            </w:r>
            <w:r>
              <w:rPr>
                <w:rFonts w:hint="default" w:ascii="Times New Roman" w:hAnsi="Times New Roman" w:cs="Times New Roman"/>
                <w:spacing w:val="-3"/>
              </w:rPr>
              <w:t>况见下表4-1。</w:t>
            </w:r>
          </w:p>
          <w:p w14:paraId="6BB80672">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表4-1   建设项目废气排放情况表</w:t>
            </w:r>
          </w:p>
          <w:tbl>
            <w:tblPr>
              <w:tblStyle w:val="30"/>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707"/>
              <w:gridCol w:w="786"/>
              <w:gridCol w:w="668"/>
              <w:gridCol w:w="663"/>
              <w:gridCol w:w="1016"/>
              <w:gridCol w:w="627"/>
              <w:gridCol w:w="587"/>
              <w:gridCol w:w="820"/>
              <w:gridCol w:w="888"/>
              <w:gridCol w:w="802"/>
            </w:tblGrid>
            <w:tr w14:paraId="0161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shd w:val="clear" w:color="auto" w:fill="auto"/>
                  <w:vAlign w:val="center"/>
                </w:tcPr>
                <w:p w14:paraId="2798EB09">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项目</w:t>
                  </w:r>
                </w:p>
              </w:tc>
              <w:tc>
                <w:tcPr>
                  <w:tcW w:w="707" w:type="dxa"/>
                  <w:shd w:val="clear" w:color="auto" w:fill="auto"/>
                  <w:vAlign w:val="center"/>
                </w:tcPr>
                <w:p w14:paraId="0506A4A6">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污染源</w:t>
                  </w:r>
                </w:p>
              </w:tc>
              <w:tc>
                <w:tcPr>
                  <w:tcW w:w="786" w:type="dxa"/>
                  <w:shd w:val="clear" w:color="auto" w:fill="auto"/>
                  <w:vAlign w:val="center"/>
                </w:tcPr>
                <w:p w14:paraId="13DA7214">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排气筒编号</w:t>
                  </w:r>
                </w:p>
              </w:tc>
              <w:tc>
                <w:tcPr>
                  <w:tcW w:w="668" w:type="dxa"/>
                  <w:shd w:val="clear" w:color="auto" w:fill="auto"/>
                  <w:vAlign w:val="center"/>
                </w:tcPr>
                <w:p w14:paraId="518E51FF">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污染因子</w:t>
                  </w:r>
                </w:p>
              </w:tc>
              <w:tc>
                <w:tcPr>
                  <w:tcW w:w="663" w:type="dxa"/>
                  <w:shd w:val="clear" w:color="auto" w:fill="auto"/>
                  <w:vAlign w:val="center"/>
                </w:tcPr>
                <w:p w14:paraId="00A89EE2">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产生量（t/a）</w:t>
                  </w:r>
                </w:p>
              </w:tc>
              <w:tc>
                <w:tcPr>
                  <w:tcW w:w="1016" w:type="dxa"/>
                  <w:shd w:val="clear" w:color="auto" w:fill="auto"/>
                  <w:vAlign w:val="center"/>
                </w:tcPr>
                <w:p w14:paraId="6F75BA63">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处置措施</w:t>
                  </w:r>
                </w:p>
              </w:tc>
              <w:tc>
                <w:tcPr>
                  <w:tcW w:w="627" w:type="dxa"/>
                  <w:shd w:val="clear" w:color="auto" w:fill="auto"/>
                  <w:textDirection w:val="tbRlV"/>
                  <w:vAlign w:val="center"/>
                </w:tcPr>
                <w:p w14:paraId="0CAAD525">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收集效率</w:t>
                  </w:r>
                </w:p>
              </w:tc>
              <w:tc>
                <w:tcPr>
                  <w:tcW w:w="587" w:type="dxa"/>
                  <w:shd w:val="clear" w:color="auto" w:fill="auto"/>
                  <w:textDirection w:val="tbRlV"/>
                  <w:vAlign w:val="center"/>
                </w:tcPr>
                <w:p w14:paraId="5E57935E">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治理效率</w:t>
                  </w:r>
                </w:p>
              </w:tc>
              <w:tc>
                <w:tcPr>
                  <w:tcW w:w="820" w:type="dxa"/>
                  <w:shd w:val="clear" w:color="auto" w:fill="auto"/>
                  <w:vAlign w:val="center"/>
                </w:tcPr>
                <w:p w14:paraId="1081D5D8">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排放量</w:t>
                  </w:r>
                </w:p>
                <w:p w14:paraId="66B4EC58">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(t/a)</w:t>
                  </w:r>
                </w:p>
              </w:tc>
              <w:tc>
                <w:tcPr>
                  <w:tcW w:w="888" w:type="dxa"/>
                  <w:shd w:val="clear" w:color="auto" w:fill="auto"/>
                  <w:vAlign w:val="center"/>
                </w:tcPr>
                <w:p w14:paraId="4A6B9E3E">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排放速率（kg/h）</w:t>
                  </w:r>
                </w:p>
              </w:tc>
              <w:tc>
                <w:tcPr>
                  <w:tcW w:w="802" w:type="dxa"/>
                  <w:shd w:val="clear" w:color="auto" w:fill="auto"/>
                  <w:vAlign w:val="center"/>
                </w:tcPr>
                <w:p w14:paraId="0CD1D840">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排放浓度（mg/m</w:t>
                  </w:r>
                  <w:r>
                    <w:rPr>
                      <w:rFonts w:hint="default" w:ascii="Times New Roman" w:hAnsi="Times New Roman" w:cs="Times New Roman"/>
                      <w:spacing w:val="-4"/>
                      <w:sz w:val="21"/>
                      <w:szCs w:val="21"/>
                      <w:vertAlign w:val="superscript"/>
                      <w:lang w:val="en-US" w:eastAsia="zh-CN"/>
                    </w:rPr>
                    <w:t>3）</w:t>
                  </w:r>
                </w:p>
              </w:tc>
            </w:tr>
            <w:tr w14:paraId="07F7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restart"/>
                  <w:vAlign w:val="center"/>
                </w:tcPr>
                <w:p w14:paraId="5FB8CC05">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有组织</w:t>
                  </w:r>
                </w:p>
              </w:tc>
              <w:tc>
                <w:tcPr>
                  <w:tcW w:w="707" w:type="dxa"/>
                  <w:shd w:val="clear" w:color="auto" w:fill="auto"/>
                  <w:vAlign w:val="center"/>
                </w:tcPr>
                <w:p w14:paraId="5F9C3331">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highlight w:val="yellow"/>
                      <w:lang w:val="en-US" w:eastAsia="zh-CN"/>
                    </w:rPr>
                    <w:t>分解</w:t>
                  </w:r>
                </w:p>
              </w:tc>
              <w:tc>
                <w:tcPr>
                  <w:tcW w:w="786" w:type="dxa"/>
                  <w:vAlign w:val="center"/>
                </w:tcPr>
                <w:p w14:paraId="7D017F7C">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DA001</w:t>
                  </w:r>
                </w:p>
              </w:tc>
              <w:tc>
                <w:tcPr>
                  <w:tcW w:w="668" w:type="dxa"/>
                  <w:vMerge w:val="restart"/>
                  <w:vAlign w:val="center"/>
                </w:tcPr>
                <w:p w14:paraId="7EE2749E">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颗粒物</w:t>
                  </w:r>
                </w:p>
              </w:tc>
              <w:tc>
                <w:tcPr>
                  <w:tcW w:w="663" w:type="dxa"/>
                  <w:vAlign w:val="center"/>
                </w:tcPr>
                <w:p w14:paraId="0C5D7040">
                  <w:pPr>
                    <w:pStyle w:val="47"/>
                    <w:tabs>
                      <w:tab w:val="left" w:pos="420"/>
                    </w:tabs>
                    <w:spacing w:line="240" w:lineRule="auto"/>
                    <w:jc w:val="left"/>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16</w:t>
                  </w:r>
                </w:p>
              </w:tc>
              <w:tc>
                <w:tcPr>
                  <w:tcW w:w="1016" w:type="dxa"/>
                  <w:vMerge w:val="restart"/>
                  <w:vAlign w:val="center"/>
                </w:tcPr>
                <w:p w14:paraId="769CCCF0">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集气罩+脉冲式除尘器+15米排气筒</w:t>
                  </w:r>
                </w:p>
              </w:tc>
              <w:tc>
                <w:tcPr>
                  <w:tcW w:w="627" w:type="dxa"/>
                  <w:shd w:val="clear" w:color="auto" w:fill="auto"/>
                  <w:vAlign w:val="center"/>
                </w:tcPr>
                <w:p w14:paraId="16E3E53E">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90%</w:t>
                  </w:r>
                </w:p>
              </w:tc>
              <w:tc>
                <w:tcPr>
                  <w:tcW w:w="587" w:type="dxa"/>
                  <w:shd w:val="clear" w:color="auto" w:fill="auto"/>
                  <w:vAlign w:val="center"/>
                </w:tcPr>
                <w:p w14:paraId="509F1C2C">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99%</w:t>
                  </w:r>
                </w:p>
              </w:tc>
              <w:tc>
                <w:tcPr>
                  <w:tcW w:w="820" w:type="dxa"/>
                  <w:shd w:val="clear" w:color="auto" w:fill="auto"/>
                  <w:vAlign w:val="center"/>
                </w:tcPr>
                <w:p w14:paraId="34A0EE88">
                  <w:pPr>
                    <w:pStyle w:val="47"/>
                    <w:spacing w:line="240" w:lineRule="auto"/>
                    <w:ind w:firstLine="0" w:firstLineChars="0"/>
                    <w:jc w:val="center"/>
                    <w:rPr>
                      <w:rFonts w:hint="default" w:ascii="Times New Roman" w:hAnsi="Times New Roman" w:eastAsia="宋体" w:cs="Times New Roman"/>
                      <w:b w:val="0"/>
                      <w:bCs/>
                      <w:color w:val="auto"/>
                      <w:spacing w:val="5"/>
                      <w:kern w:val="0"/>
                      <w:sz w:val="21"/>
                      <w:szCs w:val="21"/>
                      <w:highlight w:val="none"/>
                      <w:lang w:val="en-US" w:eastAsia="zh-CN" w:bidi="ar-SA"/>
                    </w:rPr>
                  </w:pPr>
                  <w:r>
                    <w:rPr>
                      <w:rFonts w:hint="default" w:ascii="Times New Roman" w:hAnsi="Times New Roman" w:cs="Times New Roman"/>
                      <w:b w:val="0"/>
                      <w:bCs/>
                      <w:color w:val="auto"/>
                      <w:spacing w:val="5"/>
                      <w:kern w:val="0"/>
                      <w:sz w:val="21"/>
                      <w:szCs w:val="21"/>
                      <w:highlight w:val="none"/>
                      <w:lang w:val="en-US" w:eastAsia="zh-CN" w:bidi="ar-SA"/>
                    </w:rPr>
                    <w:t>0.144</w:t>
                  </w:r>
                </w:p>
              </w:tc>
              <w:tc>
                <w:tcPr>
                  <w:tcW w:w="888" w:type="dxa"/>
                  <w:shd w:val="clear" w:color="auto" w:fill="auto"/>
                  <w:vAlign w:val="center"/>
                </w:tcPr>
                <w:p w14:paraId="7FA484F8">
                  <w:pPr>
                    <w:pStyle w:val="47"/>
                    <w:spacing w:line="240" w:lineRule="auto"/>
                    <w:ind w:firstLine="0" w:firstLineChars="0"/>
                    <w:jc w:val="center"/>
                    <w:rPr>
                      <w:rFonts w:hint="default" w:ascii="Times New Roman" w:hAnsi="Times New Roman" w:eastAsia="宋体" w:cs="Times New Roman"/>
                      <w:b w:val="0"/>
                      <w:bCs/>
                      <w:color w:val="auto"/>
                      <w:spacing w:val="5"/>
                      <w:kern w:val="0"/>
                      <w:sz w:val="21"/>
                      <w:szCs w:val="21"/>
                      <w:highlight w:val="none"/>
                      <w:lang w:val="en-US" w:eastAsia="zh-CN" w:bidi="ar-SA"/>
                    </w:rPr>
                  </w:pPr>
                  <w:r>
                    <w:rPr>
                      <w:rFonts w:hint="default" w:ascii="Times New Roman" w:hAnsi="Times New Roman" w:cs="Times New Roman"/>
                      <w:b w:val="0"/>
                      <w:bCs/>
                      <w:color w:val="auto"/>
                      <w:spacing w:val="5"/>
                      <w:kern w:val="0"/>
                      <w:sz w:val="21"/>
                      <w:szCs w:val="21"/>
                      <w:highlight w:val="none"/>
                      <w:lang w:val="en-US" w:eastAsia="zh-CN" w:bidi="ar-SA"/>
                    </w:rPr>
                    <w:t>0.018</w:t>
                  </w:r>
                </w:p>
              </w:tc>
              <w:tc>
                <w:tcPr>
                  <w:tcW w:w="802" w:type="dxa"/>
                  <w:shd w:val="clear" w:color="auto" w:fill="auto"/>
                  <w:vAlign w:val="center"/>
                </w:tcPr>
                <w:p w14:paraId="7EA657F1">
                  <w:pPr>
                    <w:pStyle w:val="47"/>
                    <w:spacing w:line="240" w:lineRule="auto"/>
                    <w:ind w:firstLine="0" w:firstLineChars="0"/>
                    <w:jc w:val="center"/>
                    <w:rPr>
                      <w:rFonts w:hint="default" w:ascii="Times New Roman" w:hAnsi="Times New Roman" w:eastAsia="宋体" w:cs="Times New Roman"/>
                      <w:b w:val="0"/>
                      <w:bCs/>
                      <w:color w:val="auto"/>
                      <w:spacing w:val="5"/>
                      <w:kern w:val="0"/>
                      <w:sz w:val="21"/>
                      <w:szCs w:val="21"/>
                      <w:highlight w:val="none"/>
                      <w:lang w:val="en-US" w:eastAsia="zh-CN" w:bidi="ar-SA"/>
                    </w:rPr>
                  </w:pPr>
                  <w:r>
                    <w:rPr>
                      <w:rFonts w:hint="default" w:ascii="Times New Roman" w:hAnsi="Times New Roman" w:cs="Times New Roman"/>
                      <w:b w:val="0"/>
                      <w:bCs/>
                      <w:color w:val="auto"/>
                      <w:spacing w:val="5"/>
                      <w:kern w:val="0"/>
                      <w:sz w:val="21"/>
                      <w:szCs w:val="21"/>
                      <w:highlight w:val="none"/>
                      <w:lang w:val="en-US" w:eastAsia="zh-CN" w:bidi="ar-SA"/>
                    </w:rPr>
                    <w:t>2.25</w:t>
                  </w:r>
                </w:p>
              </w:tc>
            </w:tr>
            <w:tr w14:paraId="5B3D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continue"/>
                  <w:vAlign w:val="center"/>
                </w:tcPr>
                <w:p w14:paraId="4D9C1A3B">
                  <w:pPr>
                    <w:pStyle w:val="47"/>
                    <w:spacing w:line="240" w:lineRule="auto"/>
                    <w:jc w:val="center"/>
                    <w:rPr>
                      <w:rFonts w:hint="default" w:ascii="Times New Roman" w:hAnsi="Times New Roman" w:cs="Times New Roman"/>
                      <w:spacing w:val="-4"/>
                      <w:sz w:val="21"/>
                      <w:szCs w:val="21"/>
                      <w:lang w:val="en-US" w:eastAsia="zh-CN"/>
                    </w:rPr>
                  </w:pPr>
                </w:p>
              </w:tc>
              <w:tc>
                <w:tcPr>
                  <w:tcW w:w="707" w:type="dxa"/>
                  <w:shd w:val="clear" w:color="auto" w:fill="auto"/>
                  <w:vAlign w:val="center"/>
                </w:tcPr>
                <w:p w14:paraId="1727408A">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bCs/>
                      <w:spacing w:val="-4"/>
                      <w:kern w:val="0"/>
                      <w:sz w:val="21"/>
                      <w:szCs w:val="21"/>
                      <w:lang w:val="en-US" w:eastAsia="zh-CN" w:bidi="ar-SA"/>
                    </w:rPr>
                    <w:t>破碎</w:t>
                  </w:r>
                </w:p>
              </w:tc>
              <w:tc>
                <w:tcPr>
                  <w:tcW w:w="786" w:type="dxa"/>
                  <w:vAlign w:val="center"/>
                </w:tcPr>
                <w:p w14:paraId="406A0B35">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DA002</w:t>
                  </w:r>
                </w:p>
              </w:tc>
              <w:tc>
                <w:tcPr>
                  <w:tcW w:w="668" w:type="dxa"/>
                  <w:vMerge w:val="continue"/>
                  <w:vAlign w:val="center"/>
                </w:tcPr>
                <w:p w14:paraId="7BAEE476">
                  <w:pPr>
                    <w:pStyle w:val="47"/>
                    <w:spacing w:line="240" w:lineRule="auto"/>
                    <w:jc w:val="center"/>
                    <w:rPr>
                      <w:rFonts w:hint="default" w:ascii="Times New Roman" w:hAnsi="Times New Roman" w:cs="Times New Roman"/>
                      <w:spacing w:val="-4"/>
                      <w:sz w:val="21"/>
                      <w:szCs w:val="21"/>
                      <w:lang w:val="en-US" w:eastAsia="zh-CN"/>
                    </w:rPr>
                  </w:pPr>
                </w:p>
              </w:tc>
              <w:tc>
                <w:tcPr>
                  <w:tcW w:w="663" w:type="dxa"/>
                  <w:vAlign w:val="center"/>
                </w:tcPr>
                <w:p w14:paraId="7DD0F75D">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18</w:t>
                  </w:r>
                </w:p>
              </w:tc>
              <w:tc>
                <w:tcPr>
                  <w:tcW w:w="1016" w:type="dxa"/>
                  <w:vMerge w:val="continue"/>
                  <w:vAlign w:val="center"/>
                </w:tcPr>
                <w:p w14:paraId="06B4A77A">
                  <w:pPr>
                    <w:pStyle w:val="47"/>
                    <w:spacing w:line="240" w:lineRule="auto"/>
                    <w:jc w:val="center"/>
                    <w:rPr>
                      <w:rFonts w:hint="default" w:ascii="Times New Roman" w:hAnsi="Times New Roman" w:cs="Times New Roman"/>
                      <w:spacing w:val="-4"/>
                      <w:sz w:val="21"/>
                      <w:szCs w:val="21"/>
                      <w:lang w:val="en-US" w:eastAsia="zh-CN"/>
                    </w:rPr>
                  </w:pPr>
                </w:p>
              </w:tc>
              <w:tc>
                <w:tcPr>
                  <w:tcW w:w="627" w:type="dxa"/>
                  <w:vAlign w:val="center"/>
                </w:tcPr>
                <w:p w14:paraId="47597720">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90%</w:t>
                  </w:r>
                </w:p>
              </w:tc>
              <w:tc>
                <w:tcPr>
                  <w:tcW w:w="587" w:type="dxa"/>
                  <w:shd w:val="clear" w:color="auto" w:fill="auto"/>
                  <w:vAlign w:val="center"/>
                </w:tcPr>
                <w:p w14:paraId="03D25749">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99%</w:t>
                  </w:r>
                </w:p>
              </w:tc>
              <w:tc>
                <w:tcPr>
                  <w:tcW w:w="820" w:type="dxa"/>
                  <w:vAlign w:val="center"/>
                </w:tcPr>
                <w:p w14:paraId="53326C62">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0.18</w:t>
                  </w:r>
                </w:p>
              </w:tc>
              <w:tc>
                <w:tcPr>
                  <w:tcW w:w="888" w:type="dxa"/>
                  <w:vAlign w:val="center"/>
                </w:tcPr>
                <w:p w14:paraId="0BCFF103">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0.025</w:t>
                  </w:r>
                </w:p>
              </w:tc>
              <w:tc>
                <w:tcPr>
                  <w:tcW w:w="802" w:type="dxa"/>
                  <w:vAlign w:val="center"/>
                </w:tcPr>
                <w:p w14:paraId="3811BA8D">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w:t>
                  </w:r>
                </w:p>
              </w:tc>
            </w:tr>
            <w:tr w14:paraId="4C07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continue"/>
                  <w:vAlign w:val="center"/>
                </w:tcPr>
                <w:p w14:paraId="1CBE8ACE">
                  <w:pPr>
                    <w:pStyle w:val="47"/>
                    <w:spacing w:line="240" w:lineRule="auto"/>
                    <w:jc w:val="center"/>
                    <w:rPr>
                      <w:rFonts w:hint="default" w:ascii="Times New Roman" w:hAnsi="Times New Roman" w:cs="Times New Roman"/>
                      <w:spacing w:val="-4"/>
                      <w:sz w:val="21"/>
                      <w:szCs w:val="21"/>
                      <w:lang w:val="en-US" w:eastAsia="zh-CN"/>
                    </w:rPr>
                  </w:pPr>
                </w:p>
              </w:tc>
              <w:tc>
                <w:tcPr>
                  <w:tcW w:w="707" w:type="dxa"/>
                  <w:vMerge w:val="restart"/>
                  <w:shd w:val="clear" w:color="auto" w:fill="auto"/>
                  <w:vAlign w:val="center"/>
                </w:tcPr>
                <w:p w14:paraId="13BE2491">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干燥、包装</w:t>
                  </w:r>
                </w:p>
              </w:tc>
              <w:tc>
                <w:tcPr>
                  <w:tcW w:w="786" w:type="dxa"/>
                  <w:vMerge w:val="restart"/>
                  <w:shd w:val="clear" w:color="auto" w:fill="auto"/>
                  <w:vAlign w:val="center"/>
                </w:tcPr>
                <w:p w14:paraId="3D3E1437">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DA003</w:t>
                  </w:r>
                </w:p>
              </w:tc>
              <w:tc>
                <w:tcPr>
                  <w:tcW w:w="668" w:type="dxa"/>
                  <w:vMerge w:val="continue"/>
                  <w:vAlign w:val="center"/>
                </w:tcPr>
                <w:p w14:paraId="2B5F1AFB">
                  <w:pPr>
                    <w:pStyle w:val="47"/>
                    <w:spacing w:line="240" w:lineRule="auto"/>
                    <w:jc w:val="center"/>
                    <w:rPr>
                      <w:rFonts w:hint="default" w:ascii="Times New Roman" w:hAnsi="Times New Roman" w:cs="Times New Roman"/>
                      <w:spacing w:val="-4"/>
                      <w:sz w:val="21"/>
                      <w:szCs w:val="21"/>
                      <w:lang w:val="en-US" w:eastAsia="zh-CN"/>
                    </w:rPr>
                  </w:pPr>
                </w:p>
              </w:tc>
              <w:tc>
                <w:tcPr>
                  <w:tcW w:w="663" w:type="dxa"/>
                  <w:vAlign w:val="center"/>
                </w:tcPr>
                <w:p w14:paraId="51053EFA">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2.349</w:t>
                  </w:r>
                </w:p>
              </w:tc>
              <w:tc>
                <w:tcPr>
                  <w:tcW w:w="1016" w:type="dxa"/>
                  <w:vMerge w:val="continue"/>
                  <w:vAlign w:val="center"/>
                </w:tcPr>
                <w:p w14:paraId="32C29C95">
                  <w:pPr>
                    <w:pStyle w:val="47"/>
                    <w:spacing w:line="240" w:lineRule="auto"/>
                    <w:jc w:val="center"/>
                    <w:rPr>
                      <w:rFonts w:hint="default" w:ascii="Times New Roman" w:hAnsi="Times New Roman" w:cs="Times New Roman"/>
                      <w:spacing w:val="-4"/>
                      <w:sz w:val="21"/>
                      <w:szCs w:val="21"/>
                      <w:lang w:val="en-US" w:eastAsia="zh-CN"/>
                    </w:rPr>
                  </w:pPr>
                </w:p>
              </w:tc>
              <w:tc>
                <w:tcPr>
                  <w:tcW w:w="627" w:type="dxa"/>
                  <w:vAlign w:val="center"/>
                </w:tcPr>
                <w:p w14:paraId="21FA9D3F">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90%</w:t>
                  </w:r>
                </w:p>
              </w:tc>
              <w:tc>
                <w:tcPr>
                  <w:tcW w:w="587" w:type="dxa"/>
                  <w:shd w:val="clear" w:color="auto" w:fill="auto"/>
                  <w:vAlign w:val="center"/>
                </w:tcPr>
                <w:p w14:paraId="651D34EC">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99%</w:t>
                  </w:r>
                </w:p>
              </w:tc>
              <w:tc>
                <w:tcPr>
                  <w:tcW w:w="820" w:type="dxa"/>
                  <w:vAlign w:val="center"/>
                </w:tcPr>
                <w:p w14:paraId="5ACC3177">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0.024</w:t>
                  </w:r>
                </w:p>
              </w:tc>
              <w:tc>
                <w:tcPr>
                  <w:tcW w:w="888" w:type="dxa"/>
                  <w:vAlign w:val="center"/>
                </w:tcPr>
                <w:p w14:paraId="44860925">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0.003</w:t>
                  </w:r>
                </w:p>
              </w:tc>
              <w:tc>
                <w:tcPr>
                  <w:tcW w:w="802" w:type="dxa"/>
                  <w:vAlign w:val="center"/>
                </w:tcPr>
                <w:p w14:paraId="150F0ECF">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0.65</w:t>
                  </w:r>
                </w:p>
              </w:tc>
            </w:tr>
            <w:tr w14:paraId="7AD9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continue"/>
                  <w:vAlign w:val="center"/>
                </w:tcPr>
                <w:p w14:paraId="2FCF7711">
                  <w:pPr>
                    <w:pStyle w:val="47"/>
                    <w:spacing w:line="240" w:lineRule="auto"/>
                    <w:jc w:val="center"/>
                    <w:rPr>
                      <w:rFonts w:hint="default" w:ascii="Times New Roman" w:hAnsi="Times New Roman" w:cs="Times New Roman"/>
                      <w:spacing w:val="-4"/>
                      <w:sz w:val="21"/>
                      <w:szCs w:val="21"/>
                      <w:lang w:val="en-US" w:eastAsia="zh-CN"/>
                    </w:rPr>
                  </w:pPr>
                </w:p>
              </w:tc>
              <w:tc>
                <w:tcPr>
                  <w:tcW w:w="707" w:type="dxa"/>
                  <w:vMerge w:val="continue"/>
                  <w:shd w:val="clear" w:color="auto" w:fill="auto"/>
                  <w:vAlign w:val="center"/>
                </w:tcPr>
                <w:p w14:paraId="3FE005E2">
                  <w:pPr>
                    <w:pStyle w:val="47"/>
                    <w:spacing w:line="240" w:lineRule="auto"/>
                    <w:ind w:firstLine="0" w:firstLineChars="0"/>
                    <w:jc w:val="center"/>
                    <w:rPr>
                      <w:rFonts w:hint="default" w:ascii="Times New Roman" w:hAnsi="Times New Roman" w:cs="Times New Roman"/>
                      <w:spacing w:val="-4"/>
                      <w:sz w:val="21"/>
                      <w:szCs w:val="21"/>
                      <w:lang w:val="en-US" w:eastAsia="zh-CN"/>
                    </w:rPr>
                  </w:pPr>
                </w:p>
              </w:tc>
              <w:tc>
                <w:tcPr>
                  <w:tcW w:w="786" w:type="dxa"/>
                  <w:vMerge w:val="continue"/>
                  <w:shd w:val="clear" w:color="auto" w:fill="auto"/>
                  <w:vAlign w:val="center"/>
                </w:tcPr>
                <w:p w14:paraId="1BB63BB2">
                  <w:pPr>
                    <w:pStyle w:val="47"/>
                    <w:spacing w:line="240" w:lineRule="auto"/>
                    <w:ind w:firstLine="0" w:firstLineChars="0"/>
                    <w:jc w:val="center"/>
                    <w:rPr>
                      <w:rFonts w:hint="default" w:ascii="Times New Roman" w:hAnsi="Times New Roman" w:cs="Times New Roman"/>
                      <w:spacing w:val="-4"/>
                      <w:sz w:val="21"/>
                      <w:szCs w:val="21"/>
                      <w:lang w:val="en-US" w:eastAsia="zh-CN"/>
                    </w:rPr>
                  </w:pPr>
                </w:p>
              </w:tc>
              <w:tc>
                <w:tcPr>
                  <w:tcW w:w="668" w:type="dxa"/>
                  <w:vAlign w:val="center"/>
                </w:tcPr>
                <w:p w14:paraId="676F89DC">
                  <w:pPr>
                    <w:pStyle w:val="47"/>
                    <w:spacing w:line="240" w:lineRule="auto"/>
                    <w:jc w:val="center"/>
                    <w:rPr>
                      <w:rFonts w:hint="default" w:ascii="Times New Roman" w:hAnsi="Times New Roman" w:cs="Times New Roman"/>
                      <w:spacing w:val="-4"/>
                      <w:sz w:val="21"/>
                      <w:szCs w:val="21"/>
                      <w:highlight w:val="yellow"/>
                      <w:lang w:val="en-US" w:eastAsia="zh-CN"/>
                    </w:rPr>
                  </w:pPr>
                  <w:r>
                    <w:rPr>
                      <w:rFonts w:hint="default" w:ascii="Times New Roman" w:hAnsi="Times New Roman" w:cs="Times New Roman"/>
                      <w:spacing w:val="-4"/>
                      <w:sz w:val="21"/>
                      <w:szCs w:val="21"/>
                      <w:highlight w:val="yellow"/>
                      <w:lang w:val="en-US" w:eastAsia="zh-CN"/>
                    </w:rPr>
                    <w:t>氨气</w:t>
                  </w:r>
                </w:p>
              </w:tc>
              <w:tc>
                <w:tcPr>
                  <w:tcW w:w="663" w:type="dxa"/>
                  <w:vAlign w:val="center"/>
                </w:tcPr>
                <w:p w14:paraId="5D6EB579">
                  <w:pPr>
                    <w:pStyle w:val="47"/>
                    <w:spacing w:line="240" w:lineRule="auto"/>
                    <w:jc w:val="center"/>
                    <w:rPr>
                      <w:rFonts w:hint="default" w:ascii="Times New Roman" w:hAnsi="Times New Roman" w:cs="Times New Roman"/>
                      <w:spacing w:val="-4"/>
                      <w:sz w:val="21"/>
                      <w:szCs w:val="21"/>
                      <w:highlight w:val="yellow"/>
                      <w:lang w:val="en-US" w:eastAsia="zh-CN"/>
                    </w:rPr>
                  </w:pPr>
                  <w:r>
                    <w:rPr>
                      <w:rFonts w:hint="default" w:ascii="Times New Roman" w:hAnsi="Times New Roman" w:cs="Times New Roman"/>
                      <w:spacing w:val="-4"/>
                      <w:sz w:val="21"/>
                      <w:szCs w:val="21"/>
                      <w:highlight w:val="yellow"/>
                      <w:lang w:val="en-US" w:eastAsia="zh-CN"/>
                    </w:rPr>
                    <w:t>0.091</w:t>
                  </w:r>
                </w:p>
              </w:tc>
              <w:tc>
                <w:tcPr>
                  <w:tcW w:w="1016" w:type="dxa"/>
                  <w:vAlign w:val="center"/>
                </w:tcPr>
                <w:p w14:paraId="1FB79BA1">
                  <w:pPr>
                    <w:pStyle w:val="47"/>
                    <w:spacing w:line="240" w:lineRule="auto"/>
                    <w:jc w:val="center"/>
                    <w:rPr>
                      <w:rFonts w:hint="default" w:ascii="Times New Roman" w:hAnsi="Times New Roman" w:cs="Times New Roman"/>
                      <w:spacing w:val="-4"/>
                      <w:sz w:val="21"/>
                      <w:szCs w:val="21"/>
                      <w:highlight w:val="yellow"/>
                      <w:lang w:val="en-US" w:eastAsia="zh-CN"/>
                    </w:rPr>
                  </w:pPr>
                  <w:r>
                    <w:rPr>
                      <w:rFonts w:hint="default" w:ascii="Times New Roman" w:hAnsi="Times New Roman" w:cs="Times New Roman"/>
                      <w:spacing w:val="-4"/>
                      <w:sz w:val="21"/>
                      <w:szCs w:val="21"/>
                      <w:highlight w:val="yellow"/>
                      <w:lang w:val="en-US" w:eastAsia="zh-CN"/>
                    </w:rPr>
                    <w:t>集气罩+15米排气筒</w:t>
                  </w:r>
                </w:p>
              </w:tc>
              <w:tc>
                <w:tcPr>
                  <w:tcW w:w="627" w:type="dxa"/>
                  <w:vAlign w:val="center"/>
                </w:tcPr>
                <w:p w14:paraId="4A19DCE5">
                  <w:pPr>
                    <w:pStyle w:val="47"/>
                    <w:spacing w:line="240" w:lineRule="auto"/>
                    <w:ind w:firstLine="0" w:firstLineChars="0"/>
                    <w:jc w:val="center"/>
                    <w:rPr>
                      <w:rFonts w:hint="default" w:ascii="Times New Roman" w:hAnsi="Times New Roman" w:cs="Times New Roman"/>
                      <w:spacing w:val="-4"/>
                      <w:sz w:val="21"/>
                      <w:szCs w:val="21"/>
                      <w:highlight w:val="yellow"/>
                      <w:lang w:val="en-US" w:eastAsia="zh-CN"/>
                    </w:rPr>
                  </w:pPr>
                  <w:r>
                    <w:rPr>
                      <w:rFonts w:hint="default" w:ascii="Times New Roman" w:hAnsi="Times New Roman" w:cs="Times New Roman"/>
                      <w:spacing w:val="-4"/>
                      <w:sz w:val="21"/>
                      <w:szCs w:val="21"/>
                      <w:highlight w:val="yellow"/>
                      <w:lang w:val="en-US" w:eastAsia="zh-CN"/>
                    </w:rPr>
                    <w:t>90%</w:t>
                  </w:r>
                </w:p>
              </w:tc>
              <w:tc>
                <w:tcPr>
                  <w:tcW w:w="587" w:type="dxa"/>
                  <w:shd w:val="clear" w:color="auto" w:fill="auto"/>
                  <w:vAlign w:val="center"/>
                </w:tcPr>
                <w:p w14:paraId="79F6CBC3">
                  <w:pPr>
                    <w:pStyle w:val="47"/>
                    <w:spacing w:line="240" w:lineRule="auto"/>
                    <w:ind w:firstLine="0" w:firstLineChars="0"/>
                    <w:jc w:val="center"/>
                    <w:rPr>
                      <w:rFonts w:hint="default" w:ascii="Times New Roman" w:hAnsi="Times New Roman" w:cs="Times New Roman"/>
                      <w:spacing w:val="-4"/>
                      <w:sz w:val="21"/>
                      <w:szCs w:val="21"/>
                      <w:highlight w:val="yellow"/>
                      <w:lang w:val="en-US" w:eastAsia="zh-CN"/>
                    </w:rPr>
                  </w:pPr>
                  <w:r>
                    <w:rPr>
                      <w:rFonts w:hint="default" w:ascii="Times New Roman" w:hAnsi="Times New Roman" w:cs="Times New Roman"/>
                      <w:spacing w:val="-4"/>
                      <w:sz w:val="21"/>
                      <w:szCs w:val="21"/>
                      <w:highlight w:val="yellow"/>
                      <w:lang w:val="en-US" w:eastAsia="zh-CN"/>
                    </w:rPr>
                    <w:t>0</w:t>
                  </w:r>
                </w:p>
              </w:tc>
              <w:tc>
                <w:tcPr>
                  <w:tcW w:w="820" w:type="dxa"/>
                  <w:vAlign w:val="center"/>
                </w:tcPr>
                <w:p w14:paraId="45789DE7">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spacing w:val="-4"/>
                      <w:sz w:val="21"/>
                      <w:szCs w:val="21"/>
                      <w:lang w:val="en-US" w:eastAsia="zh-CN"/>
                    </w:rPr>
                    <w:t>0.091</w:t>
                  </w:r>
                </w:p>
              </w:tc>
              <w:tc>
                <w:tcPr>
                  <w:tcW w:w="888" w:type="dxa"/>
                  <w:vAlign w:val="center"/>
                </w:tcPr>
                <w:p w14:paraId="4A5BAB36">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0.013</w:t>
                  </w:r>
                </w:p>
              </w:tc>
              <w:tc>
                <w:tcPr>
                  <w:tcW w:w="802" w:type="dxa"/>
                  <w:vAlign w:val="center"/>
                </w:tcPr>
                <w:p w14:paraId="0BEAF15E">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2.52</w:t>
                  </w:r>
                </w:p>
              </w:tc>
            </w:tr>
            <w:tr w14:paraId="3D19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vMerge w:val="continue"/>
                  <w:vAlign w:val="center"/>
                </w:tcPr>
                <w:p w14:paraId="148D1CF6">
                  <w:pPr>
                    <w:pStyle w:val="47"/>
                    <w:spacing w:line="240" w:lineRule="auto"/>
                    <w:jc w:val="center"/>
                    <w:rPr>
                      <w:rFonts w:hint="default" w:ascii="Times New Roman" w:hAnsi="Times New Roman" w:cs="Times New Roman"/>
                      <w:spacing w:val="-4"/>
                      <w:sz w:val="21"/>
                      <w:szCs w:val="21"/>
                      <w:lang w:val="en-US" w:eastAsia="zh-CN"/>
                    </w:rPr>
                  </w:pPr>
                </w:p>
              </w:tc>
              <w:tc>
                <w:tcPr>
                  <w:tcW w:w="707" w:type="dxa"/>
                  <w:vAlign w:val="center"/>
                </w:tcPr>
                <w:p w14:paraId="78D04AA3">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食堂油烟</w:t>
                  </w:r>
                </w:p>
              </w:tc>
              <w:tc>
                <w:tcPr>
                  <w:tcW w:w="786" w:type="dxa"/>
                  <w:vAlign w:val="center"/>
                </w:tcPr>
                <w:p w14:paraId="77FA0580">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w:t>
                  </w:r>
                </w:p>
              </w:tc>
              <w:tc>
                <w:tcPr>
                  <w:tcW w:w="668" w:type="dxa"/>
                  <w:shd w:val="clear" w:color="auto" w:fill="auto"/>
                  <w:vAlign w:val="center"/>
                </w:tcPr>
                <w:p w14:paraId="496200F6">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油烟</w:t>
                  </w:r>
                </w:p>
              </w:tc>
              <w:tc>
                <w:tcPr>
                  <w:tcW w:w="663" w:type="dxa"/>
                  <w:vAlign w:val="center"/>
                </w:tcPr>
                <w:p w14:paraId="01EE5AD8">
                  <w:pPr>
                    <w:pStyle w:val="47"/>
                    <w:spacing w:line="240" w:lineRule="auto"/>
                    <w:jc w:val="center"/>
                    <w:rPr>
                      <w:rFonts w:hint="default" w:ascii="Times New Roman" w:hAnsi="Times New Roman" w:cs="Times New Roman"/>
                      <w:spacing w:val="-2"/>
                      <w:sz w:val="21"/>
                      <w:szCs w:val="21"/>
                      <w:highlight w:val="none"/>
                      <w:lang w:val="en-US" w:eastAsia="zh-CN"/>
                    </w:rPr>
                  </w:pPr>
                  <w:r>
                    <w:rPr>
                      <w:rFonts w:hint="default" w:ascii="Times New Roman" w:hAnsi="Times New Roman" w:cs="Times New Roman"/>
                      <w:spacing w:val="-2"/>
                      <w:sz w:val="21"/>
                      <w:szCs w:val="21"/>
                      <w:highlight w:val="none"/>
                      <w:lang w:val="en-US" w:eastAsia="zh-CN"/>
                    </w:rPr>
                    <w:t>0.013</w:t>
                  </w:r>
                </w:p>
              </w:tc>
              <w:tc>
                <w:tcPr>
                  <w:tcW w:w="1016" w:type="dxa"/>
                  <w:vAlign w:val="center"/>
                </w:tcPr>
                <w:p w14:paraId="6CDA4308">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color w:val="auto"/>
                      <w:sz w:val="21"/>
                      <w:szCs w:val="21"/>
                      <w:highlight w:val="none"/>
                    </w:rPr>
                    <w:t>油烟净化器</w:t>
                  </w:r>
                </w:p>
              </w:tc>
              <w:tc>
                <w:tcPr>
                  <w:tcW w:w="627" w:type="dxa"/>
                  <w:shd w:val="clear" w:color="auto" w:fill="auto"/>
                  <w:vAlign w:val="center"/>
                </w:tcPr>
                <w:p w14:paraId="52941043">
                  <w:pPr>
                    <w:pStyle w:val="47"/>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87" w:type="dxa"/>
                  <w:shd w:val="clear" w:color="auto" w:fill="auto"/>
                  <w:vAlign w:val="center"/>
                </w:tcPr>
                <w:p w14:paraId="681533B8">
                  <w:pPr>
                    <w:pStyle w:val="47"/>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75%</w:t>
                  </w:r>
                </w:p>
              </w:tc>
              <w:tc>
                <w:tcPr>
                  <w:tcW w:w="820" w:type="dxa"/>
                  <w:vAlign w:val="center"/>
                </w:tcPr>
                <w:p w14:paraId="5264FB2B">
                  <w:pPr>
                    <w:pStyle w:val="47"/>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0.003</w:t>
                  </w:r>
                </w:p>
              </w:tc>
              <w:tc>
                <w:tcPr>
                  <w:tcW w:w="888" w:type="dxa"/>
                  <w:vAlign w:val="center"/>
                </w:tcPr>
                <w:p w14:paraId="586D8229">
                  <w:pPr>
                    <w:pStyle w:val="47"/>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0.003</w:t>
                  </w:r>
                </w:p>
              </w:tc>
              <w:tc>
                <w:tcPr>
                  <w:tcW w:w="802" w:type="dxa"/>
                  <w:vAlign w:val="center"/>
                </w:tcPr>
                <w:p w14:paraId="7E6EE862">
                  <w:pPr>
                    <w:pStyle w:val="47"/>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0.33</w:t>
                  </w:r>
                </w:p>
              </w:tc>
            </w:tr>
            <w:tr w14:paraId="7EDE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restart"/>
                  <w:vAlign w:val="center"/>
                </w:tcPr>
                <w:p w14:paraId="297ACE32">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无组织</w:t>
                  </w:r>
                </w:p>
              </w:tc>
              <w:tc>
                <w:tcPr>
                  <w:tcW w:w="707" w:type="dxa"/>
                  <w:vMerge w:val="restart"/>
                  <w:vAlign w:val="center"/>
                </w:tcPr>
                <w:p w14:paraId="10B26911">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厂区</w:t>
                  </w:r>
                </w:p>
              </w:tc>
              <w:tc>
                <w:tcPr>
                  <w:tcW w:w="786" w:type="dxa"/>
                  <w:vMerge w:val="restart"/>
                  <w:vAlign w:val="center"/>
                </w:tcPr>
                <w:p w14:paraId="7D8734C6">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w:t>
                  </w:r>
                </w:p>
              </w:tc>
              <w:tc>
                <w:tcPr>
                  <w:tcW w:w="668" w:type="dxa"/>
                  <w:shd w:val="clear" w:color="auto" w:fill="auto"/>
                  <w:vAlign w:val="center"/>
                </w:tcPr>
                <w:p w14:paraId="1C533DE3">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颗粒物</w:t>
                  </w:r>
                </w:p>
              </w:tc>
              <w:tc>
                <w:tcPr>
                  <w:tcW w:w="663" w:type="dxa"/>
                  <w:vAlign w:val="center"/>
                </w:tcPr>
                <w:p w14:paraId="185E158D">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3.81</w:t>
                  </w:r>
                </w:p>
              </w:tc>
              <w:tc>
                <w:tcPr>
                  <w:tcW w:w="1016" w:type="dxa"/>
                  <w:vMerge w:val="restart"/>
                  <w:vAlign w:val="center"/>
                </w:tcPr>
                <w:p w14:paraId="46EE6203">
                  <w:pPr>
                    <w:pStyle w:val="47"/>
                    <w:spacing w:line="240" w:lineRule="auto"/>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车间密闭、洒水降尘、绿化</w:t>
                  </w:r>
                </w:p>
              </w:tc>
              <w:tc>
                <w:tcPr>
                  <w:tcW w:w="627" w:type="dxa"/>
                  <w:vAlign w:val="center"/>
                </w:tcPr>
                <w:p w14:paraId="332A122A">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w:t>
                  </w:r>
                </w:p>
              </w:tc>
              <w:tc>
                <w:tcPr>
                  <w:tcW w:w="587" w:type="dxa"/>
                  <w:vAlign w:val="center"/>
                </w:tcPr>
                <w:p w14:paraId="4A597D56">
                  <w:pPr>
                    <w:pStyle w:val="47"/>
                    <w:spacing w:line="240" w:lineRule="auto"/>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80%</w:t>
                  </w:r>
                </w:p>
              </w:tc>
              <w:tc>
                <w:tcPr>
                  <w:tcW w:w="820" w:type="dxa"/>
                  <w:shd w:val="clear" w:color="auto" w:fill="auto"/>
                  <w:vAlign w:val="center"/>
                </w:tcPr>
                <w:p w14:paraId="0F662AD3">
                  <w:pPr>
                    <w:pStyle w:val="47"/>
                    <w:spacing w:line="240" w:lineRule="auto"/>
                    <w:ind w:firstLine="0" w:firstLineChars="0"/>
                    <w:jc w:val="center"/>
                    <w:rPr>
                      <w:rFonts w:hint="default" w:ascii="Times New Roman" w:hAnsi="Times New Roman" w:eastAsia="宋体" w:cs="Times New Roman"/>
                      <w:bCs/>
                      <w:spacing w:val="-4"/>
                      <w:kern w:val="0"/>
                      <w:sz w:val="21"/>
                      <w:szCs w:val="21"/>
                      <w:highlight w:val="none"/>
                      <w:lang w:val="en-US" w:eastAsia="zh-CN" w:bidi="ar-SA"/>
                    </w:rPr>
                  </w:pPr>
                  <w:r>
                    <w:rPr>
                      <w:rFonts w:hint="default" w:ascii="Times New Roman" w:hAnsi="Times New Roman" w:cs="Times New Roman"/>
                      <w:bCs/>
                      <w:spacing w:val="-4"/>
                      <w:kern w:val="0"/>
                      <w:sz w:val="21"/>
                      <w:szCs w:val="21"/>
                      <w:highlight w:val="none"/>
                      <w:lang w:val="en-US" w:eastAsia="zh-CN" w:bidi="ar-SA"/>
                    </w:rPr>
                    <w:t>0.772</w:t>
                  </w:r>
                </w:p>
              </w:tc>
              <w:tc>
                <w:tcPr>
                  <w:tcW w:w="888" w:type="dxa"/>
                  <w:vAlign w:val="center"/>
                </w:tcPr>
                <w:p w14:paraId="768A8D84">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0.107</w:t>
                  </w:r>
                </w:p>
              </w:tc>
              <w:tc>
                <w:tcPr>
                  <w:tcW w:w="802" w:type="dxa"/>
                  <w:vAlign w:val="center"/>
                </w:tcPr>
                <w:p w14:paraId="2F6EB75C">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r>
            <w:tr w14:paraId="1266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dxa"/>
                  <w:vMerge w:val="continue"/>
                  <w:vAlign w:val="center"/>
                </w:tcPr>
                <w:p w14:paraId="1296FDCE">
                  <w:pPr>
                    <w:pStyle w:val="47"/>
                    <w:spacing w:line="240" w:lineRule="auto"/>
                    <w:jc w:val="center"/>
                    <w:rPr>
                      <w:rFonts w:hint="default" w:ascii="Times New Roman" w:hAnsi="Times New Roman" w:cs="Times New Roman"/>
                      <w:spacing w:val="-4"/>
                      <w:sz w:val="21"/>
                      <w:szCs w:val="21"/>
                      <w:lang w:val="en-US" w:eastAsia="zh-CN"/>
                    </w:rPr>
                  </w:pPr>
                </w:p>
              </w:tc>
              <w:tc>
                <w:tcPr>
                  <w:tcW w:w="707" w:type="dxa"/>
                  <w:vMerge w:val="continue"/>
                  <w:vAlign w:val="center"/>
                </w:tcPr>
                <w:p w14:paraId="6A2203D7">
                  <w:pPr>
                    <w:pStyle w:val="47"/>
                    <w:spacing w:line="240" w:lineRule="auto"/>
                    <w:jc w:val="center"/>
                    <w:rPr>
                      <w:rFonts w:hint="default" w:ascii="Times New Roman" w:hAnsi="Times New Roman" w:cs="Times New Roman"/>
                      <w:spacing w:val="-4"/>
                      <w:sz w:val="21"/>
                      <w:szCs w:val="21"/>
                      <w:lang w:val="en-US" w:eastAsia="zh-CN"/>
                    </w:rPr>
                  </w:pPr>
                </w:p>
              </w:tc>
              <w:tc>
                <w:tcPr>
                  <w:tcW w:w="786" w:type="dxa"/>
                  <w:vMerge w:val="continue"/>
                  <w:vAlign w:val="center"/>
                </w:tcPr>
                <w:p w14:paraId="03D64636">
                  <w:pPr>
                    <w:pStyle w:val="47"/>
                    <w:spacing w:line="240" w:lineRule="auto"/>
                    <w:jc w:val="center"/>
                    <w:rPr>
                      <w:rFonts w:hint="default" w:ascii="Times New Roman" w:hAnsi="Times New Roman" w:cs="Times New Roman"/>
                      <w:spacing w:val="-4"/>
                      <w:sz w:val="21"/>
                      <w:szCs w:val="21"/>
                      <w:lang w:val="en-US" w:eastAsia="zh-CN"/>
                    </w:rPr>
                  </w:pPr>
                </w:p>
              </w:tc>
              <w:tc>
                <w:tcPr>
                  <w:tcW w:w="668" w:type="dxa"/>
                  <w:shd w:val="clear" w:color="auto" w:fill="auto"/>
                  <w:vAlign w:val="center"/>
                </w:tcPr>
                <w:p w14:paraId="46F34EF2">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氨气</w:t>
                  </w:r>
                </w:p>
              </w:tc>
              <w:tc>
                <w:tcPr>
                  <w:tcW w:w="663" w:type="dxa"/>
                  <w:vAlign w:val="center"/>
                </w:tcPr>
                <w:p w14:paraId="02A6E20F">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eastAsia" w:ascii="Times New Roman" w:hAnsi="Times New Roman" w:cs="Times New Roman"/>
                      <w:spacing w:val="-4"/>
                      <w:sz w:val="21"/>
                      <w:szCs w:val="21"/>
                      <w:highlight w:val="none"/>
                      <w:lang w:val="en-US" w:eastAsia="zh-CN"/>
                    </w:rPr>
                    <w:t>0.991</w:t>
                  </w:r>
                </w:p>
              </w:tc>
              <w:tc>
                <w:tcPr>
                  <w:tcW w:w="1016" w:type="dxa"/>
                  <w:vMerge w:val="continue"/>
                  <w:vAlign w:val="center"/>
                </w:tcPr>
                <w:p w14:paraId="6ABC0C7E">
                  <w:pPr>
                    <w:pStyle w:val="47"/>
                    <w:spacing w:line="240" w:lineRule="auto"/>
                    <w:jc w:val="center"/>
                    <w:rPr>
                      <w:rFonts w:hint="default" w:ascii="Times New Roman" w:hAnsi="Times New Roman" w:cs="Times New Roman"/>
                      <w:spacing w:val="-4"/>
                      <w:sz w:val="21"/>
                      <w:szCs w:val="21"/>
                      <w:highlight w:val="none"/>
                      <w:lang w:val="en-US" w:eastAsia="zh-CN"/>
                    </w:rPr>
                  </w:pPr>
                </w:p>
              </w:tc>
              <w:tc>
                <w:tcPr>
                  <w:tcW w:w="627" w:type="dxa"/>
                  <w:vAlign w:val="center"/>
                </w:tcPr>
                <w:p w14:paraId="1D2F8021">
                  <w:pPr>
                    <w:pStyle w:val="47"/>
                    <w:spacing w:line="240" w:lineRule="auto"/>
                    <w:ind w:firstLine="0" w:firstLineChars="0"/>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w:t>
                  </w:r>
                </w:p>
              </w:tc>
              <w:tc>
                <w:tcPr>
                  <w:tcW w:w="587" w:type="dxa"/>
                  <w:vAlign w:val="center"/>
                </w:tcPr>
                <w:p w14:paraId="65C15C31">
                  <w:pPr>
                    <w:pStyle w:val="47"/>
                    <w:spacing w:line="240" w:lineRule="auto"/>
                    <w:jc w:val="center"/>
                    <w:rPr>
                      <w:rFonts w:hint="default" w:ascii="Times New Roman" w:hAnsi="Times New Roman" w:cs="Times New Roman"/>
                      <w:spacing w:val="-4"/>
                      <w:sz w:val="21"/>
                      <w:szCs w:val="21"/>
                      <w:highlight w:val="none"/>
                      <w:lang w:val="en-US" w:eastAsia="zh-CN"/>
                    </w:rPr>
                  </w:pPr>
                  <w:r>
                    <w:rPr>
                      <w:rFonts w:hint="default" w:ascii="Times New Roman" w:hAnsi="Times New Roman" w:cs="Times New Roman"/>
                      <w:spacing w:val="-4"/>
                      <w:sz w:val="21"/>
                      <w:szCs w:val="21"/>
                      <w:highlight w:val="none"/>
                      <w:lang w:val="en-US" w:eastAsia="zh-CN"/>
                    </w:rPr>
                    <w:t>80%</w:t>
                  </w:r>
                </w:p>
              </w:tc>
              <w:tc>
                <w:tcPr>
                  <w:tcW w:w="820" w:type="dxa"/>
                  <w:shd w:val="clear" w:color="auto" w:fill="auto"/>
                  <w:vAlign w:val="center"/>
                </w:tcPr>
                <w:p w14:paraId="0B666E82">
                  <w:pPr>
                    <w:pStyle w:val="47"/>
                    <w:spacing w:line="240" w:lineRule="auto"/>
                    <w:ind w:firstLine="0" w:firstLineChars="0"/>
                    <w:jc w:val="center"/>
                    <w:rPr>
                      <w:rFonts w:hint="default" w:ascii="Times New Roman" w:hAnsi="Times New Roman" w:cs="Times New Roman"/>
                      <w:bCs/>
                      <w:spacing w:val="-4"/>
                      <w:kern w:val="0"/>
                      <w:sz w:val="21"/>
                      <w:szCs w:val="21"/>
                      <w:highlight w:val="none"/>
                      <w:lang w:val="en-US" w:eastAsia="zh-CN" w:bidi="ar-SA"/>
                    </w:rPr>
                  </w:pPr>
                  <w:r>
                    <w:rPr>
                      <w:rFonts w:hint="eastAsia" w:ascii="Times New Roman" w:hAnsi="Times New Roman" w:cs="Times New Roman"/>
                      <w:bCs/>
                      <w:spacing w:val="-4"/>
                      <w:kern w:val="0"/>
                      <w:sz w:val="21"/>
                      <w:szCs w:val="21"/>
                      <w:highlight w:val="none"/>
                      <w:lang w:val="en-US" w:eastAsia="zh-CN" w:bidi="ar-SA"/>
                    </w:rPr>
                    <w:t>0.198</w:t>
                  </w:r>
                </w:p>
              </w:tc>
              <w:tc>
                <w:tcPr>
                  <w:tcW w:w="888" w:type="dxa"/>
                  <w:vAlign w:val="center"/>
                </w:tcPr>
                <w:p w14:paraId="03B7E615">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0.028</w:t>
                  </w:r>
                </w:p>
              </w:tc>
              <w:tc>
                <w:tcPr>
                  <w:tcW w:w="802" w:type="dxa"/>
                  <w:vAlign w:val="center"/>
                </w:tcPr>
                <w:p w14:paraId="386532C3">
                  <w:pPr>
                    <w:pStyle w:val="47"/>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r>
          </w:tbl>
          <w:p w14:paraId="20160472">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表4-2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排放口基本情况表</w:t>
            </w:r>
          </w:p>
          <w:tbl>
            <w:tblPr>
              <w:tblStyle w:val="30"/>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33"/>
              <w:gridCol w:w="883"/>
              <w:gridCol w:w="1150"/>
              <w:gridCol w:w="834"/>
              <w:gridCol w:w="850"/>
              <w:gridCol w:w="1033"/>
              <w:gridCol w:w="1713"/>
            </w:tblGrid>
            <w:tr w14:paraId="4366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14:paraId="276EC803">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排放口编号</w:t>
                  </w:r>
                </w:p>
              </w:tc>
              <w:tc>
                <w:tcPr>
                  <w:tcW w:w="1133" w:type="dxa"/>
                  <w:shd w:val="clear" w:color="auto" w:fill="auto"/>
                  <w:vAlign w:val="center"/>
                </w:tcPr>
                <w:p w14:paraId="58F7BABA">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排放口名称</w:t>
                  </w:r>
                </w:p>
              </w:tc>
              <w:tc>
                <w:tcPr>
                  <w:tcW w:w="883" w:type="dxa"/>
                  <w:shd w:val="clear" w:color="auto" w:fill="auto"/>
                  <w:vAlign w:val="center"/>
                </w:tcPr>
                <w:p w14:paraId="57021494">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排放口类型</w:t>
                  </w:r>
                </w:p>
              </w:tc>
              <w:tc>
                <w:tcPr>
                  <w:tcW w:w="1150" w:type="dxa"/>
                  <w:shd w:val="clear" w:color="auto" w:fill="auto"/>
                  <w:vAlign w:val="center"/>
                </w:tcPr>
                <w:p w14:paraId="39BD4A93">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污染物名称</w:t>
                  </w:r>
                </w:p>
              </w:tc>
              <w:tc>
                <w:tcPr>
                  <w:tcW w:w="834" w:type="dxa"/>
                  <w:shd w:val="clear" w:color="auto" w:fill="auto"/>
                  <w:vAlign w:val="center"/>
                </w:tcPr>
                <w:p w14:paraId="1FC0C5C9">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排气筒高度（m）</w:t>
                  </w:r>
                </w:p>
              </w:tc>
              <w:tc>
                <w:tcPr>
                  <w:tcW w:w="850" w:type="dxa"/>
                  <w:shd w:val="clear" w:color="auto" w:fill="auto"/>
                  <w:vAlign w:val="center"/>
                </w:tcPr>
                <w:p w14:paraId="6642AE29">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排气筒内径（m）</w:t>
                  </w:r>
                </w:p>
              </w:tc>
              <w:tc>
                <w:tcPr>
                  <w:tcW w:w="1033" w:type="dxa"/>
                  <w:shd w:val="clear" w:color="auto" w:fill="auto"/>
                  <w:vAlign w:val="center"/>
                </w:tcPr>
                <w:p w14:paraId="23566954">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排风口温度（°C）</w:t>
                  </w:r>
                </w:p>
              </w:tc>
              <w:tc>
                <w:tcPr>
                  <w:tcW w:w="1713" w:type="dxa"/>
                  <w:shd w:val="clear" w:color="auto" w:fill="auto"/>
                  <w:vAlign w:val="center"/>
                </w:tcPr>
                <w:p w14:paraId="34D515AC">
                  <w:pPr>
                    <w:pStyle w:val="47"/>
                    <w:spacing w:line="240" w:lineRule="auto"/>
                    <w:jc w:val="center"/>
                    <w:rPr>
                      <w:rFonts w:hint="default" w:ascii="Times New Roman" w:hAnsi="Times New Roman" w:cs="Times New Roman"/>
                      <w:spacing w:val="-4"/>
                      <w:sz w:val="21"/>
                      <w:szCs w:val="21"/>
                      <w:lang w:val="en-US" w:eastAsia="en-US"/>
                    </w:rPr>
                  </w:pPr>
                  <w:r>
                    <w:rPr>
                      <w:rFonts w:hint="default" w:ascii="Times New Roman" w:hAnsi="Times New Roman" w:cs="Times New Roman"/>
                      <w:spacing w:val="-4"/>
                      <w:sz w:val="21"/>
                      <w:szCs w:val="21"/>
                      <w:lang w:val="en-US" w:eastAsia="zh-CN"/>
                    </w:rPr>
                    <w:t>坐标</w:t>
                  </w:r>
                </w:p>
              </w:tc>
            </w:tr>
            <w:tr w14:paraId="2530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shd w:val="clear" w:color="auto" w:fill="auto"/>
                  <w:vAlign w:val="center"/>
                </w:tcPr>
                <w:p w14:paraId="6B338985">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DA001</w:t>
                  </w:r>
                </w:p>
              </w:tc>
              <w:tc>
                <w:tcPr>
                  <w:tcW w:w="1133" w:type="dxa"/>
                  <w:shd w:val="clear" w:color="auto" w:fill="auto"/>
                  <w:vAlign w:val="center"/>
                </w:tcPr>
                <w:p w14:paraId="591D448E">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highlight w:val="yellow"/>
                      <w:lang w:val="en-US" w:eastAsia="zh-CN"/>
                    </w:rPr>
                    <w:t>分解排放口</w:t>
                  </w:r>
                </w:p>
              </w:tc>
              <w:tc>
                <w:tcPr>
                  <w:tcW w:w="883" w:type="dxa"/>
                  <w:shd w:val="clear" w:color="auto" w:fill="auto"/>
                  <w:vAlign w:val="center"/>
                </w:tcPr>
                <w:p w14:paraId="31A179A2">
                  <w:pPr>
                    <w:pStyle w:val="47"/>
                    <w:spacing w:line="240" w:lineRule="auto"/>
                    <w:jc w:val="center"/>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重点</w:t>
                  </w:r>
                </w:p>
              </w:tc>
              <w:tc>
                <w:tcPr>
                  <w:tcW w:w="1150" w:type="dxa"/>
                  <w:shd w:val="clear" w:color="auto" w:fill="auto"/>
                  <w:vAlign w:val="center"/>
                </w:tcPr>
                <w:p w14:paraId="4A274BC6">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颗粒物</w:t>
                  </w:r>
                </w:p>
              </w:tc>
              <w:tc>
                <w:tcPr>
                  <w:tcW w:w="834" w:type="dxa"/>
                  <w:shd w:val="clear" w:color="auto" w:fill="auto"/>
                  <w:vAlign w:val="center"/>
                </w:tcPr>
                <w:p w14:paraId="7DA3AAC8">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15</w:t>
                  </w:r>
                </w:p>
              </w:tc>
              <w:tc>
                <w:tcPr>
                  <w:tcW w:w="850" w:type="dxa"/>
                  <w:shd w:val="clear" w:color="auto" w:fill="auto"/>
                  <w:vAlign w:val="center"/>
                </w:tcPr>
                <w:p w14:paraId="58722D51">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0.3</w:t>
                  </w:r>
                </w:p>
              </w:tc>
              <w:tc>
                <w:tcPr>
                  <w:tcW w:w="1033" w:type="dxa"/>
                  <w:shd w:val="clear" w:color="auto" w:fill="auto"/>
                  <w:vAlign w:val="center"/>
                </w:tcPr>
                <w:p w14:paraId="4FC8AE6D">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常温</w:t>
                  </w:r>
                </w:p>
              </w:tc>
              <w:tc>
                <w:tcPr>
                  <w:tcW w:w="1713" w:type="dxa"/>
                  <w:shd w:val="clear" w:color="auto" w:fill="auto"/>
                  <w:vAlign w:val="center"/>
                </w:tcPr>
                <w:p w14:paraId="2B81C49E">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E</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85°54′55.124″</w:t>
                  </w:r>
                </w:p>
                <w:p w14:paraId="7AADFFF4">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N</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41°51′19.205″</w:t>
                  </w:r>
                </w:p>
              </w:tc>
            </w:tr>
            <w:tr w14:paraId="0231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shd w:val="clear" w:color="auto" w:fill="auto"/>
                  <w:vAlign w:val="center"/>
                </w:tcPr>
                <w:p w14:paraId="68860E31">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DA002</w:t>
                  </w:r>
                </w:p>
              </w:tc>
              <w:tc>
                <w:tcPr>
                  <w:tcW w:w="1133" w:type="dxa"/>
                  <w:shd w:val="clear" w:color="auto" w:fill="auto"/>
                  <w:vAlign w:val="center"/>
                </w:tcPr>
                <w:p w14:paraId="2A4DBBDD">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破碎排放口</w:t>
                  </w:r>
                </w:p>
              </w:tc>
              <w:tc>
                <w:tcPr>
                  <w:tcW w:w="883" w:type="dxa"/>
                  <w:shd w:val="clear" w:color="auto" w:fill="auto"/>
                  <w:vAlign w:val="center"/>
                </w:tcPr>
                <w:p w14:paraId="45CFA6ED">
                  <w:pPr>
                    <w:pStyle w:val="47"/>
                    <w:spacing w:line="240" w:lineRule="auto"/>
                    <w:jc w:val="center"/>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重点</w:t>
                  </w:r>
                </w:p>
              </w:tc>
              <w:tc>
                <w:tcPr>
                  <w:tcW w:w="1150" w:type="dxa"/>
                  <w:shd w:val="clear" w:color="auto" w:fill="auto"/>
                  <w:vAlign w:val="center"/>
                </w:tcPr>
                <w:p w14:paraId="2B08D303">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颗粒物</w:t>
                  </w:r>
                </w:p>
              </w:tc>
              <w:tc>
                <w:tcPr>
                  <w:tcW w:w="834" w:type="dxa"/>
                  <w:shd w:val="clear" w:color="auto" w:fill="auto"/>
                  <w:vAlign w:val="center"/>
                </w:tcPr>
                <w:p w14:paraId="38B16383">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15</w:t>
                  </w:r>
                </w:p>
              </w:tc>
              <w:tc>
                <w:tcPr>
                  <w:tcW w:w="850" w:type="dxa"/>
                  <w:shd w:val="clear" w:color="auto" w:fill="auto"/>
                  <w:vAlign w:val="center"/>
                </w:tcPr>
                <w:p w14:paraId="7231141B">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0.3</w:t>
                  </w:r>
                </w:p>
              </w:tc>
              <w:tc>
                <w:tcPr>
                  <w:tcW w:w="1033" w:type="dxa"/>
                  <w:shd w:val="clear" w:color="auto" w:fill="auto"/>
                  <w:vAlign w:val="center"/>
                </w:tcPr>
                <w:p w14:paraId="3F73BE50">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常温</w:t>
                  </w:r>
                </w:p>
              </w:tc>
              <w:tc>
                <w:tcPr>
                  <w:tcW w:w="1713" w:type="dxa"/>
                  <w:shd w:val="clear" w:color="auto" w:fill="auto"/>
                  <w:vAlign w:val="center"/>
                </w:tcPr>
                <w:p w14:paraId="6BCCA213">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E</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85°54′54.586″</w:t>
                  </w:r>
                </w:p>
                <w:p w14:paraId="7D62BF9F">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N</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41°51′19.142″</w:t>
                  </w:r>
                </w:p>
              </w:tc>
            </w:tr>
            <w:tr w14:paraId="7EBF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restart"/>
                  <w:shd w:val="clear" w:color="auto" w:fill="auto"/>
                  <w:vAlign w:val="center"/>
                </w:tcPr>
                <w:p w14:paraId="017EB485">
                  <w:pPr>
                    <w:pStyle w:val="47"/>
                    <w:spacing w:line="240" w:lineRule="auto"/>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DA003</w:t>
                  </w:r>
                </w:p>
              </w:tc>
              <w:tc>
                <w:tcPr>
                  <w:tcW w:w="1133" w:type="dxa"/>
                  <w:vMerge w:val="restart"/>
                  <w:shd w:val="clear" w:color="auto" w:fill="auto"/>
                  <w:vAlign w:val="center"/>
                </w:tcPr>
                <w:p w14:paraId="4A943A45">
                  <w:pPr>
                    <w:pStyle w:val="47"/>
                    <w:spacing w:line="240" w:lineRule="auto"/>
                    <w:jc w:val="center"/>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干燥、</w:t>
                  </w:r>
                  <w:r>
                    <w:rPr>
                      <w:rFonts w:hint="default" w:ascii="Times New Roman" w:hAnsi="Times New Roman" w:cs="Times New Roman"/>
                      <w:spacing w:val="-4"/>
                      <w:sz w:val="21"/>
                      <w:szCs w:val="21"/>
                      <w:lang w:val="en-US" w:eastAsia="zh-CN"/>
                    </w:rPr>
                    <w:t>包装排放口</w:t>
                  </w:r>
                </w:p>
              </w:tc>
              <w:tc>
                <w:tcPr>
                  <w:tcW w:w="883" w:type="dxa"/>
                  <w:shd w:val="clear" w:color="auto" w:fill="auto"/>
                  <w:vAlign w:val="center"/>
                </w:tcPr>
                <w:p w14:paraId="2ABEA6E4">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eastAsia" w:ascii="Times New Roman" w:hAnsi="Times New Roman" w:cs="Times New Roman"/>
                      <w:spacing w:val="-4"/>
                      <w:sz w:val="21"/>
                      <w:szCs w:val="21"/>
                      <w:lang w:val="en-US" w:eastAsia="zh-CN"/>
                    </w:rPr>
                    <w:t>重点</w:t>
                  </w:r>
                </w:p>
              </w:tc>
              <w:tc>
                <w:tcPr>
                  <w:tcW w:w="1150" w:type="dxa"/>
                  <w:shd w:val="clear" w:color="auto" w:fill="auto"/>
                  <w:vAlign w:val="center"/>
                </w:tcPr>
                <w:p w14:paraId="16D6837C">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颗粒物</w:t>
                  </w:r>
                </w:p>
              </w:tc>
              <w:tc>
                <w:tcPr>
                  <w:tcW w:w="834" w:type="dxa"/>
                  <w:vMerge w:val="restart"/>
                  <w:shd w:val="clear" w:color="auto" w:fill="auto"/>
                  <w:vAlign w:val="center"/>
                </w:tcPr>
                <w:p w14:paraId="1B731956">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15</w:t>
                  </w:r>
                </w:p>
              </w:tc>
              <w:tc>
                <w:tcPr>
                  <w:tcW w:w="850" w:type="dxa"/>
                  <w:vMerge w:val="restart"/>
                  <w:shd w:val="clear" w:color="auto" w:fill="auto"/>
                  <w:vAlign w:val="center"/>
                </w:tcPr>
                <w:p w14:paraId="4A9D83A2">
                  <w:pPr>
                    <w:pStyle w:val="47"/>
                    <w:spacing w:line="240" w:lineRule="auto"/>
                    <w:ind w:firstLine="0" w:firstLineChars="0"/>
                    <w:jc w:val="center"/>
                    <w:rPr>
                      <w:rFonts w:hint="default" w:ascii="Times New Roman" w:hAnsi="Times New Roman" w:eastAsia="宋体" w:cs="Times New Roman"/>
                      <w:bCs/>
                      <w:spacing w:val="-4"/>
                      <w:kern w:val="0"/>
                      <w:sz w:val="21"/>
                      <w:szCs w:val="21"/>
                      <w:lang w:val="en-US" w:eastAsia="zh-CN" w:bidi="ar-SA"/>
                    </w:rPr>
                  </w:pPr>
                  <w:r>
                    <w:rPr>
                      <w:rFonts w:hint="default" w:ascii="Times New Roman" w:hAnsi="Times New Roman" w:cs="Times New Roman"/>
                      <w:spacing w:val="-4"/>
                      <w:sz w:val="21"/>
                      <w:szCs w:val="21"/>
                      <w:lang w:val="en-US" w:eastAsia="zh-CN"/>
                    </w:rPr>
                    <w:t>0.3</w:t>
                  </w:r>
                </w:p>
              </w:tc>
              <w:tc>
                <w:tcPr>
                  <w:tcW w:w="1033" w:type="dxa"/>
                  <w:vMerge w:val="restart"/>
                  <w:shd w:val="clear" w:color="auto" w:fill="auto"/>
                  <w:vAlign w:val="center"/>
                </w:tcPr>
                <w:p w14:paraId="20F6CB76">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default" w:ascii="Times New Roman" w:hAnsi="Times New Roman" w:cs="Times New Roman"/>
                      <w:spacing w:val="-4"/>
                      <w:sz w:val="21"/>
                      <w:szCs w:val="21"/>
                      <w:lang w:val="en-US" w:eastAsia="zh-CN"/>
                    </w:rPr>
                    <w:t>常温</w:t>
                  </w:r>
                </w:p>
              </w:tc>
              <w:tc>
                <w:tcPr>
                  <w:tcW w:w="1713" w:type="dxa"/>
                  <w:vMerge w:val="restart"/>
                  <w:shd w:val="clear" w:color="auto" w:fill="auto"/>
                  <w:vAlign w:val="center"/>
                </w:tcPr>
                <w:p w14:paraId="0FC059AE">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E</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85°54′54.</w:t>
                  </w:r>
                  <w:r>
                    <w:rPr>
                      <w:rFonts w:hint="default" w:ascii="Times New Roman" w:hAnsi="Times New Roman" w:cs="Times New Roman"/>
                      <w:spacing w:val="-4"/>
                      <w:sz w:val="21"/>
                      <w:szCs w:val="21"/>
                      <w:lang w:val="en-US" w:eastAsia="zh-CN"/>
                    </w:rPr>
                    <w:t>142</w:t>
                  </w:r>
                  <w:r>
                    <w:rPr>
                      <w:rFonts w:hint="default" w:ascii="Times New Roman" w:hAnsi="Times New Roman" w:eastAsia="宋体" w:cs="Times New Roman"/>
                      <w:spacing w:val="-4"/>
                      <w:sz w:val="21"/>
                      <w:szCs w:val="21"/>
                      <w:lang w:val="en-US" w:eastAsia="zh-CN"/>
                    </w:rPr>
                    <w:t>″</w:t>
                  </w:r>
                </w:p>
                <w:p w14:paraId="46328B28">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N</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41°51′19.</w:t>
                  </w:r>
                  <w:r>
                    <w:rPr>
                      <w:rFonts w:hint="default" w:ascii="Times New Roman" w:hAnsi="Times New Roman" w:cs="Times New Roman"/>
                      <w:spacing w:val="-4"/>
                      <w:sz w:val="21"/>
                      <w:szCs w:val="21"/>
                      <w:lang w:val="en-US" w:eastAsia="zh-CN"/>
                    </w:rPr>
                    <w:t>025</w:t>
                  </w:r>
                  <w:r>
                    <w:rPr>
                      <w:rFonts w:hint="default" w:ascii="Times New Roman" w:hAnsi="Times New Roman" w:eastAsia="宋体" w:cs="Times New Roman"/>
                      <w:spacing w:val="-4"/>
                      <w:sz w:val="21"/>
                      <w:szCs w:val="21"/>
                      <w:lang w:val="en-US" w:eastAsia="zh-CN"/>
                    </w:rPr>
                    <w:t>″</w:t>
                  </w:r>
                </w:p>
              </w:tc>
            </w:tr>
            <w:tr w14:paraId="2D6D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shd w:val="clear" w:color="auto" w:fill="auto"/>
                  <w:vAlign w:val="center"/>
                </w:tcPr>
                <w:p w14:paraId="25D58FCE">
                  <w:pPr>
                    <w:pStyle w:val="47"/>
                    <w:spacing w:line="240" w:lineRule="auto"/>
                    <w:jc w:val="center"/>
                    <w:rPr>
                      <w:rFonts w:hint="default" w:ascii="Times New Roman" w:hAnsi="Times New Roman" w:cs="Times New Roman"/>
                      <w:spacing w:val="-4"/>
                      <w:sz w:val="21"/>
                      <w:szCs w:val="21"/>
                      <w:lang w:val="en-US" w:eastAsia="zh-CN"/>
                    </w:rPr>
                  </w:pPr>
                </w:p>
              </w:tc>
              <w:tc>
                <w:tcPr>
                  <w:tcW w:w="1133" w:type="dxa"/>
                  <w:vMerge w:val="continue"/>
                  <w:shd w:val="clear" w:color="auto" w:fill="auto"/>
                  <w:vAlign w:val="center"/>
                </w:tcPr>
                <w:p w14:paraId="73859EC0">
                  <w:pPr>
                    <w:pStyle w:val="47"/>
                    <w:spacing w:line="240" w:lineRule="auto"/>
                    <w:jc w:val="center"/>
                    <w:rPr>
                      <w:rFonts w:hint="default" w:ascii="Times New Roman" w:hAnsi="Times New Roman" w:cs="Times New Roman"/>
                      <w:spacing w:val="-4"/>
                      <w:sz w:val="21"/>
                      <w:szCs w:val="21"/>
                      <w:lang w:val="en-US" w:eastAsia="zh-CN"/>
                    </w:rPr>
                  </w:pPr>
                </w:p>
              </w:tc>
              <w:tc>
                <w:tcPr>
                  <w:tcW w:w="883" w:type="dxa"/>
                  <w:shd w:val="clear" w:color="auto" w:fill="auto"/>
                  <w:vAlign w:val="center"/>
                </w:tcPr>
                <w:p w14:paraId="3589C517">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重点</w:t>
                  </w:r>
                </w:p>
              </w:tc>
              <w:tc>
                <w:tcPr>
                  <w:tcW w:w="1150" w:type="dxa"/>
                  <w:shd w:val="clear" w:color="auto" w:fill="auto"/>
                  <w:vAlign w:val="center"/>
                </w:tcPr>
                <w:p w14:paraId="6D218E20">
                  <w:pPr>
                    <w:pStyle w:val="47"/>
                    <w:spacing w:line="240" w:lineRule="auto"/>
                    <w:ind w:firstLine="0" w:firstLineChars="0"/>
                    <w:jc w:val="center"/>
                    <w:rPr>
                      <w:rFonts w:hint="default" w:ascii="Times New Roman" w:hAnsi="Times New Roman" w:cs="Times New Roman"/>
                      <w:spacing w:val="-4"/>
                      <w:sz w:val="21"/>
                      <w:szCs w:val="21"/>
                      <w:lang w:val="en-US" w:eastAsia="zh-CN"/>
                    </w:rPr>
                  </w:pPr>
                  <w:r>
                    <w:rPr>
                      <w:rFonts w:hint="eastAsia" w:ascii="Times New Roman" w:hAnsi="Times New Roman" w:cs="Times New Roman"/>
                      <w:spacing w:val="-4"/>
                      <w:sz w:val="21"/>
                      <w:szCs w:val="21"/>
                      <w:lang w:val="en-US" w:eastAsia="zh-CN"/>
                    </w:rPr>
                    <w:t>氨气</w:t>
                  </w:r>
                </w:p>
              </w:tc>
              <w:tc>
                <w:tcPr>
                  <w:tcW w:w="834" w:type="dxa"/>
                  <w:vMerge w:val="continue"/>
                  <w:shd w:val="clear" w:color="auto" w:fill="auto"/>
                  <w:vAlign w:val="center"/>
                </w:tcPr>
                <w:p w14:paraId="07744B05">
                  <w:pPr>
                    <w:pStyle w:val="47"/>
                    <w:spacing w:line="240" w:lineRule="auto"/>
                    <w:ind w:firstLine="0" w:firstLineChars="0"/>
                    <w:jc w:val="center"/>
                    <w:rPr>
                      <w:rFonts w:hint="default" w:ascii="Times New Roman" w:hAnsi="Times New Roman" w:cs="Times New Roman"/>
                      <w:spacing w:val="-4"/>
                      <w:sz w:val="21"/>
                      <w:szCs w:val="21"/>
                      <w:lang w:val="en-US" w:eastAsia="zh-CN"/>
                    </w:rPr>
                  </w:pPr>
                </w:p>
              </w:tc>
              <w:tc>
                <w:tcPr>
                  <w:tcW w:w="850" w:type="dxa"/>
                  <w:vMerge w:val="continue"/>
                  <w:shd w:val="clear" w:color="auto" w:fill="auto"/>
                  <w:vAlign w:val="center"/>
                </w:tcPr>
                <w:p w14:paraId="1EAA5996">
                  <w:pPr>
                    <w:pStyle w:val="47"/>
                    <w:spacing w:line="240" w:lineRule="auto"/>
                    <w:ind w:firstLine="0" w:firstLineChars="0"/>
                    <w:jc w:val="center"/>
                    <w:rPr>
                      <w:rFonts w:hint="default" w:ascii="Times New Roman" w:hAnsi="Times New Roman" w:cs="Times New Roman"/>
                      <w:spacing w:val="-4"/>
                      <w:sz w:val="21"/>
                      <w:szCs w:val="21"/>
                      <w:lang w:val="en-US" w:eastAsia="zh-CN"/>
                    </w:rPr>
                  </w:pPr>
                </w:p>
              </w:tc>
              <w:tc>
                <w:tcPr>
                  <w:tcW w:w="1033" w:type="dxa"/>
                  <w:vMerge w:val="continue"/>
                  <w:shd w:val="clear" w:color="auto" w:fill="auto"/>
                  <w:vAlign w:val="center"/>
                </w:tcPr>
                <w:p w14:paraId="077D58A7">
                  <w:pPr>
                    <w:pStyle w:val="47"/>
                    <w:spacing w:line="240" w:lineRule="auto"/>
                    <w:ind w:firstLine="0" w:firstLineChars="0"/>
                    <w:jc w:val="center"/>
                    <w:rPr>
                      <w:rFonts w:hint="default" w:ascii="Times New Roman" w:hAnsi="Times New Roman" w:cs="Times New Roman"/>
                      <w:spacing w:val="-4"/>
                      <w:sz w:val="21"/>
                      <w:szCs w:val="21"/>
                      <w:lang w:val="en-US" w:eastAsia="zh-CN"/>
                    </w:rPr>
                  </w:pPr>
                </w:p>
              </w:tc>
              <w:tc>
                <w:tcPr>
                  <w:tcW w:w="1713" w:type="dxa"/>
                  <w:vMerge w:val="continue"/>
                  <w:shd w:val="clear" w:color="auto" w:fill="auto"/>
                  <w:vAlign w:val="center"/>
                </w:tcPr>
                <w:p w14:paraId="7FF957B1">
                  <w:pPr>
                    <w:pStyle w:val="47"/>
                    <w:spacing w:line="240" w:lineRule="auto"/>
                    <w:jc w:val="center"/>
                    <w:rPr>
                      <w:rFonts w:hint="default" w:ascii="Times New Roman" w:hAnsi="Times New Roman" w:eastAsia="宋体" w:cs="Times New Roman"/>
                      <w:spacing w:val="-4"/>
                      <w:sz w:val="21"/>
                      <w:szCs w:val="21"/>
                      <w:lang w:val="en-US" w:eastAsia="zh-CN"/>
                    </w:rPr>
                  </w:pPr>
                </w:p>
              </w:tc>
            </w:tr>
          </w:tbl>
          <w:p w14:paraId="0974DC66">
            <w:pPr>
              <w:pStyle w:val="44"/>
              <w:tabs>
                <w:tab w:val="left" w:pos="2760"/>
              </w:tabs>
              <w:spacing w:line="372"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2.3</w:t>
            </w:r>
            <w:r>
              <w:rPr>
                <w:rFonts w:hint="default" w:ascii="Times New Roman" w:hAnsi="Times New Roman" w:cs="Times New Roman"/>
                <w:b/>
                <w:bCs/>
                <w:color w:val="auto"/>
                <w:highlight w:val="none"/>
                <w:lang w:val="en-US" w:eastAsia="zh-CN"/>
              </w:rPr>
              <w:t>废气达标分析</w:t>
            </w:r>
          </w:p>
          <w:p w14:paraId="276B54C6">
            <w:p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（1）有组织</w:t>
            </w:r>
          </w:p>
          <w:p w14:paraId="5D20961C">
            <w:pPr>
              <w:pStyle w:val="44"/>
              <w:tabs>
                <w:tab w:val="left" w:pos="2760"/>
              </w:tabs>
              <w:spacing w:line="372"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由上可知，项目</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rPr>
              <w:t>颗粒物</w:t>
            </w:r>
            <w:r>
              <w:rPr>
                <w:rFonts w:hint="default" w:ascii="Times New Roman" w:hAnsi="Times New Roman" w:eastAsia="宋体" w:cs="Times New Roman"/>
                <w:sz w:val="24"/>
                <w:szCs w:val="24"/>
                <w:highlight w:val="none"/>
              </w:rPr>
              <w:t>执行《大气污染物综合排放标准》（GB16297-1996）中表2二级标准颗粒物15m排气筒最高允许排放浓度及排放速率，即颗粒物≤</w:t>
            </w:r>
            <w:r>
              <w:rPr>
                <w:rFonts w:hint="eastAsia"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20mg/m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，排放速率≤3.5kg/h</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yellow"/>
                <w:lang w:val="en-US" w:eastAsia="zh-CN"/>
              </w:rPr>
              <w:t>本项目DA001排气筒颗粒物排放浓度为</w:t>
            </w:r>
            <w:r>
              <w:rPr>
                <w:rFonts w:hint="default" w:ascii="Times New Roman" w:hAnsi="Times New Roman" w:cs="Times New Roman"/>
                <w:b w:val="0"/>
                <w:bCs/>
                <w:color w:val="auto"/>
                <w:sz w:val="24"/>
                <w:szCs w:val="24"/>
                <w:highlight w:val="yellow"/>
                <w:lang w:val="en-US" w:eastAsia="zh-CN"/>
              </w:rPr>
              <w:t>113.9</w:t>
            </w:r>
            <w:r>
              <w:rPr>
                <w:rFonts w:hint="default" w:ascii="Times New Roman" w:hAnsi="Times New Roman" w:eastAsia="宋体" w:cs="Times New Roman"/>
                <w:sz w:val="24"/>
                <w:szCs w:val="24"/>
                <w:highlight w:val="yellow"/>
              </w:rPr>
              <w:t>mg/m</w:t>
            </w:r>
            <w:r>
              <w:rPr>
                <w:rFonts w:hint="default" w:ascii="Times New Roman" w:hAnsi="Times New Roman" w:eastAsia="宋体" w:cs="Times New Roman"/>
                <w:sz w:val="24"/>
                <w:szCs w:val="24"/>
                <w:highlight w:val="yellow"/>
                <w:vertAlign w:val="superscript"/>
              </w:rPr>
              <w:t>3</w:t>
            </w:r>
            <w:r>
              <w:rPr>
                <w:rFonts w:hint="default" w:ascii="Times New Roman" w:hAnsi="Times New Roman" w:eastAsia="宋体" w:cs="Times New Roman"/>
                <w:color w:val="auto"/>
                <w:sz w:val="24"/>
                <w:szCs w:val="24"/>
                <w:highlight w:val="yellow"/>
              </w:rPr>
              <w:t>、</w:t>
            </w:r>
            <w:r>
              <w:rPr>
                <w:rFonts w:hint="default" w:ascii="Times New Roman" w:hAnsi="Times New Roman" w:eastAsia="宋体" w:cs="Times New Roman"/>
                <w:sz w:val="24"/>
                <w:szCs w:val="24"/>
                <w:highlight w:val="yellow"/>
              </w:rPr>
              <w:t>排放速率</w:t>
            </w:r>
            <w:r>
              <w:rPr>
                <w:rFonts w:hint="default" w:ascii="Times New Roman" w:hAnsi="Times New Roman" w:eastAsia="宋体" w:cs="Times New Roman"/>
                <w:sz w:val="24"/>
                <w:szCs w:val="24"/>
                <w:highlight w:val="yellow"/>
                <w:lang w:val="en-US" w:eastAsia="zh-CN"/>
              </w:rPr>
              <w:t>为</w:t>
            </w:r>
            <w:r>
              <w:rPr>
                <w:rFonts w:hint="default" w:ascii="Times New Roman" w:hAnsi="Times New Roman" w:cs="Times New Roman"/>
                <w:spacing w:val="-4"/>
                <w:sz w:val="24"/>
                <w:szCs w:val="24"/>
                <w:highlight w:val="yellow"/>
                <w:lang w:val="en-US" w:eastAsia="zh-CN"/>
              </w:rPr>
              <w:t>0.57</w:t>
            </w:r>
            <w:r>
              <w:rPr>
                <w:rFonts w:hint="default" w:ascii="Times New Roman" w:hAnsi="Times New Roman" w:eastAsia="宋体" w:cs="Times New Roman"/>
                <w:sz w:val="24"/>
                <w:szCs w:val="24"/>
                <w:highlight w:val="yellow"/>
              </w:rPr>
              <w:t>kg/h</w:t>
            </w:r>
            <w:r>
              <w:rPr>
                <w:rFonts w:hint="default" w:ascii="Times New Roman" w:hAnsi="Times New Roman" w:eastAsia="宋体" w:cs="Times New Roman"/>
                <w:sz w:val="24"/>
                <w:szCs w:val="24"/>
                <w:highlight w:val="yellow"/>
                <w:lang w:eastAsia="zh-CN"/>
              </w:rPr>
              <w:t>；</w:t>
            </w:r>
            <w:r>
              <w:rPr>
                <w:rFonts w:hint="default" w:ascii="Times New Roman" w:hAnsi="Times New Roman" w:eastAsia="宋体" w:cs="Times New Roman"/>
                <w:sz w:val="24"/>
                <w:szCs w:val="24"/>
                <w:highlight w:val="yellow"/>
                <w:lang w:val="en-US" w:eastAsia="zh-CN"/>
              </w:rPr>
              <w:t>DA002排气筒颗粒物排放浓度为</w:t>
            </w:r>
            <w:r>
              <w:rPr>
                <w:rFonts w:hint="default" w:ascii="Times New Roman" w:hAnsi="Times New Roman" w:cs="Times New Roman"/>
                <w:b w:val="0"/>
                <w:bCs/>
                <w:color w:val="auto"/>
                <w:sz w:val="24"/>
                <w:szCs w:val="24"/>
                <w:highlight w:val="yellow"/>
                <w:lang w:val="en-US" w:eastAsia="zh-CN"/>
              </w:rPr>
              <w:t>5</w:t>
            </w:r>
            <w:r>
              <w:rPr>
                <w:rFonts w:hint="default" w:ascii="Times New Roman" w:hAnsi="Times New Roman" w:eastAsia="宋体" w:cs="Times New Roman"/>
                <w:sz w:val="24"/>
                <w:szCs w:val="24"/>
                <w:highlight w:val="yellow"/>
              </w:rPr>
              <w:t>mg/m</w:t>
            </w:r>
            <w:r>
              <w:rPr>
                <w:rFonts w:hint="default" w:ascii="Times New Roman" w:hAnsi="Times New Roman" w:eastAsia="宋体" w:cs="Times New Roman"/>
                <w:sz w:val="24"/>
                <w:szCs w:val="24"/>
                <w:highlight w:val="yellow"/>
                <w:vertAlign w:val="superscript"/>
              </w:rPr>
              <w:t>3</w:t>
            </w:r>
            <w:r>
              <w:rPr>
                <w:rFonts w:hint="default" w:ascii="Times New Roman" w:hAnsi="Times New Roman" w:eastAsia="宋体" w:cs="Times New Roman"/>
                <w:color w:val="auto"/>
                <w:sz w:val="24"/>
                <w:szCs w:val="24"/>
                <w:highlight w:val="yellow"/>
              </w:rPr>
              <w:t>、</w:t>
            </w:r>
            <w:r>
              <w:rPr>
                <w:rFonts w:hint="default" w:ascii="Times New Roman" w:hAnsi="Times New Roman" w:eastAsia="宋体" w:cs="Times New Roman"/>
                <w:sz w:val="24"/>
                <w:szCs w:val="24"/>
                <w:highlight w:val="yellow"/>
              </w:rPr>
              <w:t>排放速率</w:t>
            </w:r>
            <w:r>
              <w:rPr>
                <w:rFonts w:hint="default" w:ascii="Times New Roman" w:hAnsi="Times New Roman" w:eastAsia="宋体" w:cs="Times New Roman"/>
                <w:sz w:val="24"/>
                <w:szCs w:val="24"/>
                <w:highlight w:val="yellow"/>
                <w:lang w:val="en-US" w:eastAsia="zh-CN"/>
              </w:rPr>
              <w:t>为</w:t>
            </w:r>
            <w:r>
              <w:rPr>
                <w:rFonts w:hint="default" w:ascii="Times New Roman" w:hAnsi="Times New Roman" w:cs="Times New Roman"/>
                <w:spacing w:val="-4"/>
                <w:sz w:val="24"/>
                <w:szCs w:val="24"/>
                <w:highlight w:val="yellow"/>
                <w:lang w:val="en-US" w:eastAsia="zh-CN"/>
              </w:rPr>
              <w:t>0.025</w:t>
            </w:r>
            <w:r>
              <w:rPr>
                <w:rFonts w:hint="default" w:ascii="Times New Roman" w:hAnsi="Times New Roman" w:eastAsia="宋体" w:cs="Times New Roman"/>
                <w:sz w:val="24"/>
                <w:szCs w:val="24"/>
                <w:highlight w:val="yellow"/>
              </w:rPr>
              <w:t>kg/h</w:t>
            </w:r>
            <w:r>
              <w:rPr>
                <w:rFonts w:hint="default" w:ascii="Times New Roman" w:hAnsi="Times New Roman" w:cs="Times New Roman"/>
                <w:sz w:val="24"/>
                <w:szCs w:val="24"/>
                <w:highlight w:val="yellow"/>
                <w:lang w:eastAsia="zh-CN"/>
              </w:rPr>
              <w:t>；</w:t>
            </w:r>
            <w:r>
              <w:rPr>
                <w:rFonts w:hint="default" w:ascii="Times New Roman" w:hAnsi="Times New Roman" w:eastAsia="宋体" w:cs="Times New Roman"/>
                <w:sz w:val="24"/>
                <w:szCs w:val="24"/>
                <w:highlight w:val="yellow"/>
                <w:lang w:val="en-US" w:eastAsia="zh-CN"/>
              </w:rPr>
              <w:t>DA00</w:t>
            </w:r>
            <w:r>
              <w:rPr>
                <w:rFonts w:hint="default" w:ascii="Times New Roman" w:hAnsi="Times New Roman" w:cs="Times New Roman"/>
                <w:sz w:val="24"/>
                <w:szCs w:val="24"/>
                <w:highlight w:val="yellow"/>
                <w:lang w:val="en-US" w:eastAsia="zh-CN"/>
              </w:rPr>
              <w:t>3</w:t>
            </w:r>
            <w:r>
              <w:rPr>
                <w:rFonts w:hint="default" w:ascii="Times New Roman" w:hAnsi="Times New Roman" w:eastAsia="宋体" w:cs="Times New Roman"/>
                <w:sz w:val="24"/>
                <w:szCs w:val="24"/>
                <w:highlight w:val="yellow"/>
                <w:lang w:val="en-US" w:eastAsia="zh-CN"/>
              </w:rPr>
              <w:t>排气筒颗粒物排放浓度为</w:t>
            </w:r>
            <w:r>
              <w:rPr>
                <w:rFonts w:hint="default" w:ascii="Times New Roman" w:hAnsi="Times New Roman" w:cs="Times New Roman"/>
                <w:b w:val="0"/>
                <w:bCs/>
                <w:color w:val="auto"/>
                <w:sz w:val="24"/>
                <w:szCs w:val="24"/>
                <w:highlight w:val="yellow"/>
                <w:lang w:val="en-US" w:eastAsia="zh-CN"/>
              </w:rPr>
              <w:t>0.145</w:t>
            </w:r>
            <w:r>
              <w:rPr>
                <w:rFonts w:hint="default" w:ascii="Times New Roman" w:hAnsi="Times New Roman" w:eastAsia="宋体" w:cs="Times New Roman"/>
                <w:sz w:val="24"/>
                <w:szCs w:val="24"/>
                <w:highlight w:val="yellow"/>
              </w:rPr>
              <w:t>mg/m</w:t>
            </w:r>
            <w:r>
              <w:rPr>
                <w:rFonts w:hint="default" w:ascii="Times New Roman" w:hAnsi="Times New Roman" w:eastAsia="宋体" w:cs="Times New Roman"/>
                <w:sz w:val="24"/>
                <w:szCs w:val="24"/>
                <w:highlight w:val="yellow"/>
                <w:vertAlign w:val="superscript"/>
              </w:rPr>
              <w:t>3</w:t>
            </w:r>
            <w:r>
              <w:rPr>
                <w:rFonts w:hint="default" w:ascii="Times New Roman" w:hAnsi="Times New Roman" w:eastAsia="宋体" w:cs="Times New Roman"/>
                <w:color w:val="auto"/>
                <w:sz w:val="24"/>
                <w:szCs w:val="24"/>
                <w:highlight w:val="yellow"/>
              </w:rPr>
              <w:t>、</w:t>
            </w:r>
            <w:r>
              <w:rPr>
                <w:rFonts w:hint="default" w:ascii="Times New Roman" w:hAnsi="Times New Roman" w:eastAsia="宋体" w:cs="Times New Roman"/>
                <w:sz w:val="24"/>
                <w:szCs w:val="24"/>
                <w:highlight w:val="yellow"/>
              </w:rPr>
              <w:t>排放速率</w:t>
            </w:r>
            <w:r>
              <w:rPr>
                <w:rFonts w:hint="default" w:ascii="Times New Roman" w:hAnsi="Times New Roman" w:eastAsia="宋体" w:cs="Times New Roman"/>
                <w:sz w:val="24"/>
                <w:szCs w:val="24"/>
                <w:highlight w:val="yellow"/>
                <w:lang w:val="en-US" w:eastAsia="zh-CN"/>
              </w:rPr>
              <w:t>为</w:t>
            </w:r>
            <w:r>
              <w:rPr>
                <w:rFonts w:hint="default" w:ascii="Times New Roman" w:hAnsi="Times New Roman" w:cs="Times New Roman"/>
                <w:spacing w:val="-4"/>
                <w:sz w:val="24"/>
                <w:szCs w:val="24"/>
                <w:highlight w:val="yellow"/>
                <w:lang w:val="en-US" w:eastAsia="zh-CN"/>
              </w:rPr>
              <w:t>0.0001</w:t>
            </w:r>
            <w:r>
              <w:rPr>
                <w:rFonts w:hint="default" w:ascii="Times New Roman" w:hAnsi="Times New Roman" w:eastAsia="宋体" w:cs="Times New Roman"/>
                <w:sz w:val="24"/>
                <w:szCs w:val="24"/>
                <w:highlight w:val="yellow"/>
              </w:rPr>
              <w:t>kg/h</w:t>
            </w:r>
            <w:r>
              <w:rPr>
                <w:rFonts w:hint="default" w:ascii="Times New Roman" w:hAnsi="Times New Roman" w:eastAsia="宋体" w:cs="Times New Roman"/>
                <w:color w:val="auto"/>
                <w:sz w:val="24"/>
                <w:szCs w:val="24"/>
                <w:highlight w:val="yellow"/>
              </w:rPr>
              <w:t>综上，</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DA001</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sz w:val="24"/>
                <w:szCs w:val="24"/>
                <w:highlight w:val="none"/>
                <w:lang w:val="en-US" w:eastAsia="zh-CN"/>
              </w:rPr>
              <w:t>DA002</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DA00</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排气筒颗粒物</w:t>
            </w:r>
            <w:r>
              <w:rPr>
                <w:rFonts w:hint="default" w:ascii="Times New Roman" w:hAnsi="Times New Roman" w:eastAsia="宋体" w:cs="Times New Roman"/>
                <w:color w:val="auto"/>
                <w:sz w:val="24"/>
                <w:szCs w:val="24"/>
                <w:highlight w:val="none"/>
              </w:rPr>
              <w:t>排放浓度及</w:t>
            </w:r>
            <w:r>
              <w:rPr>
                <w:rFonts w:hint="default" w:ascii="Times New Roman" w:hAnsi="Times New Roman" w:eastAsia="宋体" w:cs="Times New Roman"/>
                <w:color w:val="auto"/>
                <w:sz w:val="24"/>
                <w:szCs w:val="24"/>
                <w:highlight w:val="none"/>
                <w:lang w:val="en-US" w:eastAsia="zh-CN"/>
              </w:rPr>
              <w:t>排放口</w:t>
            </w:r>
            <w:r>
              <w:rPr>
                <w:rFonts w:hint="default" w:ascii="Times New Roman" w:hAnsi="Times New Roman" w:eastAsia="宋体" w:cs="Times New Roman"/>
                <w:color w:val="auto"/>
                <w:sz w:val="24"/>
                <w:szCs w:val="24"/>
                <w:highlight w:val="none"/>
              </w:rPr>
              <w:t>高度满足标准要求，能够实现达标排放。</w:t>
            </w:r>
          </w:p>
          <w:p w14:paraId="4102386C">
            <w:pPr>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（2）无组织</w:t>
            </w:r>
          </w:p>
          <w:p w14:paraId="21AE207B">
            <w:pPr>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按照《环境影响评价技术导则  大气环境》（HJ2.2－2018）规定，采用估算模型AERSCREEN，</w:t>
            </w:r>
            <w:r>
              <w:rPr>
                <w:rFonts w:hint="default" w:ascii="Times New Roman" w:hAnsi="Times New Roman" w:cs="Times New Roman"/>
                <w:color w:val="auto"/>
                <w:highlight w:val="none"/>
              </w:rPr>
              <w:t>估算模型参数见表4-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3CE5636B">
            <w:pPr>
              <w:keepNext w:val="0"/>
              <w:keepLines w:val="0"/>
              <w:suppressLineNumbers w:val="0"/>
              <w:snapToGrid/>
              <w:spacing w:before="0" w:beforeAutospacing="0" w:after="0" w:afterAutospacing="0"/>
              <w:ind w:left="0" w:right="0" w:firstLine="480"/>
              <w:textAlignment w:val="baseline"/>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rPr>
              <w:t>根据估算模式预测结果可知：</w:t>
            </w:r>
            <w:r>
              <w:rPr>
                <w:rFonts w:hint="default" w:ascii="Times New Roman" w:hAnsi="Times New Roman" w:cs="Times New Roman"/>
                <w:b w:val="0"/>
                <w:bCs w:val="0"/>
                <w:color w:val="auto"/>
                <w:highlight w:val="none"/>
                <w:lang w:val="en-US" w:eastAsia="zh-CN"/>
              </w:rPr>
              <w:t>颗粒物厂界外下风向10米处</w:t>
            </w:r>
            <w:r>
              <w:rPr>
                <w:rFonts w:hint="default" w:ascii="Times New Roman" w:hAnsi="Times New Roman" w:eastAsia="宋体" w:cs="Times New Roman"/>
                <w:b w:val="0"/>
                <w:bCs w:val="0"/>
                <w:color w:val="auto"/>
                <w:kern w:val="0"/>
                <w:szCs w:val="21"/>
                <w:highlight w:val="none"/>
                <w:lang w:val="en-US" w:eastAsia="zh-CN"/>
              </w:rPr>
              <w:t>颗粒物</w:t>
            </w:r>
            <w:r>
              <w:rPr>
                <w:rFonts w:hint="default" w:ascii="Times New Roman" w:hAnsi="Times New Roman" w:cs="Times New Roman"/>
                <w:b w:val="0"/>
                <w:bCs w:val="0"/>
                <w:color w:val="auto"/>
                <w:highlight w:val="none"/>
              </w:rPr>
              <w:t>最大落地浓度为</w:t>
            </w:r>
            <w:r>
              <w:rPr>
                <w:rFonts w:hint="default" w:ascii="Times New Roman" w:hAnsi="Times New Roman" w:cs="Times New Roman"/>
                <w:b w:val="0"/>
                <w:bCs w:val="0"/>
                <w:color w:val="auto"/>
                <w:highlight w:val="none"/>
                <w:lang w:val="en-US" w:eastAsia="zh-CN"/>
              </w:rPr>
              <w:t>78</w:t>
            </w:r>
            <w:r>
              <w:rPr>
                <w:rFonts w:hint="default" w:ascii="Times New Roman" w:hAnsi="Times New Roman" w:cs="Times New Roman"/>
                <w:b w:val="0"/>
                <w:bCs w:val="0"/>
                <w:color w:val="auto"/>
                <w:highlight w:val="none"/>
              </w:rPr>
              <w:t>μg/m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，满足《大气污染物综合排放标准》（GB16297-1996）新污染源中无组织排放监控浓度限值（</w:t>
            </w:r>
            <w:r>
              <w:rPr>
                <w:rFonts w:hint="default" w:ascii="Times New Roman" w:hAnsi="Times New Roman" w:cs="Times New Roman"/>
                <w:b w:val="0"/>
                <w:bCs w:val="0"/>
                <w:color w:val="auto"/>
                <w:highlight w:val="none"/>
                <w:lang w:val="en-US" w:eastAsia="zh-CN"/>
              </w:rPr>
              <w:t>颗粒物1.0</w:t>
            </w:r>
            <w:r>
              <w:rPr>
                <w:rFonts w:hint="default" w:ascii="Times New Roman" w:hAnsi="Times New Roman" w:cs="Times New Roman"/>
                <w:b w:val="0"/>
                <w:bCs w:val="0"/>
                <w:color w:val="auto"/>
                <w:highlight w:val="none"/>
              </w:rPr>
              <w:t>mg/m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氨气厂界外下风向10米处</w:t>
            </w:r>
            <w:r>
              <w:rPr>
                <w:rFonts w:hint="default" w:ascii="Times New Roman" w:hAnsi="Times New Roman" w:cs="Times New Roman"/>
                <w:b w:val="0"/>
                <w:bCs w:val="0"/>
                <w:color w:val="auto"/>
                <w:highlight w:val="none"/>
              </w:rPr>
              <w:t>最大落地浓度为</w:t>
            </w:r>
            <w:r>
              <w:rPr>
                <w:rFonts w:hint="default" w:ascii="Times New Roman" w:hAnsi="Times New Roman" w:cs="Times New Roman"/>
                <w:b w:val="0"/>
                <w:bCs w:val="0"/>
                <w:color w:val="auto"/>
                <w:highlight w:val="none"/>
                <w:lang w:val="en-US" w:eastAsia="zh-CN"/>
              </w:rPr>
              <w:t>435</w:t>
            </w:r>
            <w:r>
              <w:rPr>
                <w:rFonts w:hint="default" w:ascii="Times New Roman" w:hAnsi="Times New Roman" w:cs="Times New Roman"/>
                <w:b w:val="0"/>
                <w:bCs w:val="0"/>
                <w:color w:val="auto"/>
                <w:highlight w:val="none"/>
              </w:rPr>
              <w:t>μg/m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，满足</w:t>
            </w:r>
            <w:r>
              <w:rPr>
                <w:rFonts w:hint="default" w:ascii="Times New Roman" w:hAnsi="Times New Roman" w:eastAsia="宋体" w:cs="Times New Roman"/>
                <w:color w:val="000000" w:themeColor="text1"/>
                <w:sz w:val="24"/>
                <w:highlight w:val="none"/>
                <w:lang w:bidi="ar"/>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恶臭污染物排放标准</w:t>
            </w:r>
            <w:r>
              <w:rPr>
                <w:rFonts w:hint="default" w:ascii="Times New Roman" w:hAnsi="Times New Roman" w:eastAsia="宋体" w:cs="Times New Roman"/>
                <w:color w:val="000000" w:themeColor="text1"/>
                <w:sz w:val="24"/>
                <w:highlight w:val="none"/>
                <w:lang w:bidi="ar"/>
                <w14:textFill>
                  <w14:solidFill>
                    <w14:schemeClr w14:val="tx1"/>
                  </w14:solidFill>
                </w14:textFill>
              </w:rPr>
              <w:t>》（GB</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14554-93</w:t>
            </w:r>
            <w:r>
              <w:rPr>
                <w:rFonts w:hint="default" w:ascii="Times New Roman" w:hAnsi="Times New Roman" w:eastAsia="宋体" w:cs="Times New Roman"/>
                <w:color w:val="000000" w:themeColor="text1"/>
                <w:sz w:val="24"/>
                <w:highlight w:val="none"/>
                <w:lang w:bidi="ar"/>
                <w14:textFill>
                  <w14:solidFill>
                    <w14:schemeClr w14:val="tx1"/>
                  </w14:solidFill>
                </w14:textFill>
              </w:rPr>
              <w:t>）表</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1</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厂界</w:t>
            </w:r>
            <w:r>
              <w:rPr>
                <w:rFonts w:hint="default" w:ascii="Times New Roman" w:hAnsi="Times New Roman" w:cs="Times New Roman"/>
                <w:color w:val="000000" w:themeColor="text1"/>
                <w:sz w:val="24"/>
                <w:highlight w:val="none"/>
                <w:lang w:bidi="ar"/>
                <w14:textFill>
                  <w14:solidFill>
                    <w14:schemeClr w14:val="tx1"/>
                  </w14:solidFill>
                </w14:textFill>
              </w:rPr>
              <w:t>无组织排放限值</w:t>
            </w:r>
            <w:r>
              <w:rPr>
                <w:rFonts w:hint="default" w:ascii="Times New Roman" w:hAnsi="Times New Roman" w:cs="Times New Roman"/>
                <w:color w:val="000000" w:themeColor="text1"/>
                <w:sz w:val="24"/>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氨浓度1.5mg/</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highlight w:val="none"/>
                <w:lang w:eastAsia="zh-CN" w:bidi="ar"/>
                <w14:textFill>
                  <w14:solidFill>
                    <w14:schemeClr w14:val="tx1"/>
                  </w14:solidFill>
                </w14:textFill>
              </w:rPr>
              <w:t>）。</w:t>
            </w:r>
          </w:p>
          <w:p w14:paraId="7456F2B5">
            <w:pPr>
              <w:pStyle w:val="44"/>
              <w:tabs>
                <w:tab w:val="left" w:pos="2760"/>
              </w:tabs>
              <w:spacing w:line="372" w:lineRule="auto"/>
              <w:ind w:firstLine="482" w:firstLineChars="200"/>
              <w:rPr>
                <w:rFonts w:hint="default" w:ascii="Times New Roman" w:hAnsi="Times New Roman" w:cs="Times New Roman"/>
              </w:rPr>
            </w:pPr>
            <w:r>
              <w:rPr>
                <w:rFonts w:hint="default" w:ascii="Times New Roman" w:hAnsi="Times New Roman" w:eastAsia="宋体" w:cs="Times New Roman"/>
                <w:b/>
                <w:bCs/>
                <w:color w:val="auto"/>
                <w:highlight w:val="none"/>
                <w:lang w:val="en-US" w:eastAsia="zh-CN"/>
              </w:rPr>
              <w:t>2.4废气环保措施</w:t>
            </w:r>
            <w:r>
              <w:rPr>
                <w:rFonts w:hint="default" w:ascii="Times New Roman" w:hAnsi="Times New Roman" w:eastAsia="宋体" w:cs="Times New Roman"/>
                <w:b/>
                <w:bCs/>
                <w:color w:val="auto"/>
                <w:highlight w:val="none"/>
              </w:rPr>
              <w:t>可行性分析</w:t>
            </w:r>
          </w:p>
          <w:p w14:paraId="0091B5D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（1）有组织废气环保措施可行性分析</w:t>
            </w:r>
          </w:p>
          <w:p w14:paraId="51F55561">
            <w:pPr>
              <w:keepNext w:val="0"/>
              <w:keepLines w:val="0"/>
              <w:pageBreakBefore w:val="0"/>
              <w:widowControl/>
              <w:kinsoku/>
              <w:wordWrap/>
              <w:overflowPunct/>
              <w:topLinePunct w:val="0"/>
              <w:autoSpaceDE/>
              <w:autoSpaceDN/>
              <w:bidi w:val="0"/>
              <w:adjustRightInd/>
              <w:snapToGrid/>
              <w:spacing w:line="360" w:lineRule="auto"/>
              <w:ind w:firstLine="484"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spacing w:val="1"/>
                <w:highlight w:val="none"/>
                <w:lang w:val="en-US" w:eastAsia="zh-CN"/>
              </w:rPr>
              <w:t>根据《排污许可证申请与核发技术规范－磷肥、钾肥、复混肥料、有机肥料及微生物肥料工业》中“C2复混肥制造业废气产排系数表”中废气颗粒物末端治理技术</w:t>
            </w:r>
            <w:r>
              <w:rPr>
                <w:rFonts w:hint="default" w:ascii="Times New Roman" w:hAnsi="Times New Roman" w:eastAsia="宋体" w:cs="Times New Roman"/>
                <w:color w:val="auto"/>
                <w:sz w:val="24"/>
                <w:szCs w:val="24"/>
                <w:lang w:eastAsia="zh-CN"/>
              </w:rPr>
              <w:t>，一</w:t>
            </w:r>
            <w:r>
              <w:rPr>
                <w:rFonts w:hint="default" w:ascii="Times New Roman" w:hAnsi="Times New Roman" w:eastAsia="宋体" w:cs="Times New Roman"/>
                <w:color w:val="auto"/>
                <w:sz w:val="24"/>
                <w:szCs w:val="24"/>
              </w:rPr>
              <w:t>般采用</w:t>
            </w:r>
            <w:r>
              <w:rPr>
                <w:rFonts w:hint="default" w:ascii="Times New Roman" w:hAnsi="Times New Roman" w:cs="Times New Roman"/>
                <w:color w:val="auto"/>
                <w:sz w:val="24"/>
                <w:szCs w:val="24"/>
                <w:lang w:val="en-US" w:eastAsia="zh-CN"/>
              </w:rPr>
              <w:t>静电除尘、</w:t>
            </w:r>
            <w:r>
              <w:rPr>
                <w:rFonts w:hint="default" w:ascii="Times New Roman" w:hAnsi="Times New Roman" w:eastAsia="宋体" w:cs="Times New Roman"/>
                <w:color w:val="auto"/>
                <w:sz w:val="24"/>
                <w:szCs w:val="24"/>
              </w:rPr>
              <w:t>袋式除尘器、即可满足排放标准限值要求</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本项目采用</w:t>
            </w:r>
            <w:r>
              <w:rPr>
                <w:rFonts w:hint="default" w:ascii="Times New Roman" w:hAnsi="Times New Roman" w:cs="Times New Roman"/>
                <w:color w:val="auto"/>
                <w:sz w:val="24"/>
                <w:szCs w:val="24"/>
                <w:lang w:val="en-US" w:eastAsia="zh-CN"/>
              </w:rPr>
              <w:t>环保设施为脉冲式布袋除尘器+15米排气筒，</w:t>
            </w:r>
            <w:r>
              <w:rPr>
                <w:rFonts w:hint="default" w:ascii="Times New Roman" w:hAnsi="Times New Roman" w:eastAsia="宋体" w:cs="Times New Roman"/>
                <w:color w:val="auto"/>
                <w:sz w:val="24"/>
                <w:szCs w:val="24"/>
                <w:lang w:eastAsia="zh-CN"/>
              </w:rPr>
              <w:t>属于可行技术。</w:t>
            </w:r>
          </w:p>
          <w:p w14:paraId="379BC0B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sz w:val="24"/>
                <w:szCs w:val="24"/>
                <w:highlight w:val="none"/>
              </w:rPr>
              <w:t>无组织废气</w:t>
            </w:r>
            <w:r>
              <w:rPr>
                <w:rFonts w:hint="default" w:ascii="Times New Roman" w:hAnsi="Times New Roman" w:cs="Times New Roman"/>
                <w:color w:val="auto"/>
                <w:sz w:val="24"/>
                <w:szCs w:val="24"/>
                <w:highlight w:val="none"/>
                <w:lang w:val="en-US" w:eastAsia="zh-CN"/>
              </w:rPr>
              <w:t>环保措施</w:t>
            </w:r>
            <w:r>
              <w:rPr>
                <w:rFonts w:hint="default" w:ascii="Times New Roman" w:hAnsi="Times New Roman" w:cs="Times New Roman"/>
                <w:color w:val="auto"/>
                <w:sz w:val="24"/>
                <w:szCs w:val="24"/>
                <w:highlight w:val="none"/>
              </w:rPr>
              <w:t>可行性分析</w:t>
            </w:r>
          </w:p>
          <w:p w14:paraId="237C3DE1">
            <w:pPr>
              <w:pStyle w:val="4"/>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b w:val="0"/>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lang w:val="en-US" w:eastAsia="zh-CN" w:bidi="ar"/>
                <w14:textFill>
                  <w14:solidFill>
                    <w14:schemeClr w14:val="tx1"/>
                  </w14:solidFill>
                </w14:textFill>
              </w:rPr>
              <w:t>项目生产过程在</w:t>
            </w:r>
            <w:r>
              <w:rPr>
                <w:rFonts w:hint="default" w:ascii="Times New Roman" w:hAnsi="Times New Roman" w:cs="Times New Roman"/>
                <w:b w:val="0"/>
                <w:color w:val="000000" w:themeColor="text1"/>
                <w:kern w:val="2"/>
                <w:sz w:val="24"/>
                <w:szCs w:val="24"/>
                <w:highlight w:val="none"/>
                <w:lang w:val="en-US" w:eastAsia="zh-CN" w:bidi="ar"/>
                <w14:textFill>
                  <w14:solidFill>
                    <w14:schemeClr w14:val="tx1"/>
                  </w14:solidFill>
                </w14:textFill>
              </w:rPr>
              <w:t>溶解罐</w:t>
            </w:r>
            <w:r>
              <w:rPr>
                <w:rFonts w:hint="default" w:ascii="Times New Roman" w:hAnsi="Times New Roman" w:eastAsia="宋体" w:cs="Times New Roman"/>
                <w:b w:val="0"/>
                <w:color w:val="000000" w:themeColor="text1"/>
                <w:kern w:val="2"/>
                <w:sz w:val="24"/>
                <w:szCs w:val="24"/>
                <w:highlight w:val="none"/>
                <w:lang w:val="en-US" w:eastAsia="zh-CN" w:bidi="ar"/>
                <w14:textFill>
                  <w14:solidFill>
                    <w14:schemeClr w14:val="tx1"/>
                  </w14:solidFill>
                </w14:textFill>
              </w:rPr>
              <w:t>内进行分解反应，废气经排气扇无组织排放。为确保废气达标排放应采取以下措施：</w:t>
            </w:r>
          </w:p>
          <w:p w14:paraId="186180E5">
            <w:pPr>
              <w:spacing w:line="360" w:lineRule="auto"/>
              <w:ind w:firstLine="480" w:firstLineChars="20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①本项目采用先进的生产工艺，精确控制温度、湿度、氧气含量和碳氮比等参数，减少氨气的产生；</w:t>
            </w:r>
          </w:p>
          <w:p w14:paraId="5050D6B0">
            <w:pPr>
              <w:spacing w:line="360" w:lineRule="auto"/>
              <w:ind w:firstLine="480" w:firstLineChars="20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②建设单位在厂区周围和生产车间周边种植对氨有吸附能力的植物，起到净化空气、减少氨气扩散的作用；</w:t>
            </w:r>
          </w:p>
          <w:p w14:paraId="4FBA4ED6">
            <w:pPr>
              <w:spacing w:line="360" w:lineRule="auto"/>
              <w:ind w:firstLine="480" w:firstLineChars="20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③对操作人员进行培训，使其掌握正确的生产操作流程和环保设备使用方法，确保生产过程和环保设施的正常运行；</w:t>
            </w:r>
          </w:p>
          <w:p w14:paraId="4CEA88CF">
            <w:pPr>
              <w:spacing w:line="360" w:lineRule="auto"/>
              <w:ind w:firstLine="480" w:firstLineChars="20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④对生产设备和废气处理设备进行定期检查、维护和保养，及时更换老化或损坏的部件，保证设备的处理效果。</w:t>
            </w:r>
          </w:p>
          <w:p w14:paraId="1FE8E083">
            <w:pPr>
              <w:rPr>
                <w:rFonts w:hint="default" w:ascii="Times New Roman" w:hAnsi="Times New Roman" w:eastAsia="Segoe UI" w:cs="Times New Roman"/>
                <w:i w:val="0"/>
                <w:iCs w:val="0"/>
                <w:caps w:val="0"/>
                <w:spacing w:val="0"/>
                <w:sz w:val="24"/>
                <w:szCs w:val="24"/>
                <w:shd w:val="clear" w:fill="FFFFFF"/>
              </w:rPr>
            </w:pPr>
            <w:r>
              <w:rPr>
                <w:rFonts w:hint="default" w:ascii="Times New Roman" w:hAnsi="Times New Roman" w:cs="Times New Roman"/>
                <w:color w:val="000000" w:themeColor="text1"/>
                <w:sz w:val="24"/>
                <w:highlight w:val="none"/>
                <w:lang w:val="en-US" w:eastAsia="zh-CN" w:bidi="ar"/>
                <w14:textFill>
                  <w14:solidFill>
                    <w14:schemeClr w14:val="tx1"/>
                  </w14:solidFill>
                </w14:textFill>
              </w:rPr>
              <w:t>⑤</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本项目溶解釜采用机械密闭搅拌器，釜盖与筒体连接处加装充气式密闭垫圈，氨气易泄漏的管道接口采用焊接连接代替法兰连接，生产车间采用“上送下排”通风系统，顶部安装新风送风口，底部四周设排风口。</w:t>
            </w:r>
            <w:r>
              <w:rPr>
                <w:rFonts w:hint="default" w:ascii="Times New Roman" w:hAnsi="Times New Roman" w:eastAsia="Segoe UI" w:cs="Times New Roman"/>
                <w:i w:val="0"/>
                <w:iCs w:val="0"/>
                <w:caps w:val="0"/>
                <w:spacing w:val="0"/>
                <w:sz w:val="24"/>
                <w:szCs w:val="24"/>
                <w:shd w:val="clear" w:fill="FFFFFF"/>
              </w:rPr>
              <w:t>溶解釜、储槽外壁每周用湿布擦拭1次。</w:t>
            </w:r>
          </w:p>
          <w:p w14:paraId="37D2F614">
            <w:pPr>
              <w:rPr>
                <w:rFonts w:hint="default" w:ascii="Times New Roman" w:hAnsi="Times New Roman" w:cs="Times New Roman"/>
                <w:color w:val="000000" w:themeColor="text1"/>
                <w:sz w:val="24"/>
                <w:highlight w:val="none"/>
                <w:lang w:eastAsia="zh-CN" w:bidi="ar"/>
                <w14:textFill>
                  <w14:solidFill>
                    <w14:schemeClr w14:val="tx1"/>
                  </w14:solidFill>
                </w14:textFill>
              </w:rPr>
            </w:pPr>
            <w:r>
              <w:rPr>
                <w:rFonts w:hint="default" w:ascii="Times New Roman" w:hAnsi="Times New Roman" w:cs="Times New Roman"/>
                <w:color w:val="000000" w:themeColor="text1"/>
                <w:sz w:val="24"/>
                <w:highlight w:val="none"/>
                <w:lang w:val="en-US" w:eastAsia="zh-CN" w:bidi="ar"/>
                <w14:textFill>
                  <w14:solidFill>
                    <w14:schemeClr w14:val="tx1"/>
                  </w14:solidFill>
                </w14:textFill>
              </w:rPr>
              <w:t>根据</w:t>
            </w:r>
            <w:r>
              <w:rPr>
                <w:rFonts w:hint="default" w:ascii="Times New Roman" w:hAnsi="Times New Roman" w:cs="Times New Roman"/>
                <w:color w:val="000000" w:themeColor="text1"/>
                <w:sz w:val="24"/>
                <w:highlight w:val="none"/>
                <w:lang w:bidi="ar"/>
                <w14:textFill>
                  <w14:solidFill>
                    <w14:schemeClr w14:val="tx1"/>
                  </w14:solidFill>
                </w14:textFill>
              </w:rPr>
              <w:t>《环境影响评价技术导则 大气环境》，采用AERSCREEN估算模式，对建设项目竣工后无组织面源排放的废气进行了最大落地浓度及其出现距离的估算，</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颗粒物浓度满足</w:t>
            </w:r>
            <w:r>
              <w:rPr>
                <w:rFonts w:hint="default" w:ascii="Times New Roman" w:hAnsi="Times New Roman" w:cs="Times New Roman"/>
                <w:b w:val="0"/>
                <w:bCs w:val="0"/>
                <w:color w:val="auto"/>
                <w:highlight w:val="none"/>
              </w:rPr>
              <w:t>《大气污染物综合排放标准》（GB16297-1996）新污染源中无组织排放监控浓度限值（</w:t>
            </w:r>
            <w:r>
              <w:rPr>
                <w:rFonts w:hint="default" w:ascii="Times New Roman" w:hAnsi="Times New Roman" w:cs="Times New Roman"/>
                <w:b w:val="0"/>
                <w:bCs w:val="0"/>
                <w:color w:val="auto"/>
                <w:highlight w:val="none"/>
                <w:lang w:val="en-US" w:eastAsia="zh-CN"/>
              </w:rPr>
              <w:t>颗粒物1.0</w:t>
            </w:r>
            <w:r>
              <w:rPr>
                <w:rFonts w:hint="default" w:ascii="Times New Roman" w:hAnsi="Times New Roman" w:cs="Times New Roman"/>
                <w:b w:val="0"/>
                <w:bCs w:val="0"/>
                <w:color w:val="auto"/>
                <w:highlight w:val="none"/>
              </w:rPr>
              <w:t>mg/m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，氨气</w:t>
            </w:r>
            <w:r>
              <w:rPr>
                <w:rFonts w:hint="default" w:ascii="Times New Roman" w:hAnsi="Times New Roman" w:cs="Times New Roman"/>
                <w:color w:val="000000" w:themeColor="text1"/>
                <w:sz w:val="24"/>
                <w:highlight w:val="none"/>
                <w:lang w:bidi="ar"/>
                <w14:textFill>
                  <w14:solidFill>
                    <w14:schemeClr w14:val="tx1"/>
                  </w14:solidFill>
                </w14:textFill>
              </w:rPr>
              <w:t>满足</w:t>
            </w:r>
            <w:r>
              <w:rPr>
                <w:rFonts w:hint="default" w:ascii="Times New Roman" w:hAnsi="Times New Roman" w:eastAsia="宋体" w:cs="Times New Roman"/>
                <w:color w:val="000000" w:themeColor="text1"/>
                <w:sz w:val="24"/>
                <w:highlight w:val="none"/>
                <w:lang w:bidi="ar"/>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恶臭污染物排放标准</w:t>
            </w:r>
            <w:r>
              <w:rPr>
                <w:rFonts w:hint="default" w:ascii="Times New Roman" w:hAnsi="Times New Roman" w:eastAsia="宋体" w:cs="Times New Roman"/>
                <w:color w:val="000000" w:themeColor="text1"/>
                <w:sz w:val="24"/>
                <w:highlight w:val="none"/>
                <w:lang w:bidi="ar"/>
                <w14:textFill>
                  <w14:solidFill>
                    <w14:schemeClr w14:val="tx1"/>
                  </w14:solidFill>
                </w14:textFill>
              </w:rPr>
              <w:t>》（GB</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14554-93</w:t>
            </w:r>
            <w:r>
              <w:rPr>
                <w:rFonts w:hint="default" w:ascii="Times New Roman" w:hAnsi="Times New Roman" w:eastAsia="宋体" w:cs="Times New Roman"/>
                <w:color w:val="000000" w:themeColor="text1"/>
                <w:sz w:val="24"/>
                <w:highlight w:val="none"/>
                <w:lang w:bidi="ar"/>
                <w14:textFill>
                  <w14:solidFill>
                    <w14:schemeClr w14:val="tx1"/>
                  </w14:solidFill>
                </w14:textFill>
              </w:rPr>
              <w:t>）表</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1</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厂界</w:t>
            </w:r>
            <w:r>
              <w:rPr>
                <w:rFonts w:hint="default" w:ascii="Times New Roman" w:hAnsi="Times New Roman" w:cs="Times New Roman"/>
                <w:color w:val="000000" w:themeColor="text1"/>
                <w:sz w:val="24"/>
                <w:highlight w:val="none"/>
                <w:lang w:bidi="ar"/>
                <w14:textFill>
                  <w14:solidFill>
                    <w14:schemeClr w14:val="tx1"/>
                  </w14:solidFill>
                </w14:textFill>
              </w:rPr>
              <w:t>无组织排放限值</w:t>
            </w:r>
            <w:r>
              <w:rPr>
                <w:rFonts w:hint="default" w:ascii="Times New Roman" w:hAnsi="Times New Roman" w:cs="Times New Roman"/>
                <w:color w:val="000000" w:themeColor="text1"/>
                <w:sz w:val="24"/>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氨浓度1.5mg/</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highlight w:val="none"/>
                <w:lang w:eastAsia="zh-CN" w:bidi="ar"/>
                <w14:textFill>
                  <w14:solidFill>
                    <w14:schemeClr w14:val="tx1"/>
                  </w14:solidFill>
                </w14:textFill>
              </w:rPr>
              <w:t>）。</w:t>
            </w:r>
          </w:p>
          <w:p w14:paraId="7E6DDF99">
            <w:pPr>
              <w:spacing w:line="360" w:lineRule="auto"/>
              <w:ind w:firstLine="480" w:firstLineChars="200"/>
              <w:rPr>
                <w:rFonts w:hint="default" w:ascii="Times New Roman" w:hAnsi="Times New Roman" w:cs="Times New Roman"/>
                <w:color w:val="000000" w:themeColor="text1"/>
                <w:sz w:val="24"/>
                <w:highlight w:val="none"/>
                <w:lang w:val="en-US" w:eastAsia="zh-CN" w:bidi="ar"/>
                <w14:textFill>
                  <w14:solidFill>
                    <w14:schemeClr w14:val="tx1"/>
                  </w14:solidFill>
                </w14:textFill>
              </w:rPr>
            </w:pPr>
            <w:r>
              <w:rPr>
                <w:rFonts w:hint="default" w:ascii="Times New Roman" w:hAnsi="Times New Roman" w:cs="Times New Roman"/>
                <w:color w:val="000000" w:themeColor="text1"/>
                <w:sz w:val="24"/>
                <w:highlight w:val="none"/>
                <w:lang w:val="en-US" w:eastAsia="zh-CN" w:bidi="ar"/>
                <w14:textFill>
                  <w14:solidFill>
                    <w14:schemeClr w14:val="tx1"/>
                  </w14:solidFill>
                </w14:textFill>
              </w:rPr>
              <w:t>综上所述，因项目臭气浓度主要来源于氨的挥发，通过上述氨、颗粒物的处理措施，有效</w:t>
            </w:r>
            <w:r>
              <w:rPr>
                <w:rFonts w:hint="eastAsia" w:cs="Times New Roman"/>
                <w:color w:val="000000" w:themeColor="text1"/>
                <w:sz w:val="24"/>
                <w:highlight w:val="none"/>
                <w:lang w:val="en-US" w:eastAsia="zh-CN" w:bidi="ar"/>
                <w14:textFill>
                  <w14:solidFill>
                    <w14:schemeClr w14:val="tx1"/>
                  </w14:solidFill>
                </w14:textFill>
              </w:rPr>
              <w:t>地</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减少氨的挥发，预测废气排放</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对周边大气环境保护目标的影响是可接受的。</w:t>
            </w:r>
          </w:p>
          <w:p w14:paraId="62E64B50">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2.5非正常工况污染源强分析</w:t>
            </w:r>
          </w:p>
          <w:p w14:paraId="679C0933">
            <w:pPr>
              <w:pStyle w:val="74"/>
              <w:spacing w:before="200" w:line="375" w:lineRule="auto"/>
              <w:ind w:left="100" w:right="53" w:firstLine="480"/>
              <w:jc w:val="both"/>
              <w:rPr>
                <w:rFonts w:hint="default" w:ascii="Times New Roman" w:hAnsi="Times New Roman" w:cs="Times New Roman"/>
                <w:spacing w:val="-3"/>
              </w:rPr>
            </w:pPr>
            <w:r>
              <w:rPr>
                <w:rFonts w:hint="default" w:ascii="Times New Roman" w:hAnsi="Times New Roman" w:cs="Times New Roman"/>
                <w:spacing w:val="1"/>
              </w:rPr>
              <w:t>非正常工况主要为除尘设施、吸附设施故障导致的事故排放，此时设备去除效</w:t>
            </w:r>
            <w:r>
              <w:rPr>
                <w:rFonts w:hint="default" w:ascii="Times New Roman" w:hAnsi="Times New Roman" w:cs="Times New Roman"/>
                <w:spacing w:val="-2"/>
              </w:rPr>
              <w:t>率为</w:t>
            </w:r>
            <w:r>
              <w:rPr>
                <w:rFonts w:hint="default" w:ascii="Times New Roman" w:hAnsi="Times New Roman" w:eastAsia="Times New Roman" w:cs="Times New Roman"/>
                <w:spacing w:val="-2"/>
              </w:rPr>
              <w:t>0</w:t>
            </w:r>
            <w:r>
              <w:rPr>
                <w:rFonts w:hint="default" w:ascii="Times New Roman" w:hAnsi="Times New Roman" w:cs="Times New Roman"/>
                <w:spacing w:val="-2"/>
              </w:rPr>
              <w:t>，本次事故排放主要针对生产过程粉尘排放情况</w:t>
            </w:r>
            <w:r>
              <w:rPr>
                <w:rFonts w:hint="default" w:ascii="Times New Roman" w:hAnsi="Times New Roman" w:cs="Times New Roman"/>
                <w:spacing w:val="-3"/>
              </w:rPr>
              <w:t>，事故情况排放量见表</w:t>
            </w:r>
            <w:r>
              <w:rPr>
                <w:rFonts w:hint="default" w:ascii="Times New Roman" w:hAnsi="Times New Roman" w:eastAsia="Times New Roman" w:cs="Times New Roman"/>
                <w:spacing w:val="-3"/>
              </w:rPr>
              <w:t>4-</w:t>
            </w:r>
            <w:r>
              <w:rPr>
                <w:rFonts w:hint="default" w:ascii="Times New Roman" w:hAnsi="Times New Roman" w:eastAsia="宋体" w:cs="Times New Roman"/>
                <w:spacing w:val="-3"/>
                <w:lang w:val="en-US" w:eastAsia="zh-CN"/>
              </w:rPr>
              <w:t>4</w:t>
            </w:r>
            <w:r>
              <w:rPr>
                <w:rFonts w:hint="default" w:ascii="Times New Roman" w:hAnsi="Times New Roman" w:cs="Times New Roman"/>
                <w:spacing w:val="-3"/>
              </w:rPr>
              <w:t>。</w:t>
            </w:r>
          </w:p>
          <w:p w14:paraId="5F44AF70">
            <w:pPr>
              <w:pStyle w:val="37"/>
              <w:rPr>
                <w:rFonts w:hint="default" w:ascii="Times New Roman" w:hAnsi="Times New Roman" w:cs="Times New Roman"/>
              </w:rPr>
            </w:pPr>
            <w:r>
              <w:rPr>
                <w:rFonts w:hint="default" w:ascii="Times New Roman" w:hAnsi="Times New Roman" w:eastAsia="宋体"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非正常工况一览表</w:t>
            </w:r>
          </w:p>
          <w:tbl>
            <w:tblPr>
              <w:tblStyle w:val="29"/>
              <w:tblW w:w="806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8"/>
              <w:gridCol w:w="881"/>
              <w:gridCol w:w="915"/>
              <w:gridCol w:w="1080"/>
              <w:gridCol w:w="915"/>
              <w:gridCol w:w="990"/>
              <w:gridCol w:w="984"/>
              <w:gridCol w:w="888"/>
              <w:gridCol w:w="942"/>
            </w:tblGrid>
            <w:tr w14:paraId="32783A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468" w:type="dxa"/>
                  <w:vAlign w:val="center"/>
                </w:tcPr>
                <w:p w14:paraId="6F4B410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81" w:type="dxa"/>
                  <w:vAlign w:val="center"/>
                </w:tcPr>
                <w:p w14:paraId="6DDC9FD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w:t>
                  </w:r>
                  <w:r>
                    <w:rPr>
                      <w:rFonts w:hint="default" w:ascii="Times New Roman" w:hAnsi="Times New Roman" w:eastAsia="宋体"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环节</w:t>
                  </w:r>
                </w:p>
              </w:tc>
              <w:tc>
                <w:tcPr>
                  <w:tcW w:w="915" w:type="dxa"/>
                  <w:vAlign w:val="center"/>
                </w:tcPr>
                <w:p w14:paraId="7B7D730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1080" w:type="dxa"/>
                  <w:vAlign w:val="center"/>
                </w:tcPr>
                <w:p w14:paraId="4C948E5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污染物种类</w:t>
                  </w:r>
                </w:p>
              </w:tc>
              <w:tc>
                <w:tcPr>
                  <w:tcW w:w="915" w:type="dxa"/>
                  <w:tcBorders>
                    <w:right w:val="single" w:color="auto" w:sz="4" w:space="0"/>
                  </w:tcBorders>
                  <w:vAlign w:val="center"/>
                </w:tcPr>
                <w:p w14:paraId="23D41F9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持续时间</w:t>
                  </w:r>
                </w:p>
              </w:tc>
              <w:tc>
                <w:tcPr>
                  <w:tcW w:w="990" w:type="dxa"/>
                  <w:tcBorders>
                    <w:left w:val="single" w:color="auto" w:sz="4" w:space="0"/>
                    <w:right w:val="single" w:color="auto" w:sz="4" w:space="0"/>
                  </w:tcBorders>
                  <w:vAlign w:val="center"/>
                </w:tcPr>
                <w:p w14:paraId="32C2943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排放浓度</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984" w:type="dxa"/>
                  <w:tcBorders>
                    <w:left w:val="single" w:color="auto" w:sz="4" w:space="0"/>
                  </w:tcBorders>
                  <w:vAlign w:val="center"/>
                </w:tcPr>
                <w:p w14:paraId="1D0C6EC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4A0092D1">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kg/h</w:t>
                  </w:r>
                </w:p>
              </w:tc>
              <w:tc>
                <w:tcPr>
                  <w:tcW w:w="888" w:type="dxa"/>
                  <w:vAlign w:val="center"/>
                </w:tcPr>
                <w:p w14:paraId="2D3C42E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排放量kg</w:t>
                  </w:r>
                </w:p>
              </w:tc>
              <w:tc>
                <w:tcPr>
                  <w:tcW w:w="942" w:type="dxa"/>
                  <w:vAlign w:val="center"/>
                </w:tcPr>
                <w:p w14:paraId="5EA05A8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排放形式</w:t>
                  </w:r>
                </w:p>
              </w:tc>
            </w:tr>
            <w:tr w14:paraId="1F41A1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468" w:type="dxa"/>
                  <w:vAlign w:val="center"/>
                </w:tcPr>
                <w:p w14:paraId="6AF0A65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1" w:type="dxa"/>
                  <w:vAlign w:val="center"/>
                </w:tcPr>
                <w:p w14:paraId="40713BA3">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分解</w:t>
                  </w:r>
                </w:p>
              </w:tc>
              <w:tc>
                <w:tcPr>
                  <w:tcW w:w="915" w:type="dxa"/>
                  <w:vAlign w:val="center"/>
                </w:tcPr>
                <w:p w14:paraId="2773C3CE">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tc>
              <w:tc>
                <w:tcPr>
                  <w:tcW w:w="1080" w:type="dxa"/>
                  <w:vAlign w:val="center"/>
                </w:tcPr>
                <w:p w14:paraId="56F4ACA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15" w:type="dxa"/>
                  <w:tcBorders>
                    <w:right w:val="single" w:color="auto" w:sz="4" w:space="0"/>
                  </w:tcBorders>
                  <w:vAlign w:val="center"/>
                </w:tcPr>
                <w:p w14:paraId="3D67DA08">
                  <w:pPr>
                    <w:pStyle w:val="4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min</w:t>
                  </w:r>
                </w:p>
              </w:tc>
              <w:tc>
                <w:tcPr>
                  <w:tcW w:w="990" w:type="dxa"/>
                  <w:tcBorders>
                    <w:left w:val="single" w:color="auto" w:sz="4" w:space="0"/>
                    <w:right w:val="single" w:color="auto" w:sz="4" w:space="0"/>
                  </w:tcBorders>
                  <w:vAlign w:val="center"/>
                </w:tcPr>
                <w:p w14:paraId="0694204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444.4</w:t>
                  </w:r>
                </w:p>
              </w:tc>
              <w:tc>
                <w:tcPr>
                  <w:tcW w:w="984" w:type="dxa"/>
                  <w:tcBorders>
                    <w:left w:val="single" w:color="auto" w:sz="4" w:space="0"/>
                  </w:tcBorders>
                  <w:vAlign w:val="center"/>
                </w:tcPr>
                <w:p w14:paraId="3BCC61C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2.22</w:t>
                  </w:r>
                </w:p>
              </w:tc>
              <w:tc>
                <w:tcPr>
                  <w:tcW w:w="888" w:type="dxa"/>
                  <w:vAlign w:val="center"/>
                </w:tcPr>
                <w:p w14:paraId="455333D7">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2.22</w:t>
                  </w:r>
                </w:p>
              </w:tc>
              <w:tc>
                <w:tcPr>
                  <w:tcW w:w="942" w:type="dxa"/>
                  <w:vAlign w:val="center"/>
                </w:tcPr>
                <w:p w14:paraId="2453BF6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r>
            <w:tr w14:paraId="592A1E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468" w:type="dxa"/>
                  <w:vAlign w:val="center"/>
                </w:tcPr>
                <w:p w14:paraId="59D04C8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81" w:type="dxa"/>
                  <w:vAlign w:val="center"/>
                </w:tcPr>
                <w:p w14:paraId="6EAB80E3">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w:t>
                  </w:r>
                </w:p>
              </w:tc>
              <w:tc>
                <w:tcPr>
                  <w:tcW w:w="915" w:type="dxa"/>
                  <w:vAlign w:val="center"/>
                </w:tcPr>
                <w:p w14:paraId="5BB0827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p>
              </w:tc>
              <w:tc>
                <w:tcPr>
                  <w:tcW w:w="1080" w:type="dxa"/>
                  <w:vAlign w:val="center"/>
                </w:tcPr>
                <w:p w14:paraId="61A5EC3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15" w:type="dxa"/>
                  <w:tcBorders>
                    <w:right w:val="single" w:color="auto" w:sz="4" w:space="0"/>
                  </w:tcBorders>
                  <w:vAlign w:val="center"/>
                </w:tcPr>
                <w:p w14:paraId="2884A86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60min</w:t>
                  </w:r>
                </w:p>
              </w:tc>
              <w:tc>
                <w:tcPr>
                  <w:tcW w:w="990" w:type="dxa"/>
                  <w:tcBorders>
                    <w:left w:val="single" w:color="auto" w:sz="4" w:space="0"/>
                    <w:right w:val="single" w:color="auto" w:sz="4" w:space="0"/>
                  </w:tcBorders>
                  <w:vAlign w:val="center"/>
                </w:tcPr>
                <w:p w14:paraId="3A410EA9">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984" w:type="dxa"/>
                  <w:tcBorders>
                    <w:left w:val="single" w:color="auto" w:sz="4" w:space="0"/>
                  </w:tcBorders>
                  <w:vAlign w:val="center"/>
                </w:tcPr>
                <w:p w14:paraId="60B64AA6">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888" w:type="dxa"/>
                  <w:vAlign w:val="center"/>
                </w:tcPr>
                <w:p w14:paraId="2EBE0ED1">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942" w:type="dxa"/>
                  <w:vAlign w:val="center"/>
                </w:tcPr>
                <w:p w14:paraId="126B4473">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r>
            <w:tr w14:paraId="67067E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468" w:type="dxa"/>
                  <w:vAlign w:val="center"/>
                </w:tcPr>
                <w:p w14:paraId="721C62E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81" w:type="dxa"/>
                  <w:vMerge w:val="restart"/>
                  <w:vAlign w:val="center"/>
                </w:tcPr>
                <w:p w14:paraId="633696D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干燥、包装</w:t>
                  </w:r>
                </w:p>
              </w:tc>
              <w:tc>
                <w:tcPr>
                  <w:tcW w:w="915" w:type="dxa"/>
                  <w:vMerge w:val="restart"/>
                  <w:vAlign w:val="center"/>
                </w:tcPr>
                <w:p w14:paraId="61C781E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w:t>
                  </w:r>
                </w:p>
              </w:tc>
              <w:tc>
                <w:tcPr>
                  <w:tcW w:w="1080" w:type="dxa"/>
                  <w:shd w:val="clear" w:color="auto" w:fill="auto"/>
                  <w:vAlign w:val="center"/>
                </w:tcPr>
                <w:p w14:paraId="5970F5F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15" w:type="dxa"/>
                  <w:tcBorders>
                    <w:right w:val="single" w:color="auto" w:sz="4" w:space="0"/>
                  </w:tcBorders>
                  <w:vAlign w:val="center"/>
                </w:tcPr>
                <w:p w14:paraId="2B00BAC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60min</w:t>
                  </w:r>
                </w:p>
              </w:tc>
              <w:tc>
                <w:tcPr>
                  <w:tcW w:w="990" w:type="dxa"/>
                  <w:tcBorders>
                    <w:left w:val="single" w:color="auto" w:sz="4" w:space="0"/>
                    <w:right w:val="single" w:color="auto" w:sz="4" w:space="0"/>
                  </w:tcBorders>
                  <w:shd w:val="clear" w:color="auto" w:fill="auto"/>
                  <w:vAlign w:val="center"/>
                </w:tcPr>
                <w:p w14:paraId="4C61DF05">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56.4</w:t>
                  </w:r>
                </w:p>
              </w:tc>
              <w:tc>
                <w:tcPr>
                  <w:tcW w:w="984" w:type="dxa"/>
                  <w:tcBorders>
                    <w:left w:val="single" w:color="auto" w:sz="4" w:space="0"/>
                  </w:tcBorders>
                  <w:shd w:val="clear" w:color="auto" w:fill="auto"/>
                  <w:vAlign w:val="center"/>
                </w:tcPr>
                <w:p w14:paraId="2904C56C">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0.282</w:t>
                  </w:r>
                </w:p>
              </w:tc>
              <w:tc>
                <w:tcPr>
                  <w:tcW w:w="888" w:type="dxa"/>
                  <w:shd w:val="clear" w:color="auto" w:fill="auto"/>
                  <w:vAlign w:val="center"/>
                </w:tcPr>
                <w:p w14:paraId="01BDDB62">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0.282</w:t>
                  </w:r>
                </w:p>
              </w:tc>
              <w:tc>
                <w:tcPr>
                  <w:tcW w:w="942" w:type="dxa"/>
                  <w:vAlign w:val="center"/>
                </w:tcPr>
                <w:p w14:paraId="25DFD98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r>
            <w:tr w14:paraId="14C2C6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468" w:type="dxa"/>
                  <w:vAlign w:val="center"/>
                </w:tcPr>
                <w:p w14:paraId="24C93AD6">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881" w:type="dxa"/>
                  <w:vMerge w:val="continue"/>
                  <w:vAlign w:val="center"/>
                </w:tcPr>
                <w:p w14:paraId="6D93309D">
                  <w:pPr>
                    <w:pStyle w:val="47"/>
                    <w:rPr>
                      <w:rFonts w:hint="default" w:ascii="Times New Roman" w:hAnsi="Times New Roman" w:cs="Times New Roman"/>
                      <w:color w:val="auto"/>
                      <w:sz w:val="21"/>
                      <w:szCs w:val="21"/>
                      <w:highlight w:val="none"/>
                      <w:lang w:val="en-US" w:eastAsia="zh-CN"/>
                    </w:rPr>
                  </w:pPr>
                </w:p>
              </w:tc>
              <w:tc>
                <w:tcPr>
                  <w:tcW w:w="915" w:type="dxa"/>
                  <w:vMerge w:val="continue"/>
                  <w:vAlign w:val="center"/>
                </w:tcPr>
                <w:p w14:paraId="0762B148">
                  <w:pPr>
                    <w:pStyle w:val="47"/>
                    <w:rPr>
                      <w:rFonts w:hint="default" w:ascii="Times New Roman" w:hAnsi="Times New Roman" w:eastAsia="宋体" w:cs="Times New Roman"/>
                      <w:color w:val="auto"/>
                      <w:sz w:val="21"/>
                      <w:szCs w:val="21"/>
                      <w:highlight w:val="none"/>
                      <w:lang w:val="en-US" w:eastAsia="zh-CN"/>
                    </w:rPr>
                  </w:pPr>
                </w:p>
              </w:tc>
              <w:tc>
                <w:tcPr>
                  <w:tcW w:w="1080" w:type="dxa"/>
                  <w:shd w:val="clear" w:color="auto" w:fill="auto"/>
                  <w:vAlign w:val="center"/>
                </w:tcPr>
                <w:p w14:paraId="62BDC9EE">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氨气</w:t>
                  </w:r>
                </w:p>
              </w:tc>
              <w:tc>
                <w:tcPr>
                  <w:tcW w:w="915" w:type="dxa"/>
                  <w:tcBorders>
                    <w:right w:val="single" w:color="auto" w:sz="4" w:space="0"/>
                  </w:tcBorders>
                  <w:vAlign w:val="center"/>
                </w:tcPr>
                <w:p w14:paraId="20BB56A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60min</w:t>
                  </w:r>
                </w:p>
              </w:tc>
              <w:tc>
                <w:tcPr>
                  <w:tcW w:w="990" w:type="dxa"/>
                  <w:tcBorders>
                    <w:left w:val="single" w:color="auto" w:sz="4" w:space="0"/>
                    <w:right w:val="single" w:color="auto" w:sz="4" w:space="0"/>
                  </w:tcBorders>
                  <w:vAlign w:val="center"/>
                </w:tcPr>
                <w:p w14:paraId="2CC81918">
                  <w:pPr>
                    <w:pStyle w:val="47"/>
                    <w:tabs>
                      <w:tab w:val="left" w:pos="353"/>
                    </w:tabs>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984" w:type="dxa"/>
                  <w:tcBorders>
                    <w:left w:val="single" w:color="auto" w:sz="4" w:space="0"/>
                  </w:tcBorders>
                  <w:vAlign w:val="center"/>
                </w:tcPr>
                <w:p w14:paraId="1D06BBA8">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0.014</w:t>
                  </w:r>
                </w:p>
              </w:tc>
              <w:tc>
                <w:tcPr>
                  <w:tcW w:w="888" w:type="dxa"/>
                  <w:vAlign w:val="center"/>
                </w:tcPr>
                <w:p w14:paraId="667F9CCA">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0.014</w:t>
                  </w:r>
                </w:p>
              </w:tc>
              <w:tc>
                <w:tcPr>
                  <w:tcW w:w="942" w:type="dxa"/>
                  <w:vAlign w:val="center"/>
                </w:tcPr>
                <w:p w14:paraId="6C8B1C5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r>
            <w:tr w14:paraId="11C8F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063" w:type="dxa"/>
                  <w:gridSpan w:val="9"/>
                  <w:vAlign w:val="center"/>
                </w:tcPr>
                <w:p w14:paraId="786697CC">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措施：加强设备保养，定期开展自行监测，存储必要的配件，发生故障时及时维修，尽快恢复设备运行。</w:t>
                  </w:r>
                </w:p>
              </w:tc>
            </w:tr>
          </w:tbl>
          <w:p w14:paraId="49AEEB97">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2.6废气自行监测</w:t>
            </w:r>
          </w:p>
          <w:p w14:paraId="018D1C75">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根据《排污单位自行监测技术指南 总则》（HJ819-2017）等文件要求进行自行监测，具体监控计划见表4-</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7CAD1BCB">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 xml:space="preserve">   环境监测计划</w:t>
            </w:r>
          </w:p>
          <w:tbl>
            <w:tblPr>
              <w:tblStyle w:val="30"/>
              <w:tblW w:w="846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5"/>
              <w:gridCol w:w="2010"/>
              <w:gridCol w:w="1230"/>
              <w:gridCol w:w="975"/>
              <w:gridCol w:w="2714"/>
            </w:tblGrid>
            <w:tr w14:paraId="0D612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14:paraId="578C57F2">
                  <w:pPr>
                    <w:pStyle w:val="4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排放形式</w:t>
                  </w:r>
                </w:p>
              </w:tc>
              <w:tc>
                <w:tcPr>
                  <w:tcW w:w="825" w:type="dxa"/>
                  <w:vAlign w:val="center"/>
                </w:tcPr>
                <w:p w14:paraId="264E64E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工段</w:t>
                  </w:r>
                </w:p>
              </w:tc>
              <w:tc>
                <w:tcPr>
                  <w:tcW w:w="2010" w:type="dxa"/>
                  <w:vAlign w:val="center"/>
                </w:tcPr>
                <w:p w14:paraId="56A1303D">
                  <w:pPr>
                    <w:pStyle w:val="4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监测点位</w:t>
                  </w:r>
                </w:p>
              </w:tc>
              <w:tc>
                <w:tcPr>
                  <w:tcW w:w="1230" w:type="dxa"/>
                  <w:vAlign w:val="center"/>
                </w:tcPr>
                <w:p w14:paraId="78288B3B">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975" w:type="dxa"/>
                  <w:vAlign w:val="center"/>
                </w:tcPr>
                <w:p w14:paraId="6D2B9F3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c>
                <w:tcPr>
                  <w:tcW w:w="2714" w:type="dxa"/>
                  <w:vAlign w:val="center"/>
                </w:tcPr>
                <w:p w14:paraId="0DC0732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排放标准</w:t>
                  </w:r>
                </w:p>
              </w:tc>
            </w:tr>
            <w:tr w14:paraId="74439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vAlign w:val="center"/>
                </w:tcPr>
                <w:p w14:paraId="0A681AB7">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w:t>
                  </w:r>
                </w:p>
              </w:tc>
              <w:tc>
                <w:tcPr>
                  <w:tcW w:w="825" w:type="dxa"/>
                  <w:shd w:val="clear" w:color="auto" w:fill="auto"/>
                  <w:vAlign w:val="center"/>
                </w:tcPr>
                <w:p w14:paraId="130FA303">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分解</w:t>
                  </w:r>
                </w:p>
              </w:tc>
              <w:tc>
                <w:tcPr>
                  <w:tcW w:w="2010" w:type="dxa"/>
                  <w:shd w:val="clear" w:color="auto" w:fill="auto"/>
                  <w:vAlign w:val="center"/>
                </w:tcPr>
                <w:p w14:paraId="04113C6D">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1</w:t>
                  </w:r>
                </w:p>
              </w:tc>
              <w:tc>
                <w:tcPr>
                  <w:tcW w:w="1230" w:type="dxa"/>
                  <w:vMerge w:val="restart"/>
                  <w:vAlign w:val="center"/>
                </w:tcPr>
                <w:p w14:paraId="4DEDAD3D">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75" w:type="dxa"/>
                  <w:vMerge w:val="restart"/>
                  <w:vAlign w:val="center"/>
                </w:tcPr>
                <w:p w14:paraId="7741ADB2">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cs="Times New Roman"/>
                      <w:color w:val="auto"/>
                      <w:sz w:val="21"/>
                      <w:szCs w:val="21"/>
                      <w:highlight w:val="none"/>
                      <w:lang w:val="en-US" w:eastAsia="zh-CN"/>
                    </w:rPr>
                    <w:t>半</w:t>
                  </w:r>
                  <w:r>
                    <w:rPr>
                      <w:rFonts w:hint="default" w:ascii="Times New Roman" w:hAnsi="Times New Roman" w:eastAsia="宋体" w:cs="Times New Roman"/>
                      <w:color w:val="auto"/>
                      <w:sz w:val="21"/>
                      <w:szCs w:val="21"/>
                      <w:highlight w:val="none"/>
                    </w:rPr>
                    <w:t>年</w:t>
                  </w:r>
                </w:p>
              </w:tc>
              <w:tc>
                <w:tcPr>
                  <w:tcW w:w="2714" w:type="dxa"/>
                  <w:vMerge w:val="restart"/>
                  <w:vAlign w:val="center"/>
                </w:tcPr>
                <w:p w14:paraId="1CBCB24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《大气污染物综合排放标准》（GB16297-1996）中限值要求</w:t>
                  </w:r>
                </w:p>
              </w:tc>
            </w:tr>
            <w:tr w14:paraId="3E351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14:paraId="06CCB9AB">
                  <w:pPr>
                    <w:pStyle w:val="47"/>
                    <w:ind w:firstLine="0" w:firstLineChars="0"/>
                    <w:rPr>
                      <w:rFonts w:hint="default" w:ascii="Times New Roman" w:hAnsi="Times New Roman" w:eastAsia="宋体" w:cs="Times New Roman"/>
                      <w:color w:val="auto"/>
                      <w:sz w:val="21"/>
                      <w:szCs w:val="21"/>
                      <w:highlight w:val="none"/>
                    </w:rPr>
                  </w:pPr>
                </w:p>
              </w:tc>
              <w:tc>
                <w:tcPr>
                  <w:tcW w:w="825" w:type="dxa"/>
                  <w:shd w:val="clear" w:color="auto" w:fill="auto"/>
                  <w:vAlign w:val="center"/>
                </w:tcPr>
                <w:p w14:paraId="2C5CE3B0">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w:t>
                  </w:r>
                </w:p>
              </w:tc>
              <w:tc>
                <w:tcPr>
                  <w:tcW w:w="2010" w:type="dxa"/>
                  <w:shd w:val="clear" w:color="auto" w:fill="auto"/>
                  <w:vAlign w:val="center"/>
                </w:tcPr>
                <w:p w14:paraId="2E76BA57">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default" w:ascii="Times New Roman" w:hAnsi="Times New Roman" w:cs="Times New Roman"/>
                      <w:color w:val="auto"/>
                      <w:sz w:val="21"/>
                      <w:szCs w:val="21"/>
                      <w:highlight w:val="none"/>
                      <w:lang w:val="en-US" w:eastAsia="zh-CN"/>
                    </w:rPr>
                    <w:t>2</w:t>
                  </w:r>
                </w:p>
              </w:tc>
              <w:tc>
                <w:tcPr>
                  <w:tcW w:w="1230" w:type="dxa"/>
                  <w:vMerge w:val="continue"/>
                  <w:vAlign w:val="center"/>
                </w:tcPr>
                <w:p w14:paraId="3BA85FCD">
                  <w:pPr>
                    <w:pStyle w:val="47"/>
                    <w:ind w:firstLine="0" w:firstLineChars="0"/>
                    <w:rPr>
                      <w:rFonts w:hint="default" w:ascii="Times New Roman" w:hAnsi="Times New Roman" w:eastAsia="宋体" w:cs="Times New Roman"/>
                      <w:color w:val="auto"/>
                      <w:sz w:val="21"/>
                      <w:szCs w:val="21"/>
                      <w:highlight w:val="none"/>
                      <w:lang w:val="en-US" w:eastAsia="zh-CN"/>
                    </w:rPr>
                  </w:pPr>
                </w:p>
              </w:tc>
              <w:tc>
                <w:tcPr>
                  <w:tcW w:w="975" w:type="dxa"/>
                  <w:vMerge w:val="continue"/>
                  <w:vAlign w:val="center"/>
                </w:tcPr>
                <w:p w14:paraId="358ACA5D">
                  <w:pPr>
                    <w:pStyle w:val="47"/>
                    <w:ind w:firstLine="0" w:firstLineChars="0"/>
                    <w:rPr>
                      <w:rFonts w:hint="default" w:ascii="Times New Roman" w:hAnsi="Times New Roman" w:eastAsia="宋体" w:cs="Times New Roman"/>
                      <w:color w:val="auto"/>
                      <w:sz w:val="21"/>
                      <w:szCs w:val="21"/>
                      <w:highlight w:val="none"/>
                      <w:lang w:val="en-US" w:eastAsia="zh-CN"/>
                    </w:rPr>
                  </w:pPr>
                </w:p>
              </w:tc>
              <w:tc>
                <w:tcPr>
                  <w:tcW w:w="2714" w:type="dxa"/>
                  <w:vMerge w:val="continue"/>
                  <w:vAlign w:val="center"/>
                </w:tcPr>
                <w:p w14:paraId="36231662">
                  <w:pPr>
                    <w:pStyle w:val="47"/>
                    <w:rPr>
                      <w:rFonts w:hint="default" w:ascii="Times New Roman" w:hAnsi="Times New Roman" w:eastAsia="宋体" w:cs="Times New Roman"/>
                      <w:color w:val="auto"/>
                      <w:sz w:val="21"/>
                      <w:szCs w:val="21"/>
                      <w:highlight w:val="none"/>
                    </w:rPr>
                  </w:pPr>
                </w:p>
              </w:tc>
            </w:tr>
            <w:tr w14:paraId="5312D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8" w:type="dxa"/>
                  <w:vMerge w:val="continue"/>
                  <w:vAlign w:val="center"/>
                </w:tcPr>
                <w:p w14:paraId="1A44B38A">
                  <w:pPr>
                    <w:pStyle w:val="47"/>
                    <w:ind w:firstLine="0" w:firstLineChars="0"/>
                    <w:rPr>
                      <w:rFonts w:hint="default" w:ascii="Times New Roman" w:hAnsi="Times New Roman" w:eastAsia="宋体" w:cs="Times New Roman"/>
                      <w:color w:val="auto"/>
                      <w:sz w:val="21"/>
                      <w:szCs w:val="21"/>
                      <w:highlight w:val="none"/>
                    </w:rPr>
                  </w:pPr>
                </w:p>
              </w:tc>
              <w:tc>
                <w:tcPr>
                  <w:tcW w:w="825" w:type="dxa"/>
                  <w:vMerge w:val="restart"/>
                  <w:shd w:val="clear" w:color="auto" w:fill="auto"/>
                  <w:vAlign w:val="center"/>
                </w:tcPr>
                <w:p w14:paraId="1AE5D4B1">
                  <w:pPr>
                    <w:pStyle w:val="47"/>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干燥、</w:t>
                  </w:r>
                  <w:r>
                    <w:rPr>
                      <w:rFonts w:hint="default" w:ascii="Times New Roman" w:hAnsi="Times New Roman" w:cs="Times New Roman"/>
                      <w:color w:val="auto"/>
                      <w:sz w:val="21"/>
                      <w:szCs w:val="21"/>
                      <w:highlight w:val="none"/>
                      <w:lang w:val="en-US" w:eastAsia="zh-CN"/>
                    </w:rPr>
                    <w:t>包装</w:t>
                  </w:r>
                </w:p>
              </w:tc>
              <w:tc>
                <w:tcPr>
                  <w:tcW w:w="2010" w:type="dxa"/>
                  <w:vMerge w:val="restart"/>
                  <w:shd w:val="clear" w:color="auto" w:fill="auto"/>
                  <w:vAlign w:val="center"/>
                </w:tcPr>
                <w:p w14:paraId="2BEF675A">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default" w:ascii="Times New Roman" w:hAnsi="Times New Roman" w:cs="Times New Roman"/>
                      <w:color w:val="auto"/>
                      <w:sz w:val="21"/>
                      <w:szCs w:val="21"/>
                      <w:highlight w:val="none"/>
                      <w:lang w:val="en-US" w:eastAsia="zh-CN"/>
                    </w:rPr>
                    <w:t>3</w:t>
                  </w:r>
                </w:p>
              </w:tc>
              <w:tc>
                <w:tcPr>
                  <w:tcW w:w="1230" w:type="dxa"/>
                  <w:vMerge w:val="continue"/>
                  <w:vAlign w:val="center"/>
                </w:tcPr>
                <w:p w14:paraId="68A27FDA">
                  <w:pPr>
                    <w:pStyle w:val="47"/>
                    <w:ind w:firstLine="0" w:firstLineChars="0"/>
                    <w:rPr>
                      <w:rFonts w:hint="default" w:ascii="Times New Roman" w:hAnsi="Times New Roman" w:eastAsia="宋体" w:cs="Times New Roman"/>
                      <w:color w:val="auto"/>
                      <w:sz w:val="21"/>
                      <w:szCs w:val="21"/>
                      <w:highlight w:val="none"/>
                      <w:lang w:val="en-US" w:eastAsia="zh-CN"/>
                    </w:rPr>
                  </w:pPr>
                </w:p>
              </w:tc>
              <w:tc>
                <w:tcPr>
                  <w:tcW w:w="975" w:type="dxa"/>
                  <w:vMerge w:val="continue"/>
                  <w:vAlign w:val="center"/>
                </w:tcPr>
                <w:p w14:paraId="787FE11E">
                  <w:pPr>
                    <w:pStyle w:val="47"/>
                    <w:ind w:firstLine="0" w:firstLineChars="0"/>
                    <w:rPr>
                      <w:rFonts w:hint="default" w:ascii="Times New Roman" w:hAnsi="Times New Roman" w:eastAsia="宋体" w:cs="Times New Roman"/>
                      <w:color w:val="auto"/>
                      <w:sz w:val="21"/>
                      <w:szCs w:val="21"/>
                      <w:highlight w:val="none"/>
                      <w:lang w:val="en-US" w:eastAsia="zh-CN"/>
                    </w:rPr>
                  </w:pPr>
                </w:p>
              </w:tc>
              <w:tc>
                <w:tcPr>
                  <w:tcW w:w="2714" w:type="dxa"/>
                  <w:vMerge w:val="continue"/>
                  <w:vAlign w:val="center"/>
                </w:tcPr>
                <w:p w14:paraId="12FE623C">
                  <w:pPr>
                    <w:pStyle w:val="47"/>
                    <w:rPr>
                      <w:rFonts w:hint="default" w:ascii="Times New Roman" w:hAnsi="Times New Roman" w:eastAsia="宋体" w:cs="Times New Roman"/>
                      <w:color w:val="auto"/>
                      <w:sz w:val="21"/>
                      <w:szCs w:val="21"/>
                      <w:highlight w:val="none"/>
                    </w:rPr>
                  </w:pPr>
                </w:p>
              </w:tc>
            </w:tr>
            <w:tr w14:paraId="123ED0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14:paraId="4CEE1252">
                  <w:pPr>
                    <w:pStyle w:val="47"/>
                    <w:ind w:firstLine="0" w:firstLineChars="0"/>
                    <w:rPr>
                      <w:rFonts w:hint="default" w:ascii="Times New Roman" w:hAnsi="Times New Roman" w:eastAsia="宋体" w:cs="Times New Roman"/>
                      <w:color w:val="auto"/>
                      <w:sz w:val="21"/>
                      <w:szCs w:val="21"/>
                      <w:highlight w:val="none"/>
                    </w:rPr>
                  </w:pPr>
                </w:p>
              </w:tc>
              <w:tc>
                <w:tcPr>
                  <w:tcW w:w="825" w:type="dxa"/>
                  <w:vMerge w:val="continue"/>
                  <w:shd w:val="clear" w:color="auto" w:fill="auto"/>
                  <w:vAlign w:val="center"/>
                </w:tcPr>
                <w:p w14:paraId="2901292A">
                  <w:pPr>
                    <w:pStyle w:val="47"/>
                    <w:ind w:firstLine="0" w:firstLineChars="0"/>
                    <w:rPr>
                      <w:rFonts w:hint="default" w:ascii="Times New Roman" w:hAnsi="Times New Roman" w:cs="Times New Roman"/>
                      <w:color w:val="auto"/>
                      <w:sz w:val="21"/>
                      <w:szCs w:val="21"/>
                      <w:highlight w:val="none"/>
                      <w:lang w:val="en-US" w:eastAsia="zh-CN"/>
                    </w:rPr>
                  </w:pPr>
                </w:p>
              </w:tc>
              <w:tc>
                <w:tcPr>
                  <w:tcW w:w="2010" w:type="dxa"/>
                  <w:vMerge w:val="continue"/>
                  <w:shd w:val="clear" w:color="auto" w:fill="auto"/>
                  <w:vAlign w:val="center"/>
                </w:tcPr>
                <w:p w14:paraId="27D6B6ED">
                  <w:pPr>
                    <w:pStyle w:val="47"/>
                    <w:ind w:firstLine="0" w:firstLineChars="0"/>
                    <w:rPr>
                      <w:rFonts w:hint="default" w:ascii="Times New Roman" w:hAnsi="Times New Roman" w:eastAsia="宋体" w:cs="Times New Roman"/>
                      <w:color w:val="auto"/>
                      <w:sz w:val="21"/>
                      <w:szCs w:val="21"/>
                      <w:highlight w:val="none"/>
                      <w:lang w:val="en-US" w:eastAsia="zh-CN"/>
                    </w:rPr>
                  </w:pPr>
                </w:p>
              </w:tc>
              <w:tc>
                <w:tcPr>
                  <w:tcW w:w="1230" w:type="dxa"/>
                  <w:vAlign w:val="center"/>
                </w:tcPr>
                <w:p w14:paraId="11FE2A66">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975" w:type="dxa"/>
                  <w:vAlign w:val="center"/>
                </w:tcPr>
                <w:p w14:paraId="637B6C98">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季度</w:t>
                  </w:r>
                </w:p>
              </w:tc>
              <w:tc>
                <w:tcPr>
                  <w:tcW w:w="2714" w:type="dxa"/>
                  <w:vAlign w:val="center"/>
                </w:tcPr>
                <w:p w14:paraId="6E1B5188">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恶臭污染物排放标准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14554-93</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二级排放标准</w:t>
                  </w:r>
                </w:p>
              </w:tc>
            </w:tr>
            <w:tr w14:paraId="7F774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restart"/>
                  <w:vAlign w:val="center"/>
                </w:tcPr>
                <w:p w14:paraId="2DA2A392">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无组织</w:t>
                  </w:r>
                </w:p>
              </w:tc>
              <w:tc>
                <w:tcPr>
                  <w:tcW w:w="825" w:type="dxa"/>
                  <w:vMerge w:val="restart"/>
                  <w:shd w:val="clear" w:color="auto" w:fill="auto"/>
                  <w:vAlign w:val="center"/>
                </w:tcPr>
                <w:p w14:paraId="1610C4C5">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厂界</w:t>
                  </w:r>
                </w:p>
              </w:tc>
              <w:tc>
                <w:tcPr>
                  <w:tcW w:w="2010" w:type="dxa"/>
                  <w:vMerge w:val="restart"/>
                  <w:vAlign w:val="center"/>
                </w:tcPr>
                <w:p w14:paraId="192DDF1A">
                  <w:pPr>
                    <w:pStyle w:val="47"/>
                    <w:ind w:firstLine="0" w:firstLineChars="0"/>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厂界外</w:t>
                  </w:r>
                  <w:r>
                    <w:rPr>
                      <w:rFonts w:hint="default" w:ascii="Times New Roman" w:hAnsi="Times New Roman" w:eastAsia="宋体" w:cs="Times New Roman"/>
                      <w:color w:val="auto"/>
                      <w:sz w:val="21"/>
                      <w:szCs w:val="21"/>
                      <w:highlight w:val="none"/>
                    </w:rPr>
                    <w:t>，距离地面1.5m以上位置处进行监测</w:t>
                  </w:r>
                </w:p>
              </w:tc>
              <w:tc>
                <w:tcPr>
                  <w:tcW w:w="1230" w:type="dxa"/>
                  <w:vAlign w:val="center"/>
                </w:tcPr>
                <w:p w14:paraId="6E3907D7">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75" w:type="dxa"/>
                  <w:vAlign w:val="center"/>
                </w:tcPr>
                <w:p w14:paraId="45BF2DDA">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季度</w:t>
                  </w:r>
                </w:p>
              </w:tc>
              <w:tc>
                <w:tcPr>
                  <w:tcW w:w="2714" w:type="dxa"/>
                  <w:vAlign w:val="center"/>
                </w:tcPr>
                <w:p w14:paraId="6E1AC43E">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《大气污染物综合排放标准》（GB16297-1996）中限值要求</w:t>
                  </w:r>
                </w:p>
              </w:tc>
            </w:tr>
            <w:tr w14:paraId="714BE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14:paraId="0CDA1FBF">
                  <w:pPr>
                    <w:pStyle w:val="47"/>
                    <w:ind w:firstLine="0" w:firstLineChars="0"/>
                    <w:rPr>
                      <w:rFonts w:hint="default" w:ascii="Times New Roman" w:hAnsi="Times New Roman" w:cs="Times New Roman"/>
                      <w:color w:val="auto"/>
                      <w:sz w:val="21"/>
                      <w:szCs w:val="21"/>
                      <w:highlight w:val="none"/>
                      <w:lang w:val="en-US" w:eastAsia="zh-CN"/>
                    </w:rPr>
                  </w:pPr>
                </w:p>
              </w:tc>
              <w:tc>
                <w:tcPr>
                  <w:tcW w:w="825" w:type="dxa"/>
                  <w:vMerge w:val="continue"/>
                  <w:shd w:val="clear" w:color="auto" w:fill="auto"/>
                  <w:vAlign w:val="center"/>
                </w:tcPr>
                <w:p w14:paraId="637EA39A">
                  <w:pPr>
                    <w:pStyle w:val="47"/>
                    <w:ind w:firstLine="0" w:firstLineChars="0"/>
                    <w:rPr>
                      <w:rFonts w:hint="default" w:ascii="Times New Roman" w:hAnsi="Times New Roman" w:cs="Times New Roman"/>
                      <w:color w:val="auto"/>
                      <w:sz w:val="21"/>
                      <w:szCs w:val="21"/>
                      <w:highlight w:val="none"/>
                      <w:lang w:val="en-US" w:eastAsia="zh-CN"/>
                    </w:rPr>
                  </w:pPr>
                </w:p>
              </w:tc>
              <w:tc>
                <w:tcPr>
                  <w:tcW w:w="2010" w:type="dxa"/>
                  <w:vMerge w:val="continue"/>
                  <w:vAlign w:val="center"/>
                </w:tcPr>
                <w:p w14:paraId="11D2AAC9">
                  <w:pPr>
                    <w:pStyle w:val="47"/>
                    <w:ind w:firstLine="0" w:firstLineChars="0"/>
                    <w:rPr>
                      <w:rFonts w:hint="default" w:ascii="Times New Roman" w:hAnsi="Times New Roman" w:eastAsia="宋体" w:cs="Times New Roman"/>
                      <w:color w:val="auto"/>
                      <w:sz w:val="21"/>
                      <w:szCs w:val="21"/>
                      <w:highlight w:val="none"/>
                    </w:rPr>
                  </w:pPr>
                </w:p>
              </w:tc>
              <w:tc>
                <w:tcPr>
                  <w:tcW w:w="1230" w:type="dxa"/>
                  <w:vAlign w:val="center"/>
                </w:tcPr>
                <w:p w14:paraId="7681CF89">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tc>
              <w:tc>
                <w:tcPr>
                  <w:tcW w:w="975" w:type="dxa"/>
                  <w:vMerge w:val="restart"/>
                  <w:vAlign w:val="center"/>
                </w:tcPr>
                <w:p w14:paraId="2A6A621B">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/季度</w:t>
                  </w:r>
                </w:p>
              </w:tc>
              <w:tc>
                <w:tcPr>
                  <w:tcW w:w="2714" w:type="dxa"/>
                  <w:vMerge w:val="restart"/>
                  <w:vAlign w:val="center"/>
                </w:tcPr>
                <w:p w14:paraId="6D4225A7">
                  <w:pPr>
                    <w:pStyle w:val="47"/>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恶臭污染物排放标准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14554-93</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二级排放标准</w:t>
                  </w:r>
                </w:p>
              </w:tc>
            </w:tr>
            <w:tr w14:paraId="1D941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Merge w:val="continue"/>
                  <w:vAlign w:val="center"/>
                </w:tcPr>
                <w:p w14:paraId="283A0D7D">
                  <w:pPr>
                    <w:pStyle w:val="47"/>
                    <w:ind w:firstLine="0" w:firstLineChars="0"/>
                    <w:rPr>
                      <w:rFonts w:hint="default" w:ascii="Times New Roman" w:hAnsi="Times New Roman" w:cs="Times New Roman"/>
                      <w:color w:val="auto"/>
                      <w:sz w:val="21"/>
                      <w:szCs w:val="21"/>
                      <w:highlight w:val="none"/>
                      <w:lang w:val="en-US" w:eastAsia="zh-CN"/>
                    </w:rPr>
                  </w:pPr>
                </w:p>
              </w:tc>
              <w:tc>
                <w:tcPr>
                  <w:tcW w:w="825" w:type="dxa"/>
                  <w:vMerge w:val="continue"/>
                  <w:shd w:val="clear" w:color="auto" w:fill="auto"/>
                  <w:vAlign w:val="center"/>
                </w:tcPr>
                <w:p w14:paraId="0B9B0E86">
                  <w:pPr>
                    <w:pStyle w:val="47"/>
                    <w:ind w:firstLine="0" w:firstLineChars="0"/>
                    <w:rPr>
                      <w:rFonts w:hint="default" w:ascii="Times New Roman" w:hAnsi="Times New Roman" w:cs="Times New Roman"/>
                      <w:color w:val="auto"/>
                      <w:sz w:val="21"/>
                      <w:szCs w:val="21"/>
                      <w:highlight w:val="none"/>
                      <w:lang w:val="en-US" w:eastAsia="zh-CN"/>
                    </w:rPr>
                  </w:pPr>
                </w:p>
              </w:tc>
              <w:tc>
                <w:tcPr>
                  <w:tcW w:w="2010" w:type="dxa"/>
                  <w:vMerge w:val="continue"/>
                  <w:vAlign w:val="center"/>
                </w:tcPr>
                <w:p w14:paraId="4E245616">
                  <w:pPr>
                    <w:pStyle w:val="47"/>
                    <w:ind w:firstLine="0" w:firstLineChars="0"/>
                    <w:rPr>
                      <w:rFonts w:hint="default" w:ascii="Times New Roman" w:hAnsi="Times New Roman" w:eastAsia="宋体" w:cs="Times New Roman"/>
                      <w:color w:val="auto"/>
                      <w:sz w:val="21"/>
                      <w:szCs w:val="21"/>
                      <w:highlight w:val="none"/>
                    </w:rPr>
                  </w:pPr>
                </w:p>
              </w:tc>
              <w:tc>
                <w:tcPr>
                  <w:tcW w:w="1230" w:type="dxa"/>
                  <w:vAlign w:val="center"/>
                </w:tcPr>
                <w:p w14:paraId="6712FA22">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975" w:type="dxa"/>
                  <w:vMerge w:val="continue"/>
                  <w:vAlign w:val="center"/>
                </w:tcPr>
                <w:p w14:paraId="6912B500">
                  <w:pPr>
                    <w:pStyle w:val="47"/>
                    <w:ind w:firstLine="0" w:firstLineChars="0"/>
                    <w:rPr>
                      <w:rFonts w:hint="default" w:ascii="Times New Roman" w:hAnsi="Times New Roman" w:eastAsia="宋体" w:cs="Times New Roman"/>
                      <w:color w:val="auto"/>
                      <w:sz w:val="21"/>
                      <w:szCs w:val="21"/>
                      <w:highlight w:val="none"/>
                    </w:rPr>
                  </w:pPr>
                </w:p>
              </w:tc>
              <w:tc>
                <w:tcPr>
                  <w:tcW w:w="2714" w:type="dxa"/>
                  <w:vMerge w:val="continue"/>
                  <w:vAlign w:val="center"/>
                </w:tcPr>
                <w:p w14:paraId="24BB89E5">
                  <w:pPr>
                    <w:pStyle w:val="47"/>
                    <w:ind w:firstLine="0" w:firstLineChars="0"/>
                    <w:rPr>
                      <w:rFonts w:hint="default" w:ascii="Times New Roman" w:hAnsi="Times New Roman" w:eastAsia="宋体" w:cs="Times New Roman"/>
                      <w:color w:val="auto"/>
                      <w:sz w:val="21"/>
                      <w:szCs w:val="21"/>
                      <w:highlight w:val="none"/>
                    </w:rPr>
                  </w:pPr>
                </w:p>
              </w:tc>
            </w:tr>
          </w:tbl>
          <w:p w14:paraId="1EF2B0CE">
            <w:pPr>
              <w:spacing w:line="360" w:lineRule="auto"/>
              <w:ind w:left="0" w:leftChars="0" w:firstLine="0" w:firstLineChars="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3.废水污染分析</w:t>
            </w:r>
          </w:p>
          <w:p w14:paraId="197B9BAE">
            <w:pPr>
              <w:adjustRightInd w:val="0"/>
              <w:ind w:firstLine="48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生产用水，主要为生活</w:t>
            </w:r>
            <w:r>
              <w:rPr>
                <w:rFonts w:hint="default"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水排放。</w:t>
            </w:r>
          </w:p>
          <w:p w14:paraId="41E07DFD">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生活</w:t>
            </w:r>
            <w:r>
              <w:rPr>
                <w:rFonts w:hint="default"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水产生量按用水量的80%计，则生活</w:t>
            </w:r>
            <w:r>
              <w:rPr>
                <w:rFonts w:hint="default"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水产生量为</w:t>
            </w:r>
            <w:r>
              <w:rPr>
                <w:rFonts w:hint="default" w:ascii="Times New Roman" w:hAnsi="Times New Roman" w:cs="Times New Roman"/>
                <w:color w:val="auto"/>
                <w:sz w:val="24"/>
                <w:szCs w:val="24"/>
                <w:highlight w:val="none"/>
                <w:lang w:val="en-US" w:eastAsia="zh-CN"/>
              </w:rPr>
              <w:t>2779.84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highlight w:val="none"/>
              </w:rPr>
              <w:t>生活</w:t>
            </w:r>
            <w:r>
              <w:rPr>
                <w:rFonts w:hint="default" w:ascii="Times New Roman" w:hAnsi="Times New Roman" w:cs="Times New Roman"/>
                <w:color w:val="auto"/>
                <w:highlight w:val="none"/>
                <w:lang w:val="en-US" w:eastAsia="zh-CN"/>
              </w:rPr>
              <w:t>污</w:t>
            </w:r>
            <w:r>
              <w:rPr>
                <w:rFonts w:hint="default" w:ascii="Times New Roman" w:hAnsi="Times New Roman" w:cs="Times New Roman"/>
                <w:color w:val="auto"/>
                <w:highlight w:val="none"/>
              </w:rPr>
              <w:t>水经</w:t>
            </w:r>
            <w:r>
              <w:rPr>
                <w:rFonts w:hint="default" w:ascii="Times New Roman" w:hAnsi="Times New Roman" w:cs="Times New Roman"/>
                <w:lang w:val="en-US" w:eastAsia="zh-CN"/>
              </w:rPr>
              <w:t>防渗</w:t>
            </w:r>
            <w:r>
              <w:rPr>
                <w:rFonts w:hint="default" w:ascii="Times New Roman" w:hAnsi="Times New Roman" w:cs="Times New Roman"/>
                <w:color w:val="auto"/>
                <w:highlight w:val="none"/>
              </w:rPr>
              <w:t>隔油池</w:t>
            </w:r>
            <w:r>
              <w:rPr>
                <w:rFonts w:hint="default" w:ascii="Times New Roman" w:hAnsi="Times New Roman" w:cs="Times New Roman"/>
                <w:color w:val="auto"/>
                <w:highlight w:val="none"/>
                <w:lang w:val="en-US" w:eastAsia="zh-CN"/>
              </w:rPr>
              <w:t>收集后</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highlight w:val="none"/>
              </w:rPr>
              <w:t>排入园区下水管网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最终进入铁门关市污水处理厂进行处置。</w:t>
            </w:r>
          </w:p>
          <w:p w14:paraId="377A1E1B">
            <w:pPr>
              <w:autoSpaceDE w:val="0"/>
              <w:autoSpaceDN w:val="0"/>
              <w:ind w:firstLine="480"/>
              <w:jc w:val="left"/>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Cs/>
                <w:color w:val="auto"/>
                <w:kern w:val="0"/>
                <w:sz w:val="24"/>
                <w:szCs w:val="24"/>
                <w:highlight w:val="none"/>
              </w:rPr>
              <w:t>项目生活</w:t>
            </w:r>
            <w:r>
              <w:rPr>
                <w:rFonts w:hint="default" w:ascii="Times New Roman" w:hAnsi="Times New Roman" w:cs="Times New Roman"/>
                <w:bCs/>
                <w:color w:val="auto"/>
                <w:kern w:val="0"/>
                <w:sz w:val="24"/>
                <w:szCs w:val="24"/>
                <w:highlight w:val="none"/>
                <w:lang w:val="en-US" w:eastAsia="zh-CN"/>
              </w:rPr>
              <w:t>污</w:t>
            </w:r>
            <w:r>
              <w:rPr>
                <w:rFonts w:hint="default" w:ascii="Times New Roman" w:hAnsi="Times New Roman" w:eastAsia="宋体" w:cs="Times New Roman"/>
                <w:bCs/>
                <w:color w:val="auto"/>
                <w:kern w:val="0"/>
                <w:sz w:val="24"/>
                <w:szCs w:val="24"/>
                <w:highlight w:val="none"/>
              </w:rPr>
              <w:t>水产生及排放情况见表4-</w:t>
            </w:r>
            <w:r>
              <w:rPr>
                <w:rFonts w:hint="default" w:ascii="Times New Roman" w:hAnsi="Times New Roman" w:cs="Times New Roman"/>
                <w:bCs/>
                <w:color w:val="auto"/>
                <w:kern w:val="0"/>
                <w:sz w:val="24"/>
                <w:szCs w:val="24"/>
                <w:highlight w:val="none"/>
                <w:lang w:val="en-US" w:eastAsia="zh-CN"/>
              </w:rPr>
              <w:t>6</w:t>
            </w:r>
            <w:r>
              <w:rPr>
                <w:rFonts w:hint="default" w:ascii="Times New Roman" w:hAnsi="Times New Roman" w:eastAsia="宋体" w:cs="Times New Roman"/>
                <w:bCs/>
                <w:color w:val="auto"/>
                <w:kern w:val="0"/>
                <w:sz w:val="24"/>
                <w:szCs w:val="24"/>
                <w:highlight w:val="none"/>
              </w:rPr>
              <w:t>。</w:t>
            </w:r>
          </w:p>
          <w:p w14:paraId="68148BC7">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 xml:space="preserve">6 </w:t>
            </w:r>
            <w:r>
              <w:rPr>
                <w:rFonts w:hint="default" w:ascii="Times New Roman" w:hAnsi="Times New Roman" w:eastAsia="宋体" w:cs="Times New Roman"/>
                <w:color w:val="auto"/>
                <w:sz w:val="21"/>
                <w:szCs w:val="21"/>
                <w:highlight w:val="none"/>
              </w:rPr>
              <w:t xml:space="preserve">  项目生活</w:t>
            </w:r>
            <w:r>
              <w:rPr>
                <w:rFonts w:hint="default" w:ascii="Times New Roman" w:hAnsi="Times New Roman"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rPr>
              <w:t>水产生及排放情况表</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8"/>
              <w:gridCol w:w="818"/>
              <w:gridCol w:w="1869"/>
              <w:gridCol w:w="789"/>
              <w:gridCol w:w="913"/>
              <w:gridCol w:w="873"/>
              <w:gridCol w:w="941"/>
              <w:gridCol w:w="982"/>
              <w:gridCol w:w="469"/>
            </w:tblGrid>
            <w:tr w14:paraId="15CF5F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5" w:type="pct"/>
                  <w:vMerge w:val="restart"/>
                  <w:tcBorders>
                    <w:tl2br w:val="nil"/>
                    <w:tr2bl w:val="nil"/>
                  </w:tcBorders>
                  <w:noWrap w:val="0"/>
                  <w:vAlign w:val="center"/>
                </w:tcPr>
                <w:p w14:paraId="666C6A23">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废水类别</w:t>
                  </w:r>
                </w:p>
              </w:tc>
              <w:tc>
                <w:tcPr>
                  <w:tcW w:w="492" w:type="pct"/>
                  <w:vMerge w:val="restart"/>
                  <w:tcBorders>
                    <w:tl2br w:val="nil"/>
                    <w:tr2bl w:val="nil"/>
                  </w:tcBorders>
                  <w:noWrap w:val="0"/>
                  <w:vAlign w:val="center"/>
                </w:tcPr>
                <w:p w14:paraId="3BD5C3CC">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废水量m³/a</w:t>
                  </w:r>
                </w:p>
              </w:tc>
              <w:tc>
                <w:tcPr>
                  <w:tcW w:w="1124" w:type="pct"/>
                  <w:vMerge w:val="restart"/>
                  <w:tcBorders>
                    <w:tl2br w:val="nil"/>
                    <w:tr2bl w:val="nil"/>
                  </w:tcBorders>
                  <w:noWrap w:val="0"/>
                  <w:vAlign w:val="center"/>
                </w:tcPr>
                <w:p w14:paraId="2431891A">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2705" w:type="pct"/>
                  <w:gridSpan w:val="5"/>
                  <w:tcBorders>
                    <w:right w:val="single" w:color="auto" w:sz="4" w:space="0"/>
                    <w:tl2br w:val="nil"/>
                    <w:tr2bl w:val="nil"/>
                  </w:tcBorders>
                  <w:noWrap w:val="0"/>
                  <w:vAlign w:val="center"/>
                </w:tcPr>
                <w:p w14:paraId="6DC611C5">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水质组成</w:t>
                  </w:r>
                </w:p>
              </w:tc>
              <w:tc>
                <w:tcPr>
                  <w:tcW w:w="282" w:type="pct"/>
                  <w:vMerge w:val="restart"/>
                  <w:tcBorders>
                    <w:left w:val="single" w:color="auto" w:sz="4" w:space="0"/>
                    <w:tl2br w:val="nil"/>
                    <w:tr2bl w:val="nil"/>
                  </w:tcBorders>
                  <w:noWrap w:val="0"/>
                  <w:vAlign w:val="center"/>
                </w:tcPr>
                <w:p w14:paraId="2D6358FF">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达标判定</w:t>
                  </w:r>
                </w:p>
              </w:tc>
            </w:tr>
            <w:tr w14:paraId="21BABB0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5" w:type="pct"/>
                  <w:vMerge w:val="continue"/>
                  <w:tcBorders>
                    <w:tl2br w:val="nil"/>
                    <w:tr2bl w:val="nil"/>
                  </w:tcBorders>
                  <w:noWrap w:val="0"/>
                  <w:vAlign w:val="center"/>
                </w:tcPr>
                <w:p w14:paraId="588A5648">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492" w:type="pct"/>
                  <w:vMerge w:val="continue"/>
                  <w:tcBorders>
                    <w:tl2br w:val="nil"/>
                    <w:tr2bl w:val="nil"/>
                  </w:tcBorders>
                  <w:noWrap w:val="0"/>
                  <w:vAlign w:val="center"/>
                </w:tcPr>
                <w:p w14:paraId="001406F9">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24" w:type="pct"/>
                  <w:vMerge w:val="continue"/>
                  <w:tcBorders>
                    <w:tl2br w:val="nil"/>
                    <w:tr2bl w:val="nil"/>
                  </w:tcBorders>
                  <w:noWrap w:val="0"/>
                  <w:vAlign w:val="center"/>
                </w:tcPr>
                <w:p w14:paraId="088908FF">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474" w:type="pct"/>
                  <w:tcBorders>
                    <w:tl2br w:val="nil"/>
                    <w:tr2bl w:val="nil"/>
                  </w:tcBorders>
                  <w:noWrap w:val="0"/>
                  <w:vAlign w:val="center"/>
                </w:tcPr>
                <w:p w14:paraId="63E2A652">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549" w:type="pct"/>
                  <w:tcBorders>
                    <w:tl2br w:val="nil"/>
                    <w:tr2bl w:val="nil"/>
                  </w:tcBorders>
                  <w:noWrap w:val="0"/>
                  <w:vAlign w:val="center"/>
                </w:tcPr>
                <w:p w14:paraId="2DAE4F5C">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525" w:type="pct"/>
                  <w:tcBorders>
                    <w:tl2br w:val="nil"/>
                    <w:tr2bl w:val="nil"/>
                  </w:tcBorders>
                  <w:noWrap w:val="0"/>
                  <w:vAlign w:val="center"/>
                </w:tcPr>
                <w:p w14:paraId="3F976F9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566" w:type="pct"/>
                  <w:tcBorders>
                    <w:right w:val="single" w:color="auto" w:sz="4" w:space="0"/>
                    <w:tl2br w:val="nil"/>
                    <w:tr2bl w:val="nil"/>
                  </w:tcBorders>
                  <w:noWrap w:val="0"/>
                  <w:vAlign w:val="center"/>
                </w:tcPr>
                <w:p w14:paraId="1D574811">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590" w:type="pct"/>
                  <w:tcBorders>
                    <w:left w:val="single" w:color="auto" w:sz="4" w:space="0"/>
                    <w:right w:val="single" w:color="auto" w:sz="4" w:space="0"/>
                    <w:tl2br w:val="nil"/>
                    <w:tr2bl w:val="nil"/>
                  </w:tcBorders>
                  <w:noWrap w:val="0"/>
                  <w:vAlign w:val="center"/>
                </w:tcPr>
                <w:p w14:paraId="565B616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动植物油</w:t>
                  </w:r>
                </w:p>
              </w:tc>
              <w:tc>
                <w:tcPr>
                  <w:tcW w:w="282" w:type="pct"/>
                  <w:vMerge w:val="continue"/>
                  <w:tcBorders>
                    <w:left w:val="single" w:color="auto" w:sz="4" w:space="0"/>
                    <w:tl2br w:val="nil"/>
                    <w:tr2bl w:val="nil"/>
                  </w:tcBorders>
                  <w:noWrap w:val="0"/>
                  <w:vAlign w:val="center"/>
                </w:tcPr>
                <w:p w14:paraId="1B53096C">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14:paraId="5499A54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395" w:type="pct"/>
                  <w:vMerge w:val="restart"/>
                  <w:tcBorders>
                    <w:tl2br w:val="nil"/>
                    <w:tr2bl w:val="nil"/>
                  </w:tcBorders>
                  <w:noWrap w:val="0"/>
                  <w:vAlign w:val="center"/>
                </w:tcPr>
                <w:p w14:paraId="1DAC8422">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492" w:type="pct"/>
                  <w:vMerge w:val="restart"/>
                  <w:tcBorders>
                    <w:tl2br w:val="nil"/>
                    <w:tr2bl w:val="nil"/>
                  </w:tcBorders>
                  <w:noWrap w:val="0"/>
                  <w:vAlign w:val="center"/>
                </w:tcPr>
                <w:p w14:paraId="63AF7D10">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2688</w:t>
                  </w:r>
                </w:p>
              </w:tc>
              <w:tc>
                <w:tcPr>
                  <w:tcW w:w="1124" w:type="pct"/>
                  <w:tcBorders>
                    <w:tl2br w:val="nil"/>
                    <w:tr2bl w:val="nil"/>
                  </w:tcBorders>
                  <w:noWrap w:val="0"/>
                  <w:vAlign w:val="center"/>
                </w:tcPr>
                <w:p w14:paraId="4AE499E8">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产生浓度（mg/L）</w:t>
                  </w:r>
                </w:p>
              </w:tc>
              <w:tc>
                <w:tcPr>
                  <w:tcW w:w="474" w:type="pct"/>
                  <w:tcBorders>
                    <w:tl2br w:val="nil"/>
                    <w:tr2bl w:val="nil"/>
                  </w:tcBorders>
                  <w:noWrap w:val="0"/>
                  <w:vAlign w:val="center"/>
                </w:tcPr>
                <w:p w14:paraId="0D41B6EA">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549" w:type="pct"/>
                  <w:tcBorders>
                    <w:tl2br w:val="nil"/>
                    <w:tr2bl w:val="nil"/>
                  </w:tcBorders>
                  <w:noWrap w:val="0"/>
                  <w:vAlign w:val="center"/>
                </w:tcPr>
                <w:p w14:paraId="03547C74">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525" w:type="pct"/>
                  <w:tcBorders>
                    <w:tl2br w:val="nil"/>
                    <w:tr2bl w:val="nil"/>
                  </w:tcBorders>
                  <w:noWrap w:val="0"/>
                  <w:vAlign w:val="center"/>
                </w:tcPr>
                <w:p w14:paraId="6095234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566" w:type="pct"/>
                  <w:tcBorders>
                    <w:right w:val="single" w:color="auto" w:sz="4" w:space="0"/>
                    <w:tl2br w:val="nil"/>
                    <w:tr2bl w:val="nil"/>
                  </w:tcBorders>
                  <w:noWrap w:val="0"/>
                  <w:vAlign w:val="center"/>
                </w:tcPr>
                <w:p w14:paraId="04D1DC2D">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280</w:t>
                  </w:r>
                </w:p>
              </w:tc>
              <w:tc>
                <w:tcPr>
                  <w:tcW w:w="590" w:type="pct"/>
                  <w:tcBorders>
                    <w:left w:val="single" w:color="auto" w:sz="4" w:space="0"/>
                    <w:right w:val="single" w:color="auto" w:sz="4" w:space="0"/>
                    <w:tl2br w:val="nil"/>
                    <w:tr2bl w:val="nil"/>
                  </w:tcBorders>
                  <w:noWrap w:val="0"/>
                  <w:vAlign w:val="center"/>
                </w:tcPr>
                <w:p w14:paraId="50E8B988">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c>
                <w:tcPr>
                  <w:tcW w:w="282" w:type="pct"/>
                  <w:vMerge w:val="restart"/>
                  <w:tcBorders>
                    <w:left w:val="single" w:color="auto" w:sz="4" w:space="0"/>
                    <w:tl2br w:val="nil"/>
                    <w:tr2bl w:val="nil"/>
                  </w:tcBorders>
                  <w:noWrap w:val="0"/>
                  <w:vAlign w:val="center"/>
                </w:tcPr>
                <w:p w14:paraId="1691C154">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20FC9B1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 w:hRule="atLeast"/>
              </w:trPr>
              <w:tc>
                <w:tcPr>
                  <w:tcW w:w="395" w:type="pct"/>
                  <w:vMerge w:val="continue"/>
                  <w:tcBorders>
                    <w:tl2br w:val="nil"/>
                    <w:tr2bl w:val="nil"/>
                  </w:tcBorders>
                  <w:noWrap w:val="0"/>
                  <w:vAlign w:val="center"/>
                </w:tcPr>
                <w:p w14:paraId="3FA19FCB">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92" w:type="pct"/>
                  <w:vMerge w:val="continue"/>
                  <w:tcBorders>
                    <w:tl2br w:val="nil"/>
                    <w:tr2bl w:val="nil"/>
                  </w:tcBorders>
                  <w:noWrap w:val="0"/>
                  <w:vAlign w:val="center"/>
                </w:tcPr>
                <w:p w14:paraId="366D9AD4">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124" w:type="pct"/>
                  <w:tcBorders>
                    <w:tl2br w:val="nil"/>
                    <w:tr2bl w:val="nil"/>
                  </w:tcBorders>
                  <w:noWrap w:val="0"/>
                  <w:vAlign w:val="center"/>
                </w:tcPr>
                <w:p w14:paraId="5B48FA94">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474" w:type="pct"/>
                  <w:tcBorders>
                    <w:tl2br w:val="nil"/>
                    <w:tr2bl w:val="nil"/>
                  </w:tcBorders>
                  <w:noWrap w:val="0"/>
                  <w:vAlign w:val="center"/>
                </w:tcPr>
                <w:p w14:paraId="0C8801A1">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0.941</w:t>
                  </w:r>
                </w:p>
              </w:tc>
              <w:tc>
                <w:tcPr>
                  <w:tcW w:w="549" w:type="pct"/>
                  <w:tcBorders>
                    <w:tl2br w:val="nil"/>
                    <w:tr2bl w:val="nil"/>
                  </w:tcBorders>
                  <w:noWrap w:val="0"/>
                  <w:vAlign w:val="center"/>
                </w:tcPr>
                <w:p w14:paraId="296B60D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0.672</w:t>
                  </w:r>
                </w:p>
              </w:tc>
              <w:tc>
                <w:tcPr>
                  <w:tcW w:w="525" w:type="pct"/>
                  <w:tcBorders>
                    <w:tl2br w:val="nil"/>
                    <w:tr2bl w:val="nil"/>
                  </w:tcBorders>
                  <w:noWrap w:val="0"/>
                  <w:vAlign w:val="center"/>
                </w:tcPr>
                <w:p w14:paraId="3ADB3570">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0.081</w:t>
                  </w:r>
                </w:p>
              </w:tc>
              <w:tc>
                <w:tcPr>
                  <w:tcW w:w="566" w:type="pct"/>
                  <w:tcBorders>
                    <w:right w:val="single" w:color="auto" w:sz="4" w:space="0"/>
                    <w:tl2br w:val="nil"/>
                    <w:tr2bl w:val="nil"/>
                  </w:tcBorders>
                  <w:noWrap w:val="0"/>
                  <w:vAlign w:val="center"/>
                </w:tcPr>
                <w:p w14:paraId="48F3CDAC">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0.753</w:t>
                  </w:r>
                </w:p>
              </w:tc>
              <w:tc>
                <w:tcPr>
                  <w:tcW w:w="590" w:type="pct"/>
                  <w:tcBorders>
                    <w:left w:val="single" w:color="auto" w:sz="4" w:space="0"/>
                    <w:right w:val="single" w:color="auto" w:sz="4" w:space="0"/>
                    <w:tl2br w:val="nil"/>
                    <w:tr2bl w:val="nil"/>
                  </w:tcBorders>
                  <w:noWrap w:val="0"/>
                  <w:vAlign w:val="center"/>
                </w:tcPr>
                <w:p w14:paraId="3DD86C90">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0.017</w:t>
                  </w:r>
                </w:p>
              </w:tc>
              <w:tc>
                <w:tcPr>
                  <w:tcW w:w="282" w:type="pct"/>
                  <w:vMerge w:val="continue"/>
                  <w:tcBorders>
                    <w:left w:val="single" w:color="auto" w:sz="4" w:space="0"/>
                    <w:tl2br w:val="nil"/>
                    <w:tr2bl w:val="nil"/>
                  </w:tcBorders>
                  <w:noWrap w:val="0"/>
                  <w:vAlign w:val="center"/>
                </w:tcPr>
                <w:p w14:paraId="6D8D4A33">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6981354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 w:hRule="atLeast"/>
              </w:trPr>
              <w:tc>
                <w:tcPr>
                  <w:tcW w:w="395" w:type="pct"/>
                  <w:vMerge w:val="continue"/>
                  <w:tcBorders>
                    <w:tl2br w:val="nil"/>
                    <w:tr2bl w:val="nil"/>
                  </w:tcBorders>
                  <w:noWrap w:val="0"/>
                  <w:vAlign w:val="center"/>
                </w:tcPr>
                <w:p w14:paraId="568FFFA0">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92" w:type="pct"/>
                  <w:vMerge w:val="continue"/>
                  <w:tcBorders>
                    <w:tl2br w:val="nil"/>
                    <w:tr2bl w:val="nil"/>
                  </w:tcBorders>
                  <w:noWrap w:val="0"/>
                  <w:vAlign w:val="center"/>
                </w:tcPr>
                <w:p w14:paraId="71EE973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24" w:type="pct"/>
                  <w:tcBorders>
                    <w:tl2br w:val="nil"/>
                    <w:tr2bl w:val="nil"/>
                  </w:tcBorders>
                  <w:noWrap w:val="0"/>
                  <w:vAlign w:val="center"/>
                </w:tcPr>
                <w:p w14:paraId="4F9F9169">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排放浓度（mg/L）</w:t>
                  </w:r>
                </w:p>
              </w:tc>
              <w:tc>
                <w:tcPr>
                  <w:tcW w:w="474" w:type="pct"/>
                  <w:tcBorders>
                    <w:tl2br w:val="nil"/>
                    <w:tr2bl w:val="nil"/>
                  </w:tcBorders>
                  <w:noWrap w:val="0"/>
                  <w:vAlign w:val="center"/>
                </w:tcPr>
                <w:p w14:paraId="6C599D5F">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50</w:t>
                  </w:r>
                </w:p>
              </w:tc>
              <w:tc>
                <w:tcPr>
                  <w:tcW w:w="549" w:type="pct"/>
                  <w:tcBorders>
                    <w:tl2br w:val="nil"/>
                    <w:tr2bl w:val="nil"/>
                  </w:tcBorders>
                  <w:noWrap w:val="0"/>
                  <w:vAlign w:val="center"/>
                </w:tcPr>
                <w:p w14:paraId="71D797B1">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w:t>
                  </w:r>
                </w:p>
              </w:tc>
              <w:tc>
                <w:tcPr>
                  <w:tcW w:w="525" w:type="pct"/>
                  <w:tcBorders>
                    <w:tl2br w:val="nil"/>
                    <w:tr2bl w:val="nil"/>
                  </w:tcBorders>
                  <w:noWrap w:val="0"/>
                  <w:vAlign w:val="center"/>
                </w:tcPr>
                <w:p w14:paraId="737CFE0B">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w:t>
                  </w:r>
                </w:p>
              </w:tc>
              <w:tc>
                <w:tcPr>
                  <w:tcW w:w="566" w:type="pct"/>
                  <w:tcBorders>
                    <w:right w:val="single" w:color="auto" w:sz="4" w:space="0"/>
                    <w:tl2br w:val="nil"/>
                    <w:tr2bl w:val="nil"/>
                  </w:tcBorders>
                  <w:noWrap w:val="0"/>
                  <w:vAlign w:val="center"/>
                </w:tcPr>
                <w:p w14:paraId="74269205">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280</w:t>
                  </w:r>
                </w:p>
              </w:tc>
              <w:tc>
                <w:tcPr>
                  <w:tcW w:w="590" w:type="pct"/>
                  <w:tcBorders>
                    <w:left w:val="single" w:color="auto" w:sz="4" w:space="0"/>
                    <w:right w:val="single" w:color="auto" w:sz="4" w:space="0"/>
                    <w:tl2br w:val="nil"/>
                    <w:tr2bl w:val="nil"/>
                  </w:tcBorders>
                  <w:noWrap w:val="0"/>
                  <w:vAlign w:val="center"/>
                </w:tcPr>
                <w:p w14:paraId="1F403DBC">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282" w:type="pct"/>
                  <w:vMerge w:val="continue"/>
                  <w:tcBorders>
                    <w:left w:val="single" w:color="auto" w:sz="4" w:space="0"/>
                    <w:tl2br w:val="nil"/>
                    <w:tr2bl w:val="nil"/>
                  </w:tcBorders>
                  <w:noWrap w:val="0"/>
                  <w:vAlign w:val="center"/>
                </w:tcPr>
                <w:p w14:paraId="240A9EFE">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r>
            <w:tr w14:paraId="2B46497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5" w:type="pct"/>
                  <w:vMerge w:val="continue"/>
                  <w:tcBorders>
                    <w:tl2br w:val="nil"/>
                    <w:tr2bl w:val="nil"/>
                  </w:tcBorders>
                  <w:noWrap w:val="0"/>
                  <w:vAlign w:val="center"/>
                </w:tcPr>
                <w:p w14:paraId="68FA599A">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492" w:type="pct"/>
                  <w:vMerge w:val="continue"/>
                  <w:tcBorders>
                    <w:tl2br w:val="nil"/>
                    <w:tr2bl w:val="nil"/>
                  </w:tcBorders>
                  <w:noWrap w:val="0"/>
                  <w:vAlign w:val="center"/>
                </w:tcPr>
                <w:p w14:paraId="50FB826A">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24" w:type="pct"/>
                  <w:tcBorders>
                    <w:tl2br w:val="nil"/>
                    <w:tr2bl w:val="nil"/>
                  </w:tcBorders>
                  <w:noWrap w:val="0"/>
                  <w:vAlign w:val="center"/>
                </w:tcPr>
                <w:p w14:paraId="72400F3B">
                  <w:pPr>
                    <w:pStyle w:val="47"/>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排放量（t/a）</w:t>
                  </w:r>
                </w:p>
              </w:tc>
              <w:tc>
                <w:tcPr>
                  <w:tcW w:w="474" w:type="pct"/>
                  <w:tcBorders>
                    <w:tl2br w:val="nil"/>
                    <w:tr2bl w:val="nil"/>
                  </w:tcBorders>
                  <w:shd w:val="clear" w:color="auto" w:fill="auto"/>
                  <w:noWrap w:val="0"/>
                  <w:vAlign w:val="center"/>
                </w:tcPr>
                <w:p w14:paraId="0A945C93">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0.941</w:t>
                  </w:r>
                </w:p>
              </w:tc>
              <w:tc>
                <w:tcPr>
                  <w:tcW w:w="549" w:type="pct"/>
                  <w:tcBorders>
                    <w:tl2br w:val="nil"/>
                    <w:tr2bl w:val="nil"/>
                  </w:tcBorders>
                  <w:shd w:val="clear" w:color="auto" w:fill="auto"/>
                  <w:noWrap w:val="0"/>
                  <w:vAlign w:val="center"/>
                </w:tcPr>
                <w:p w14:paraId="2A927994">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0.672</w:t>
                  </w:r>
                </w:p>
              </w:tc>
              <w:tc>
                <w:tcPr>
                  <w:tcW w:w="525" w:type="pct"/>
                  <w:tcBorders>
                    <w:tl2br w:val="nil"/>
                    <w:tr2bl w:val="nil"/>
                  </w:tcBorders>
                  <w:shd w:val="clear" w:color="auto" w:fill="auto"/>
                  <w:noWrap w:val="0"/>
                  <w:vAlign w:val="center"/>
                </w:tcPr>
                <w:p w14:paraId="38F95021">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0.081</w:t>
                  </w:r>
                </w:p>
              </w:tc>
              <w:tc>
                <w:tcPr>
                  <w:tcW w:w="566" w:type="pct"/>
                  <w:tcBorders>
                    <w:right w:val="single" w:color="auto" w:sz="4" w:space="0"/>
                    <w:tl2br w:val="nil"/>
                    <w:tr2bl w:val="nil"/>
                  </w:tcBorders>
                  <w:shd w:val="clear" w:color="auto" w:fill="auto"/>
                  <w:noWrap w:val="0"/>
                  <w:vAlign w:val="center"/>
                </w:tcPr>
                <w:p w14:paraId="65B0AF86">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0.753</w:t>
                  </w:r>
                </w:p>
              </w:tc>
              <w:tc>
                <w:tcPr>
                  <w:tcW w:w="590" w:type="pct"/>
                  <w:tcBorders>
                    <w:left w:val="single" w:color="auto" w:sz="4" w:space="0"/>
                    <w:right w:val="single" w:color="auto" w:sz="4" w:space="0"/>
                    <w:tl2br w:val="nil"/>
                    <w:tr2bl w:val="nil"/>
                  </w:tcBorders>
                  <w:shd w:val="clear" w:color="auto" w:fill="auto"/>
                  <w:noWrap w:val="0"/>
                  <w:vAlign w:val="center"/>
                </w:tcPr>
                <w:p w14:paraId="51C5D9B0">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0.006</w:t>
                  </w:r>
                </w:p>
              </w:tc>
              <w:tc>
                <w:tcPr>
                  <w:tcW w:w="282" w:type="pct"/>
                  <w:vMerge w:val="continue"/>
                  <w:tcBorders>
                    <w:left w:val="single" w:color="auto" w:sz="4" w:space="0"/>
                    <w:tl2br w:val="nil"/>
                    <w:tr2bl w:val="nil"/>
                  </w:tcBorders>
                  <w:shd w:val="clear" w:color="auto" w:fill="auto"/>
                  <w:noWrap w:val="0"/>
                  <w:vAlign w:val="center"/>
                </w:tcPr>
                <w:p w14:paraId="2143BBBC">
                  <w:pPr>
                    <w:pStyle w:val="4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r>
          </w:tbl>
          <w:p w14:paraId="4D888B03">
            <w:pPr>
              <w:pStyle w:val="60"/>
              <w:keepNext w:val="0"/>
              <w:keepLines w:val="0"/>
              <w:pageBreakBefore w:val="0"/>
              <w:widowControl w:val="0"/>
              <w:kinsoku/>
              <w:wordWrap/>
              <w:overflowPunct/>
              <w:topLinePunct w:val="0"/>
              <w:autoSpaceDE/>
              <w:autoSpaceDN/>
              <w:bidi w:val="0"/>
              <w:adjustRightInd w:val="0"/>
              <w:snapToGrid w:val="0"/>
              <w:spacing w:line="240" w:lineRule="auto"/>
              <w:ind w:left="0" w:leftChars="0" w:firstLine="422" w:firstLineChars="20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 xml:space="preserve">4-7   </w:t>
            </w:r>
            <w:r>
              <w:rPr>
                <w:rFonts w:hint="default" w:ascii="Times New Roman" w:hAnsi="Times New Roman" w:cs="Times New Roman"/>
                <w:b/>
                <w:bCs w:val="0"/>
                <w:color w:val="auto"/>
                <w:sz w:val="21"/>
                <w:szCs w:val="21"/>
              </w:rPr>
              <w:t>废水排放口基本情况一览表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751"/>
              <w:gridCol w:w="1001"/>
              <w:gridCol w:w="1386"/>
              <w:gridCol w:w="1019"/>
              <w:gridCol w:w="1053"/>
              <w:gridCol w:w="662"/>
              <w:gridCol w:w="682"/>
              <w:gridCol w:w="1157"/>
            </w:tblGrid>
            <w:tr w14:paraId="6EA1F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restart"/>
                  <w:tcBorders>
                    <w:tl2br w:val="nil"/>
                    <w:tr2bl w:val="nil"/>
                  </w:tcBorders>
                  <w:noWrap w:val="0"/>
                  <w:vAlign w:val="center"/>
                </w:tcPr>
                <w:p w14:paraId="4A96B38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887" w:type="pct"/>
                  <w:gridSpan w:val="3"/>
                  <w:tcBorders>
                    <w:tl2br w:val="nil"/>
                    <w:tr2bl w:val="nil"/>
                  </w:tcBorders>
                  <w:noWrap w:val="0"/>
                  <w:vAlign w:val="center"/>
                </w:tcPr>
                <w:p w14:paraId="2C1A85C6">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排放口基本情况</w:t>
                  </w:r>
                </w:p>
              </w:tc>
              <w:tc>
                <w:tcPr>
                  <w:tcW w:w="613" w:type="pct"/>
                  <w:vMerge w:val="restart"/>
                  <w:tcBorders>
                    <w:tl2br w:val="nil"/>
                    <w:tr2bl w:val="nil"/>
                  </w:tcBorders>
                  <w:noWrap w:val="0"/>
                  <w:vAlign w:val="center"/>
                </w:tcPr>
                <w:p w14:paraId="607A8146">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主要污染物</w:t>
                  </w:r>
                </w:p>
              </w:tc>
              <w:tc>
                <w:tcPr>
                  <w:tcW w:w="633" w:type="pct"/>
                  <w:vMerge w:val="restart"/>
                  <w:tcBorders>
                    <w:tl2br w:val="nil"/>
                    <w:tr2bl w:val="nil"/>
                  </w:tcBorders>
                  <w:noWrap w:val="0"/>
                  <w:vAlign w:val="center"/>
                </w:tcPr>
                <w:p w14:paraId="659D9575">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排放标准（mg/L）</w:t>
                  </w:r>
                </w:p>
              </w:tc>
              <w:tc>
                <w:tcPr>
                  <w:tcW w:w="398" w:type="pct"/>
                  <w:vMerge w:val="restart"/>
                  <w:tcBorders>
                    <w:tl2br w:val="nil"/>
                    <w:tr2bl w:val="nil"/>
                  </w:tcBorders>
                  <w:noWrap w:val="0"/>
                  <w:vAlign w:val="center"/>
                </w:tcPr>
                <w:p w14:paraId="1F350DD9">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排放方式</w:t>
                  </w:r>
                </w:p>
              </w:tc>
              <w:tc>
                <w:tcPr>
                  <w:tcW w:w="410" w:type="pct"/>
                  <w:vMerge w:val="restart"/>
                  <w:tcBorders>
                    <w:tl2br w:val="nil"/>
                    <w:tr2bl w:val="nil"/>
                  </w:tcBorders>
                  <w:noWrap w:val="0"/>
                  <w:vAlign w:val="center"/>
                </w:tcPr>
                <w:p w14:paraId="3B00A05E">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排放规律</w:t>
                  </w:r>
                </w:p>
              </w:tc>
              <w:tc>
                <w:tcPr>
                  <w:tcW w:w="696" w:type="pct"/>
                  <w:vMerge w:val="restart"/>
                  <w:tcBorders>
                    <w:tl2br w:val="nil"/>
                    <w:tr2bl w:val="nil"/>
                  </w:tcBorders>
                  <w:noWrap w:val="0"/>
                  <w:vAlign w:val="center"/>
                </w:tcPr>
                <w:p w14:paraId="4B9F884A">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r>
            <w:tr w14:paraId="5FD95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tcBorders>
                    <w:tl2br w:val="nil"/>
                    <w:tr2bl w:val="nil"/>
                  </w:tcBorders>
                  <w:noWrap w:val="0"/>
                  <w:vAlign w:val="center"/>
                </w:tcPr>
                <w:p w14:paraId="53F457E8">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51" w:type="pct"/>
                  <w:tcBorders>
                    <w:tl2br w:val="nil"/>
                    <w:tr2bl w:val="nil"/>
                  </w:tcBorders>
                  <w:noWrap w:val="0"/>
                  <w:vAlign w:val="center"/>
                </w:tcPr>
                <w:p w14:paraId="1E405F87">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02" w:type="pct"/>
                  <w:tcBorders>
                    <w:tl2br w:val="nil"/>
                    <w:tr2bl w:val="nil"/>
                  </w:tcBorders>
                  <w:noWrap w:val="0"/>
                  <w:vAlign w:val="center"/>
                </w:tcPr>
                <w:p w14:paraId="3DD5BF9F">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833" w:type="pct"/>
                  <w:tcBorders>
                    <w:tl2br w:val="nil"/>
                    <w:tr2bl w:val="nil"/>
                  </w:tcBorders>
                  <w:noWrap w:val="0"/>
                  <w:vAlign w:val="center"/>
                </w:tcPr>
                <w:p w14:paraId="3283CF89">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613" w:type="pct"/>
                  <w:vMerge w:val="continue"/>
                  <w:tcBorders>
                    <w:tl2br w:val="nil"/>
                    <w:tr2bl w:val="nil"/>
                  </w:tcBorders>
                  <w:noWrap w:val="0"/>
                  <w:vAlign w:val="center"/>
                </w:tcPr>
                <w:p w14:paraId="5FC7EFD7">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33" w:type="pct"/>
                  <w:vMerge w:val="continue"/>
                  <w:tcBorders>
                    <w:tl2br w:val="nil"/>
                    <w:tr2bl w:val="nil"/>
                  </w:tcBorders>
                  <w:noWrap w:val="0"/>
                  <w:vAlign w:val="center"/>
                </w:tcPr>
                <w:p w14:paraId="5CB93ACE">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398" w:type="pct"/>
                  <w:vMerge w:val="continue"/>
                  <w:tcBorders>
                    <w:tl2br w:val="nil"/>
                    <w:tr2bl w:val="nil"/>
                  </w:tcBorders>
                  <w:noWrap w:val="0"/>
                  <w:vAlign w:val="center"/>
                </w:tcPr>
                <w:p w14:paraId="773D2D47">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10" w:type="pct"/>
                  <w:vMerge w:val="continue"/>
                  <w:tcBorders>
                    <w:tl2br w:val="nil"/>
                    <w:tr2bl w:val="nil"/>
                  </w:tcBorders>
                  <w:noWrap w:val="0"/>
                  <w:vAlign w:val="center"/>
                </w:tcPr>
                <w:p w14:paraId="0B4DA782">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96" w:type="pct"/>
                  <w:vMerge w:val="continue"/>
                  <w:tcBorders>
                    <w:tl2br w:val="nil"/>
                    <w:tr2bl w:val="nil"/>
                  </w:tcBorders>
                  <w:noWrap w:val="0"/>
                  <w:vAlign w:val="center"/>
                </w:tcPr>
                <w:p w14:paraId="65D20D2D">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r>
            <w:tr w14:paraId="68C60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restart"/>
                  <w:tcBorders>
                    <w:tl2br w:val="nil"/>
                    <w:tr2bl w:val="nil"/>
                  </w:tcBorders>
                  <w:noWrap w:val="0"/>
                  <w:vAlign w:val="center"/>
                </w:tcPr>
                <w:p w14:paraId="79E54251">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451" w:type="pct"/>
                  <w:vMerge w:val="restart"/>
                  <w:tcBorders>
                    <w:tl2br w:val="nil"/>
                    <w:tr2bl w:val="nil"/>
                  </w:tcBorders>
                  <w:noWrap w:val="0"/>
                  <w:vAlign w:val="center"/>
                </w:tcPr>
                <w:p w14:paraId="3081D1E6">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生活污水排放口</w:t>
                  </w:r>
                </w:p>
              </w:tc>
              <w:tc>
                <w:tcPr>
                  <w:tcW w:w="602" w:type="pct"/>
                  <w:vMerge w:val="restart"/>
                  <w:tcBorders>
                    <w:tl2br w:val="nil"/>
                    <w:tr2bl w:val="nil"/>
                  </w:tcBorders>
                  <w:noWrap w:val="0"/>
                  <w:vAlign w:val="center"/>
                </w:tcPr>
                <w:p w14:paraId="38B3DFDE">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833" w:type="pct"/>
                  <w:vMerge w:val="restart"/>
                  <w:tcBorders>
                    <w:tl2br w:val="nil"/>
                    <w:tr2bl w:val="nil"/>
                  </w:tcBorders>
                  <w:noWrap w:val="0"/>
                  <w:vAlign w:val="center"/>
                </w:tcPr>
                <w:p w14:paraId="6C7BD2FA">
                  <w:pPr>
                    <w:pStyle w:val="47"/>
                    <w:spacing w:line="240" w:lineRule="auto"/>
                    <w:jc w:val="center"/>
                    <w:rPr>
                      <w:rFonts w:hint="default" w:ascii="Times New Roman" w:hAnsi="Times New Roman" w:eastAsia="宋体" w:cs="Times New Roman"/>
                      <w:spacing w:val="-4"/>
                      <w:sz w:val="21"/>
                      <w:szCs w:val="21"/>
                      <w:lang w:val="en-US" w:eastAsia="zh-CN"/>
                    </w:rPr>
                  </w:pPr>
                  <w:r>
                    <w:rPr>
                      <w:rFonts w:hint="default" w:ascii="Times New Roman" w:hAnsi="Times New Roman" w:eastAsia="宋体" w:cs="Times New Roman"/>
                      <w:spacing w:val="-4"/>
                      <w:sz w:val="21"/>
                      <w:szCs w:val="21"/>
                      <w:lang w:val="en-US" w:eastAsia="zh-CN"/>
                    </w:rPr>
                    <w:t>E</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85°54′54.554″</w:t>
                  </w:r>
                </w:p>
                <w:p w14:paraId="58E8AFE8">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spacing w:val="-4"/>
                      <w:sz w:val="21"/>
                      <w:szCs w:val="21"/>
                      <w:lang w:val="en-US" w:eastAsia="zh-CN"/>
                    </w:rPr>
                    <w:t>N</w:t>
                  </w:r>
                  <w:r>
                    <w:rPr>
                      <w:rFonts w:hint="default" w:ascii="Times New Roman" w:hAnsi="Times New Roman" w:cs="Times New Roman"/>
                      <w:spacing w:val="-4"/>
                      <w:sz w:val="21"/>
                      <w:szCs w:val="21"/>
                      <w:lang w:val="en-US" w:eastAsia="zh-CN"/>
                    </w:rPr>
                    <w:t>:</w:t>
                  </w:r>
                  <w:r>
                    <w:rPr>
                      <w:rFonts w:hint="default" w:ascii="Times New Roman" w:hAnsi="Times New Roman" w:eastAsia="宋体" w:cs="Times New Roman"/>
                      <w:spacing w:val="-4"/>
                      <w:sz w:val="21"/>
                      <w:szCs w:val="21"/>
                      <w:lang w:val="en-US" w:eastAsia="zh-CN"/>
                    </w:rPr>
                    <w:t>41°51′19.254″</w:t>
                  </w:r>
                </w:p>
              </w:tc>
              <w:tc>
                <w:tcPr>
                  <w:tcW w:w="613" w:type="pct"/>
                  <w:tcBorders>
                    <w:tl2br w:val="nil"/>
                    <w:tr2bl w:val="nil"/>
                  </w:tcBorders>
                  <w:noWrap w:val="0"/>
                  <w:vAlign w:val="center"/>
                </w:tcPr>
                <w:p w14:paraId="3E6095D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633" w:type="pct"/>
                  <w:tcBorders>
                    <w:tl2br w:val="nil"/>
                    <w:tr2bl w:val="nil"/>
                  </w:tcBorders>
                  <w:noWrap w:val="0"/>
                  <w:vAlign w:val="center"/>
                </w:tcPr>
                <w:p w14:paraId="249D745D">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398" w:type="pct"/>
                  <w:vMerge w:val="restart"/>
                  <w:tcBorders>
                    <w:tl2br w:val="nil"/>
                    <w:tr2bl w:val="nil"/>
                  </w:tcBorders>
                  <w:noWrap w:val="0"/>
                  <w:vAlign w:val="center"/>
                </w:tcPr>
                <w:p w14:paraId="493A7DA9">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间接</w:t>
                  </w:r>
                </w:p>
              </w:tc>
              <w:tc>
                <w:tcPr>
                  <w:tcW w:w="410" w:type="pct"/>
                  <w:vMerge w:val="restart"/>
                  <w:tcBorders>
                    <w:tl2br w:val="nil"/>
                    <w:tr2bl w:val="nil"/>
                  </w:tcBorders>
                  <w:noWrap w:val="0"/>
                  <w:vAlign w:val="center"/>
                </w:tcPr>
                <w:p w14:paraId="42AC40F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696" w:type="pct"/>
                  <w:vMerge w:val="restart"/>
                  <w:tcBorders>
                    <w:tl2br w:val="nil"/>
                    <w:tr2bl w:val="nil"/>
                  </w:tcBorders>
                  <w:noWrap w:val="0"/>
                  <w:vAlign w:val="center"/>
                </w:tcPr>
                <w:p w14:paraId="4A849163">
                  <w:pPr>
                    <w:spacing w:line="240" w:lineRule="auto"/>
                    <w:ind w:firstLine="0" w:firstLineChars="0"/>
                    <w:contextualSpacing/>
                    <w:jc w:val="center"/>
                    <w:textAlignment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铁门关市污水处理厂</w:t>
                  </w:r>
                </w:p>
              </w:tc>
            </w:tr>
            <w:tr w14:paraId="16DC3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tcBorders>
                    <w:tl2br w:val="nil"/>
                    <w:tr2bl w:val="nil"/>
                  </w:tcBorders>
                  <w:noWrap w:val="0"/>
                  <w:vAlign w:val="center"/>
                </w:tcPr>
                <w:p w14:paraId="0D304E89">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51" w:type="pct"/>
                  <w:vMerge w:val="continue"/>
                  <w:tcBorders>
                    <w:tl2br w:val="nil"/>
                    <w:tr2bl w:val="nil"/>
                  </w:tcBorders>
                  <w:noWrap w:val="0"/>
                  <w:vAlign w:val="center"/>
                </w:tcPr>
                <w:p w14:paraId="55A48A07">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02" w:type="pct"/>
                  <w:vMerge w:val="continue"/>
                  <w:tcBorders>
                    <w:tl2br w:val="nil"/>
                    <w:tr2bl w:val="nil"/>
                  </w:tcBorders>
                  <w:noWrap w:val="0"/>
                  <w:vAlign w:val="center"/>
                </w:tcPr>
                <w:p w14:paraId="5FF9464A">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33" w:type="pct"/>
                  <w:vMerge w:val="continue"/>
                  <w:tcBorders>
                    <w:tl2br w:val="nil"/>
                    <w:tr2bl w:val="nil"/>
                  </w:tcBorders>
                  <w:noWrap w:val="0"/>
                  <w:vAlign w:val="center"/>
                </w:tcPr>
                <w:p w14:paraId="3D014CDA">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13" w:type="pct"/>
                  <w:tcBorders>
                    <w:tl2br w:val="nil"/>
                    <w:tr2bl w:val="nil"/>
                  </w:tcBorders>
                  <w:noWrap w:val="0"/>
                  <w:vAlign w:val="center"/>
                </w:tcPr>
                <w:p w14:paraId="6677BE9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633" w:type="pct"/>
                  <w:tcBorders>
                    <w:tl2br w:val="nil"/>
                    <w:tr2bl w:val="nil"/>
                  </w:tcBorders>
                  <w:noWrap w:val="0"/>
                  <w:vAlign w:val="center"/>
                </w:tcPr>
                <w:p w14:paraId="7727BC3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398" w:type="pct"/>
                  <w:vMerge w:val="continue"/>
                  <w:tcBorders>
                    <w:tl2br w:val="nil"/>
                    <w:tr2bl w:val="nil"/>
                  </w:tcBorders>
                  <w:noWrap w:val="0"/>
                  <w:vAlign w:val="center"/>
                </w:tcPr>
                <w:p w14:paraId="7B15491C">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10" w:type="pct"/>
                  <w:vMerge w:val="continue"/>
                  <w:tcBorders>
                    <w:tl2br w:val="nil"/>
                    <w:tr2bl w:val="nil"/>
                  </w:tcBorders>
                  <w:noWrap w:val="0"/>
                  <w:vAlign w:val="center"/>
                </w:tcPr>
                <w:p w14:paraId="76DFA1E6">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96" w:type="pct"/>
                  <w:vMerge w:val="continue"/>
                  <w:tcBorders>
                    <w:tl2br w:val="nil"/>
                    <w:tr2bl w:val="nil"/>
                  </w:tcBorders>
                  <w:noWrap w:val="0"/>
                  <w:vAlign w:val="center"/>
                </w:tcPr>
                <w:p w14:paraId="4669240B">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r>
            <w:tr w14:paraId="26FAE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tcBorders>
                    <w:tl2br w:val="nil"/>
                    <w:tr2bl w:val="nil"/>
                  </w:tcBorders>
                  <w:noWrap w:val="0"/>
                  <w:vAlign w:val="center"/>
                </w:tcPr>
                <w:p w14:paraId="402A61C2">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51" w:type="pct"/>
                  <w:vMerge w:val="continue"/>
                  <w:tcBorders>
                    <w:tl2br w:val="nil"/>
                    <w:tr2bl w:val="nil"/>
                  </w:tcBorders>
                  <w:noWrap w:val="0"/>
                  <w:vAlign w:val="center"/>
                </w:tcPr>
                <w:p w14:paraId="6E0CE87A">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02" w:type="pct"/>
                  <w:vMerge w:val="continue"/>
                  <w:tcBorders>
                    <w:tl2br w:val="nil"/>
                    <w:tr2bl w:val="nil"/>
                  </w:tcBorders>
                  <w:noWrap w:val="0"/>
                  <w:vAlign w:val="center"/>
                </w:tcPr>
                <w:p w14:paraId="5F2C35F6">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33" w:type="pct"/>
                  <w:vMerge w:val="continue"/>
                  <w:tcBorders>
                    <w:tl2br w:val="nil"/>
                    <w:tr2bl w:val="nil"/>
                  </w:tcBorders>
                  <w:noWrap w:val="0"/>
                  <w:vAlign w:val="center"/>
                </w:tcPr>
                <w:p w14:paraId="5330B21F">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13" w:type="pct"/>
                  <w:tcBorders>
                    <w:tl2br w:val="nil"/>
                    <w:tr2bl w:val="nil"/>
                  </w:tcBorders>
                  <w:noWrap w:val="0"/>
                  <w:vAlign w:val="center"/>
                </w:tcPr>
                <w:p w14:paraId="6AC74BDD">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633" w:type="pct"/>
                  <w:tcBorders>
                    <w:tl2br w:val="nil"/>
                    <w:tr2bl w:val="nil"/>
                  </w:tcBorders>
                  <w:noWrap w:val="0"/>
                  <w:vAlign w:val="center"/>
                </w:tcPr>
                <w:p w14:paraId="4BDAF2D9">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398" w:type="pct"/>
                  <w:vMerge w:val="continue"/>
                  <w:tcBorders>
                    <w:tl2br w:val="nil"/>
                    <w:tr2bl w:val="nil"/>
                  </w:tcBorders>
                  <w:noWrap w:val="0"/>
                  <w:vAlign w:val="center"/>
                </w:tcPr>
                <w:p w14:paraId="2C42B32F">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10" w:type="pct"/>
                  <w:vMerge w:val="continue"/>
                  <w:tcBorders>
                    <w:tl2br w:val="nil"/>
                    <w:tr2bl w:val="nil"/>
                  </w:tcBorders>
                  <w:noWrap w:val="0"/>
                  <w:vAlign w:val="center"/>
                </w:tcPr>
                <w:p w14:paraId="3E15DE8A">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96" w:type="pct"/>
                  <w:vMerge w:val="continue"/>
                  <w:tcBorders>
                    <w:tl2br w:val="nil"/>
                    <w:tr2bl w:val="nil"/>
                  </w:tcBorders>
                  <w:noWrap w:val="0"/>
                  <w:vAlign w:val="center"/>
                </w:tcPr>
                <w:p w14:paraId="627D42FE">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r>
            <w:tr w14:paraId="58DCE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tcBorders>
                    <w:tl2br w:val="nil"/>
                    <w:tr2bl w:val="nil"/>
                  </w:tcBorders>
                  <w:noWrap w:val="0"/>
                  <w:vAlign w:val="center"/>
                </w:tcPr>
                <w:p w14:paraId="50950FA3">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51" w:type="pct"/>
                  <w:vMerge w:val="continue"/>
                  <w:tcBorders>
                    <w:tl2br w:val="nil"/>
                    <w:tr2bl w:val="nil"/>
                  </w:tcBorders>
                  <w:noWrap w:val="0"/>
                  <w:vAlign w:val="center"/>
                </w:tcPr>
                <w:p w14:paraId="1C218157">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02" w:type="pct"/>
                  <w:vMerge w:val="continue"/>
                  <w:tcBorders>
                    <w:tl2br w:val="nil"/>
                    <w:tr2bl w:val="nil"/>
                  </w:tcBorders>
                  <w:noWrap w:val="0"/>
                  <w:vAlign w:val="center"/>
                </w:tcPr>
                <w:p w14:paraId="46262862">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833" w:type="pct"/>
                  <w:vMerge w:val="continue"/>
                  <w:tcBorders>
                    <w:tl2br w:val="nil"/>
                    <w:tr2bl w:val="nil"/>
                  </w:tcBorders>
                  <w:noWrap w:val="0"/>
                  <w:vAlign w:val="center"/>
                </w:tcPr>
                <w:p w14:paraId="599FA89D">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13" w:type="pct"/>
                  <w:tcBorders>
                    <w:tl2br w:val="nil"/>
                    <w:tr2bl w:val="nil"/>
                  </w:tcBorders>
                  <w:noWrap w:val="0"/>
                  <w:vAlign w:val="center"/>
                </w:tcPr>
                <w:p w14:paraId="26E4494E">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NH3-N</w:t>
                  </w:r>
                </w:p>
              </w:tc>
              <w:tc>
                <w:tcPr>
                  <w:tcW w:w="633" w:type="pct"/>
                  <w:tcBorders>
                    <w:tl2br w:val="nil"/>
                    <w:tr2bl w:val="nil"/>
                  </w:tcBorders>
                  <w:noWrap w:val="0"/>
                  <w:vAlign w:val="center"/>
                </w:tcPr>
                <w:p w14:paraId="250D5B40">
                  <w:pPr>
                    <w:spacing w:line="240" w:lineRule="auto"/>
                    <w:ind w:firstLine="0" w:firstLineChars="0"/>
                    <w:contextualSpacing/>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98" w:type="pct"/>
                  <w:vMerge w:val="continue"/>
                  <w:tcBorders>
                    <w:tl2br w:val="nil"/>
                    <w:tr2bl w:val="nil"/>
                  </w:tcBorders>
                  <w:noWrap w:val="0"/>
                  <w:vAlign w:val="center"/>
                </w:tcPr>
                <w:p w14:paraId="58B53FCB">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410" w:type="pct"/>
                  <w:vMerge w:val="continue"/>
                  <w:tcBorders>
                    <w:tl2br w:val="nil"/>
                    <w:tr2bl w:val="nil"/>
                  </w:tcBorders>
                  <w:noWrap w:val="0"/>
                  <w:vAlign w:val="center"/>
                </w:tcPr>
                <w:p w14:paraId="270F4C9E">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c>
                <w:tcPr>
                  <w:tcW w:w="696" w:type="pct"/>
                  <w:vMerge w:val="continue"/>
                  <w:tcBorders>
                    <w:tl2br w:val="nil"/>
                    <w:tr2bl w:val="nil"/>
                  </w:tcBorders>
                  <w:noWrap w:val="0"/>
                  <w:vAlign w:val="center"/>
                </w:tcPr>
                <w:p w14:paraId="70C511B5">
                  <w:pPr>
                    <w:spacing w:line="240" w:lineRule="auto"/>
                    <w:ind w:firstLine="0" w:firstLineChars="0"/>
                    <w:contextualSpacing/>
                    <w:jc w:val="center"/>
                    <w:textAlignment w:val="center"/>
                    <w:rPr>
                      <w:rFonts w:hint="default" w:ascii="Times New Roman" w:hAnsi="Times New Roman" w:cs="Times New Roman"/>
                      <w:color w:val="auto"/>
                      <w:sz w:val="21"/>
                      <w:szCs w:val="21"/>
                    </w:rPr>
                  </w:pPr>
                </w:p>
              </w:tc>
            </w:tr>
          </w:tbl>
          <w:p w14:paraId="4C872527">
            <w:pPr>
              <w:pStyle w:val="8"/>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3.1污水治理措施可行性分析</w:t>
            </w:r>
          </w:p>
          <w:p w14:paraId="7BF26268">
            <w:pPr>
              <w:spacing w:line="360" w:lineRule="auto"/>
              <w:ind w:firstLine="480" w:firstLineChars="200"/>
              <w:rPr>
                <w:rFonts w:hint="default" w:ascii="Times New Roman" w:hAnsi="Times New Roman" w:eastAsia="宋体" w:cs="Times New Roman"/>
                <w:bCs/>
                <w:color w:val="000000"/>
                <w:kern w:val="24"/>
                <w:sz w:val="24"/>
                <w:szCs w:val="24"/>
                <w:lang w:val="en-US" w:eastAsia="zh-CN" w:bidi="ar-SA"/>
              </w:rPr>
            </w:pPr>
            <w:r>
              <w:rPr>
                <w:rFonts w:hint="default" w:ascii="Times New Roman" w:hAnsi="Times New Roman" w:eastAsia="宋体" w:cs="Times New Roman"/>
                <w:bCs/>
                <w:color w:val="000000"/>
                <w:kern w:val="24"/>
                <w:sz w:val="24"/>
                <w:szCs w:val="24"/>
                <w:lang w:val="en-US" w:eastAsia="zh-CN" w:bidi="ar-SA"/>
              </w:rPr>
              <w:t>（1）隔油</w:t>
            </w:r>
            <w:r>
              <w:rPr>
                <w:rFonts w:hint="default" w:ascii="Times New Roman" w:hAnsi="Times New Roman" w:cs="Times New Roman"/>
                <w:bCs/>
                <w:color w:val="000000"/>
                <w:kern w:val="24"/>
                <w:sz w:val="24"/>
                <w:szCs w:val="24"/>
                <w:lang w:val="en-US" w:eastAsia="zh-CN" w:bidi="ar-SA"/>
              </w:rPr>
              <w:t>池</w:t>
            </w:r>
            <w:r>
              <w:rPr>
                <w:rFonts w:hint="default" w:ascii="Times New Roman" w:hAnsi="Times New Roman" w:eastAsia="宋体" w:cs="Times New Roman"/>
                <w:bCs/>
                <w:color w:val="000000"/>
                <w:kern w:val="24"/>
                <w:sz w:val="24"/>
                <w:szCs w:val="24"/>
                <w:lang w:val="en-US" w:eastAsia="zh-CN" w:bidi="ar-SA"/>
              </w:rPr>
              <w:t>设施的环境可行性</w:t>
            </w:r>
          </w:p>
          <w:p w14:paraId="2ECBDA1C">
            <w:pPr>
              <w:spacing w:line="360" w:lineRule="auto"/>
              <w:ind w:firstLine="480" w:firstLineChars="200"/>
              <w:rPr>
                <w:rFonts w:hint="default" w:ascii="Times New Roman" w:hAnsi="Times New Roman" w:eastAsia="宋体" w:cs="Times New Roman"/>
                <w:bCs/>
                <w:color w:val="000000"/>
                <w:kern w:val="24"/>
                <w:sz w:val="24"/>
                <w:szCs w:val="24"/>
                <w:lang w:val="en-US" w:eastAsia="zh-CN" w:bidi="ar-SA"/>
              </w:rPr>
            </w:pPr>
            <w:r>
              <w:rPr>
                <w:rFonts w:hint="default" w:ascii="Times New Roman" w:hAnsi="Times New Roman" w:eastAsia="宋体" w:cs="Times New Roman"/>
                <w:bCs/>
                <w:color w:val="000000"/>
                <w:kern w:val="24"/>
                <w:sz w:val="24"/>
                <w:szCs w:val="24"/>
                <w:lang w:val="en-US" w:eastAsia="zh-CN" w:bidi="ar-SA"/>
              </w:rPr>
              <w:t>项目拟建设1个容积为</w:t>
            </w:r>
            <w:r>
              <w:rPr>
                <w:rFonts w:hint="default" w:ascii="Times New Roman" w:hAnsi="Times New Roman" w:cs="Times New Roman"/>
                <w:bCs/>
                <w:color w:val="000000"/>
                <w:kern w:val="24"/>
                <w:sz w:val="24"/>
                <w:szCs w:val="24"/>
                <w:lang w:val="en-US" w:eastAsia="zh-CN" w:bidi="ar-SA"/>
              </w:rPr>
              <w:t>5</w:t>
            </w:r>
            <w:r>
              <w:rPr>
                <w:rFonts w:hint="default" w:ascii="Times New Roman" w:hAnsi="Times New Roman" w:eastAsia="宋体" w:cs="Times New Roman"/>
                <w:bCs/>
                <w:color w:val="000000"/>
                <w:kern w:val="24"/>
                <w:sz w:val="24"/>
                <w:szCs w:val="24"/>
                <w:lang w:val="en-US" w:eastAsia="zh-CN" w:bidi="ar-SA"/>
              </w:rPr>
              <w:t>m</w:t>
            </w:r>
            <w:r>
              <w:rPr>
                <w:rFonts w:hint="default" w:ascii="Times New Roman" w:hAnsi="Times New Roman" w:eastAsia="宋体" w:cs="Times New Roman"/>
                <w:bCs/>
                <w:color w:val="000000"/>
                <w:kern w:val="24"/>
                <w:sz w:val="24"/>
                <w:szCs w:val="24"/>
                <w:vertAlign w:val="superscript"/>
                <w:lang w:val="en-US" w:eastAsia="zh-CN" w:bidi="ar-SA"/>
              </w:rPr>
              <w:t>3</w:t>
            </w:r>
            <w:r>
              <w:rPr>
                <w:rFonts w:hint="default" w:ascii="Times New Roman" w:hAnsi="Times New Roman" w:eastAsia="宋体" w:cs="Times New Roman"/>
                <w:bCs/>
                <w:color w:val="000000"/>
                <w:kern w:val="24"/>
                <w:sz w:val="24"/>
                <w:szCs w:val="24"/>
                <w:lang w:val="en-US" w:eastAsia="zh-CN" w:bidi="ar-SA"/>
              </w:rPr>
              <w:t>的隔油池（或直接安装隔油器），用于处理食堂含油废水，废水在隔油池中停留时间按8h计，则隔油池最大接纳污水量为15m</w:t>
            </w:r>
            <w:r>
              <w:rPr>
                <w:rFonts w:hint="default" w:ascii="Times New Roman" w:hAnsi="Times New Roman" w:eastAsia="宋体" w:cs="Times New Roman"/>
                <w:bCs/>
                <w:color w:val="000000"/>
                <w:kern w:val="24"/>
                <w:sz w:val="24"/>
                <w:szCs w:val="24"/>
                <w:vertAlign w:val="superscript"/>
                <w:lang w:val="en-US" w:eastAsia="zh-CN" w:bidi="ar-SA"/>
              </w:rPr>
              <w:t>3</w:t>
            </w:r>
            <w:r>
              <w:rPr>
                <w:rFonts w:hint="default" w:ascii="Times New Roman" w:hAnsi="Times New Roman" w:eastAsia="宋体" w:cs="Times New Roman"/>
                <w:bCs/>
                <w:color w:val="000000"/>
                <w:kern w:val="24"/>
                <w:sz w:val="24"/>
                <w:szCs w:val="24"/>
                <w:lang w:val="en-US" w:eastAsia="zh-CN" w:bidi="ar-SA"/>
              </w:rPr>
              <w:t>/d，远大于项目生活污水与食堂废水产生量。同时，废水经隔油处理后，可有效去除废水中的油污，满足环境可行性要求。</w:t>
            </w:r>
          </w:p>
          <w:p w14:paraId="051A00CE">
            <w:pPr>
              <w:spacing w:line="360" w:lineRule="auto"/>
              <w:ind w:firstLine="480" w:firstLineChars="200"/>
              <w:rPr>
                <w:rFonts w:hint="default" w:ascii="Times New Roman" w:hAnsi="Times New Roman" w:eastAsia="宋体" w:cs="Times New Roman"/>
                <w:bCs/>
                <w:color w:val="000000"/>
                <w:kern w:val="24"/>
                <w:sz w:val="24"/>
                <w:szCs w:val="24"/>
                <w:lang w:val="en-US" w:eastAsia="zh-CN" w:bidi="ar-SA"/>
              </w:rPr>
            </w:pPr>
            <w:r>
              <w:rPr>
                <w:rFonts w:hint="default" w:ascii="Times New Roman" w:hAnsi="Times New Roman" w:eastAsia="宋体" w:cs="Times New Roman"/>
                <w:bCs/>
                <w:color w:val="000000"/>
                <w:kern w:val="24"/>
                <w:sz w:val="24"/>
                <w:szCs w:val="24"/>
                <w:lang w:val="en-US" w:eastAsia="zh-CN" w:bidi="ar-SA"/>
              </w:rPr>
              <w:t>（2）污水依托可行性</w:t>
            </w:r>
          </w:p>
          <w:p w14:paraId="067CE7B4">
            <w:pPr>
              <w:spacing w:line="360" w:lineRule="auto"/>
              <w:ind w:firstLine="480" w:firstLineChars="200"/>
              <w:rPr>
                <w:rFonts w:hint="default" w:ascii="Times New Roman" w:hAnsi="Times New Roman" w:eastAsia="宋体" w:cs="Times New Roman"/>
                <w:bCs/>
                <w:color w:val="000000"/>
                <w:kern w:val="24"/>
                <w:sz w:val="24"/>
                <w:szCs w:val="24"/>
                <w:lang w:val="en-US" w:eastAsia="zh-CN" w:bidi="ar-SA"/>
              </w:rPr>
            </w:pPr>
            <w:r>
              <w:rPr>
                <w:rFonts w:hint="default" w:ascii="Times New Roman" w:hAnsi="Times New Roman" w:eastAsia="宋体" w:cs="Times New Roman"/>
                <w:color w:val="auto"/>
                <w:sz w:val="24"/>
                <w:szCs w:val="24"/>
                <w:highlight w:val="none"/>
              </w:rPr>
              <w:t>铁门关市污水处理厂位于铁门关市城区以南约3km处，污水处理厂设计规模20000m³/d，处理工艺采用A</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O处理工艺，废水经污水处理厂处理后达到《城镇污水处理厂污染物排放标准》（GB18918-2002）中一级B标准后用于城市绿化，目前进水实际进水量约10000m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/d，尚有处理余量，</w:t>
            </w:r>
            <w:r>
              <w:rPr>
                <w:rFonts w:hint="default" w:ascii="Times New Roman" w:hAnsi="Times New Roman" w:cs="Times New Roman"/>
                <w:color w:val="auto"/>
                <w:sz w:val="24"/>
                <w:szCs w:val="24"/>
                <w:highlight w:val="none"/>
                <w:lang w:eastAsia="zh-CN"/>
              </w:rPr>
              <w:t>污水处理厂</w:t>
            </w:r>
            <w:r>
              <w:rPr>
                <w:rFonts w:hint="default" w:ascii="Times New Roman" w:hAnsi="Times New Roman" w:eastAsia="宋体" w:cs="Times New Roman"/>
                <w:color w:val="auto"/>
                <w:sz w:val="24"/>
                <w:szCs w:val="24"/>
                <w:highlight w:val="none"/>
              </w:rPr>
              <w:t>于2014年5月22日取得环评批复（师环审字〔2014〕123号），于2017年7月7日取得竣工环境保护验收的批复（师环控函〔2017〕2号），2022年4月6日取得排污许可证（编号91659006328724029T001Q，有效期2022年7月2日</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2027年7月1日）</w:t>
            </w:r>
            <w:r>
              <w:rPr>
                <w:rFonts w:hint="default" w:ascii="Times New Roman" w:hAnsi="Times New Roman" w:eastAsia="宋体" w:cs="Times New Roman"/>
                <w:bCs/>
                <w:color w:val="000000"/>
                <w:kern w:val="24"/>
                <w:sz w:val="24"/>
                <w:szCs w:val="24"/>
                <w:lang w:val="en-US" w:eastAsia="zh-CN" w:bidi="ar-SA"/>
              </w:rPr>
              <w:t>。本项目污水排放量为1920m³/a（6.4m³/d），该污水处理厂可接纳本项目污水量。</w:t>
            </w:r>
          </w:p>
          <w:p w14:paraId="42AADB82">
            <w:pPr>
              <w:spacing w:line="360" w:lineRule="auto"/>
              <w:ind w:firstLine="480" w:firstLineChars="200"/>
              <w:rPr>
                <w:rFonts w:hint="default" w:ascii="Times New Roman" w:hAnsi="Times New Roman" w:eastAsia="宋体" w:cs="Times New Roman"/>
                <w:b w:val="0"/>
                <w:bCs/>
                <w:color w:val="auto"/>
                <w:kern w:val="24"/>
                <w:sz w:val="24"/>
                <w:szCs w:val="24"/>
                <w:highlight w:val="none"/>
                <w:lang w:val="en-US" w:eastAsia="zh-CN" w:bidi="ar-SA"/>
              </w:rPr>
            </w:pPr>
            <w:r>
              <w:rPr>
                <w:rFonts w:hint="default" w:ascii="Times New Roman" w:hAnsi="Times New Roman" w:eastAsia="宋体" w:cs="Times New Roman"/>
                <w:bCs/>
                <w:color w:val="000000"/>
                <w:kern w:val="24"/>
                <w:sz w:val="24"/>
                <w:szCs w:val="24"/>
                <w:lang w:val="en-US" w:eastAsia="zh-CN" w:bidi="ar-SA"/>
              </w:rPr>
              <w:t>项目附近已有污水收集管网，标高低于项目排放口</w:t>
            </w:r>
            <w:r>
              <w:rPr>
                <w:rFonts w:hint="default" w:ascii="Times New Roman" w:hAnsi="Times New Roman" w:eastAsia="宋体" w:cs="Times New Roman"/>
                <w:b w:val="0"/>
                <w:bCs/>
                <w:color w:val="auto"/>
                <w:kern w:val="24"/>
                <w:sz w:val="24"/>
                <w:szCs w:val="24"/>
                <w:highlight w:val="none"/>
                <w:lang w:val="en-US" w:eastAsia="zh-CN" w:bidi="ar-SA"/>
              </w:rPr>
              <w:t>出水口标高，隔油池出水口可自流排至污水管网，最终进入园区污水处理厂处理。因此，本项目生活污水排入园区污水处理厂处理是可行的，也是可靠的。综上，项目运营期不会对周边地表水环境产生明显影响。</w:t>
            </w:r>
          </w:p>
          <w:p w14:paraId="1430170A">
            <w:pPr>
              <w:pStyle w:val="8"/>
              <w:rPr>
                <w:rFonts w:hint="default" w:ascii="Times New Roman" w:hAnsi="Times New Roman" w:cs="Times New Roman"/>
                <w:b/>
                <w:bCs/>
                <w:lang w:val="en-US" w:eastAsia="zh-CN"/>
              </w:rPr>
            </w:pPr>
            <w:r>
              <w:rPr>
                <w:rFonts w:hint="default" w:ascii="Times New Roman" w:hAnsi="Times New Roman" w:cs="Times New Roman"/>
                <w:b/>
                <w:bCs/>
                <w:lang w:val="en-US" w:eastAsia="zh-CN"/>
              </w:rPr>
              <w:t>3.2自行监测要求</w:t>
            </w:r>
          </w:p>
          <w:p w14:paraId="47E505CA">
            <w:pPr>
              <w:pStyle w:val="8"/>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项目运营期产生的废水为生活污水，为间接排放，无生产废水</w:t>
            </w:r>
            <w:r>
              <w:rPr>
                <w:rFonts w:hint="default" w:ascii="Times New Roman" w:hAnsi="Times New Roman" w:cs="Times New Roman"/>
                <w:color w:val="auto"/>
                <w:kern w:val="2"/>
                <w:sz w:val="24"/>
                <w:szCs w:val="24"/>
                <w:highlight w:val="none"/>
                <w:lang w:val="en-US" w:eastAsia="zh-CN" w:bidi="ar-SA"/>
              </w:rPr>
              <w:t>循环使用不外排</w:t>
            </w:r>
            <w:r>
              <w:rPr>
                <w:rFonts w:hint="default" w:ascii="Times New Roman" w:hAnsi="Times New Roman" w:eastAsia="宋体" w:cs="Times New Roman"/>
                <w:color w:val="auto"/>
                <w:kern w:val="2"/>
                <w:sz w:val="24"/>
                <w:szCs w:val="24"/>
                <w:highlight w:val="none"/>
                <w:lang w:val="en-US" w:eastAsia="zh-CN" w:bidi="ar-SA"/>
              </w:rPr>
              <w:t>。根据《排污单位自行监测技术指南 总则》（HJ819-2017），未针对生活污水间接排放提出监测要求，故本项目不设置废水监测计划。</w:t>
            </w:r>
          </w:p>
          <w:p w14:paraId="178C47A1">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噪声污染分析</w:t>
            </w:r>
          </w:p>
          <w:p w14:paraId="5CDC254A">
            <w:pPr>
              <w:adjustRightInd w:val="0"/>
              <w:snapToGrid w:val="0"/>
              <w:ind w:firstLine="48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本项目营运期间噪声主要来自</w:t>
            </w:r>
            <w:r>
              <w:rPr>
                <w:rFonts w:hint="eastAsia" w:cs="Times New Roman"/>
                <w:color w:val="auto"/>
                <w:sz w:val="24"/>
                <w:szCs w:val="24"/>
                <w:highlight w:val="none"/>
                <w:lang w:val="en-US" w:eastAsia="zh-CN"/>
              </w:rPr>
              <w:t>溶解釜、真空泵、干燥机、钢渣破碎机、负压吸粉装置、半自动拆解机</w:t>
            </w:r>
            <w:r>
              <w:rPr>
                <w:rFonts w:hint="default" w:ascii="Times New Roman" w:hAnsi="Times New Roman" w:eastAsia="宋体" w:cs="Times New Roman"/>
                <w:color w:val="auto"/>
                <w:sz w:val="24"/>
                <w:szCs w:val="24"/>
                <w:highlight w:val="none"/>
              </w:rPr>
              <w:t>等设备生产过程中</w:t>
            </w:r>
            <w:r>
              <w:rPr>
                <w:rFonts w:hint="default" w:ascii="Times New Roman" w:hAnsi="Times New Roman" w:cs="Times New Roman"/>
                <w:color w:val="auto"/>
                <w:sz w:val="24"/>
                <w:szCs w:val="24"/>
                <w:highlight w:val="none"/>
                <w:lang w:eastAsia="zh-CN"/>
              </w:rPr>
              <w:t>产生</w:t>
            </w:r>
            <w:r>
              <w:rPr>
                <w:rFonts w:hint="default" w:ascii="Times New Roman" w:hAnsi="Times New Roman" w:eastAsia="宋体" w:cs="Times New Roman"/>
                <w:color w:val="auto"/>
                <w:sz w:val="24"/>
                <w:szCs w:val="24"/>
                <w:highlight w:val="none"/>
              </w:rPr>
              <w:t>的噪声。</w:t>
            </w:r>
            <w:r>
              <w:rPr>
                <w:rFonts w:hint="default" w:ascii="Times New Roman" w:hAnsi="Times New Roman" w:eastAsia="宋体" w:cs="Times New Roman"/>
                <w:color w:val="auto"/>
                <w:kern w:val="0"/>
                <w:sz w:val="24"/>
                <w:szCs w:val="24"/>
                <w:highlight w:val="none"/>
              </w:rPr>
              <w:t>项目主要生产设备布设在生产车间内，经采取隔声、减振、降噪处理后</w:t>
            </w:r>
            <w:r>
              <w:rPr>
                <w:rFonts w:hint="default" w:ascii="Times New Roman" w:hAnsi="Times New Roman" w:eastAsia="宋体" w:cs="Times New Roman"/>
                <w:color w:val="auto"/>
                <w:sz w:val="24"/>
                <w:szCs w:val="24"/>
                <w:highlight w:val="none"/>
              </w:rPr>
              <w:t>可以减轻噪声对周围环境的影响，采用上述方法可以确保厂界噪声达标。</w:t>
            </w:r>
          </w:p>
          <w:p w14:paraId="45A4E1FB">
            <w:pPr>
              <w:pStyle w:val="3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 xml:space="preserve">   主要设备噪声源强一览表        单位：dB（A）</w:t>
            </w:r>
          </w:p>
          <w:tbl>
            <w:tblPr>
              <w:tblStyle w:val="29"/>
              <w:tblW w:w="491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
              <w:gridCol w:w="1209"/>
              <w:gridCol w:w="618"/>
              <w:gridCol w:w="584"/>
              <w:gridCol w:w="582"/>
              <w:gridCol w:w="362"/>
              <w:gridCol w:w="377"/>
              <w:gridCol w:w="362"/>
              <w:gridCol w:w="507"/>
              <w:gridCol w:w="710"/>
              <w:gridCol w:w="446"/>
              <w:gridCol w:w="626"/>
              <w:gridCol w:w="692"/>
              <w:gridCol w:w="724"/>
            </w:tblGrid>
            <w:tr w14:paraId="7C0C4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restart"/>
                  <w:tcBorders>
                    <w:tl2br w:val="nil"/>
                    <w:tr2bl w:val="nil"/>
                  </w:tcBorders>
                  <w:tcMar>
                    <w:top w:w="0" w:type="dxa"/>
                    <w:left w:w="28" w:type="dxa"/>
                    <w:bottom w:w="0" w:type="dxa"/>
                    <w:right w:w="28" w:type="dxa"/>
                  </w:tcMar>
                  <w:vAlign w:val="center"/>
                </w:tcPr>
                <w:p w14:paraId="0AB9A13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建筑物名称</w:t>
                  </w:r>
                </w:p>
              </w:tc>
              <w:tc>
                <w:tcPr>
                  <w:tcW w:w="739" w:type="pct"/>
                  <w:vMerge w:val="restart"/>
                  <w:tcBorders>
                    <w:tl2br w:val="nil"/>
                    <w:tr2bl w:val="nil"/>
                  </w:tcBorders>
                  <w:tcMar>
                    <w:top w:w="0" w:type="dxa"/>
                    <w:left w:w="28" w:type="dxa"/>
                    <w:bottom w:w="0" w:type="dxa"/>
                    <w:right w:w="28" w:type="dxa"/>
                  </w:tcMar>
                  <w:vAlign w:val="center"/>
                </w:tcPr>
                <w:p w14:paraId="0E6AC77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声源名称</w:t>
                  </w:r>
                </w:p>
              </w:tc>
              <w:tc>
                <w:tcPr>
                  <w:tcW w:w="735" w:type="pct"/>
                  <w:gridSpan w:val="2"/>
                  <w:tcBorders>
                    <w:tl2br w:val="nil"/>
                    <w:tr2bl w:val="nil"/>
                  </w:tcBorders>
                  <w:tcMar>
                    <w:top w:w="0" w:type="dxa"/>
                    <w:left w:w="28" w:type="dxa"/>
                    <w:bottom w:w="0" w:type="dxa"/>
                    <w:right w:w="28" w:type="dxa"/>
                  </w:tcMar>
                  <w:vAlign w:val="center"/>
                </w:tcPr>
                <w:p w14:paraId="3173368A">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声源源强</w:t>
                  </w:r>
                </w:p>
              </w:tc>
              <w:tc>
                <w:tcPr>
                  <w:tcW w:w="356" w:type="pct"/>
                  <w:vMerge w:val="restart"/>
                  <w:tcBorders>
                    <w:tl2br w:val="nil"/>
                    <w:tr2bl w:val="nil"/>
                  </w:tcBorders>
                  <w:tcMar>
                    <w:top w:w="0" w:type="dxa"/>
                    <w:left w:w="28" w:type="dxa"/>
                    <w:bottom w:w="0" w:type="dxa"/>
                    <w:right w:w="28" w:type="dxa"/>
                  </w:tcMar>
                  <w:vAlign w:val="center"/>
                </w:tcPr>
                <w:p w14:paraId="2C000DD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声源控制措施</w:t>
                  </w:r>
                </w:p>
              </w:tc>
              <w:tc>
                <w:tcPr>
                  <w:tcW w:w="673" w:type="pct"/>
                  <w:gridSpan w:val="3"/>
                  <w:vMerge w:val="restart"/>
                  <w:tcBorders>
                    <w:tl2br w:val="nil"/>
                    <w:tr2bl w:val="nil"/>
                  </w:tcBorders>
                  <w:tcMar>
                    <w:top w:w="0" w:type="dxa"/>
                    <w:left w:w="28" w:type="dxa"/>
                    <w:bottom w:w="0" w:type="dxa"/>
                    <w:right w:w="28" w:type="dxa"/>
                  </w:tcMar>
                  <w:vAlign w:val="center"/>
                </w:tcPr>
                <w:p w14:paraId="191FFCC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空间相对位置/m</w:t>
                  </w:r>
                </w:p>
              </w:tc>
              <w:tc>
                <w:tcPr>
                  <w:tcW w:w="310" w:type="pct"/>
                  <w:vMerge w:val="restart"/>
                  <w:tcBorders>
                    <w:tl2br w:val="nil"/>
                    <w:tr2bl w:val="nil"/>
                  </w:tcBorders>
                  <w:tcMar>
                    <w:top w:w="0" w:type="dxa"/>
                    <w:left w:w="28" w:type="dxa"/>
                    <w:bottom w:w="0" w:type="dxa"/>
                    <w:right w:w="28" w:type="dxa"/>
                  </w:tcMar>
                  <w:vAlign w:val="center"/>
                </w:tcPr>
                <w:p w14:paraId="7B31019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距室内边界距离/m</w:t>
                  </w:r>
                </w:p>
              </w:tc>
              <w:tc>
                <w:tcPr>
                  <w:tcW w:w="434" w:type="pct"/>
                  <w:vMerge w:val="restart"/>
                  <w:tcBorders>
                    <w:tl2br w:val="nil"/>
                    <w:tr2bl w:val="nil"/>
                  </w:tcBorders>
                  <w:tcMar>
                    <w:top w:w="0" w:type="dxa"/>
                    <w:left w:w="28" w:type="dxa"/>
                    <w:bottom w:w="0" w:type="dxa"/>
                    <w:right w:w="28" w:type="dxa"/>
                  </w:tcMar>
                  <w:vAlign w:val="center"/>
                </w:tcPr>
                <w:p w14:paraId="2216A02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室内边界声级/dB（A）</w:t>
                  </w:r>
                </w:p>
              </w:tc>
              <w:tc>
                <w:tcPr>
                  <w:tcW w:w="272" w:type="pct"/>
                  <w:vMerge w:val="restart"/>
                  <w:tcBorders>
                    <w:tl2br w:val="nil"/>
                    <w:tr2bl w:val="nil"/>
                  </w:tcBorders>
                  <w:tcMar>
                    <w:top w:w="0" w:type="dxa"/>
                    <w:left w:w="28" w:type="dxa"/>
                    <w:bottom w:w="0" w:type="dxa"/>
                    <w:right w:w="28" w:type="dxa"/>
                  </w:tcMar>
                  <w:vAlign w:val="center"/>
                </w:tcPr>
                <w:p w14:paraId="590B995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运行时段</w:t>
                  </w:r>
                </w:p>
              </w:tc>
              <w:tc>
                <w:tcPr>
                  <w:tcW w:w="382" w:type="pct"/>
                  <w:vMerge w:val="restart"/>
                  <w:tcBorders>
                    <w:tl2br w:val="nil"/>
                    <w:tr2bl w:val="nil"/>
                  </w:tcBorders>
                  <w:tcMar>
                    <w:top w:w="0" w:type="dxa"/>
                    <w:left w:w="28" w:type="dxa"/>
                    <w:bottom w:w="0" w:type="dxa"/>
                    <w:right w:w="28" w:type="dxa"/>
                  </w:tcMar>
                  <w:vAlign w:val="center"/>
                </w:tcPr>
                <w:p w14:paraId="2D05906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建筑物插入损失/dB（A）</w:t>
                  </w:r>
                </w:p>
              </w:tc>
              <w:tc>
                <w:tcPr>
                  <w:tcW w:w="866" w:type="pct"/>
                  <w:gridSpan w:val="2"/>
                  <w:vMerge w:val="restart"/>
                  <w:tcBorders>
                    <w:tl2br w:val="nil"/>
                    <w:tr2bl w:val="nil"/>
                  </w:tcBorders>
                  <w:tcMar>
                    <w:top w:w="0" w:type="dxa"/>
                    <w:left w:w="28" w:type="dxa"/>
                    <w:bottom w:w="0" w:type="dxa"/>
                    <w:right w:w="28" w:type="dxa"/>
                  </w:tcMar>
                  <w:vAlign w:val="center"/>
                </w:tcPr>
                <w:p w14:paraId="49812F9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建筑物外噪声</w:t>
                  </w:r>
                </w:p>
              </w:tc>
            </w:tr>
            <w:tr w14:paraId="0F5DF6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7D2661DB">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vMerge w:val="continue"/>
                  <w:tcBorders>
                    <w:tl2br w:val="nil"/>
                    <w:tr2bl w:val="nil"/>
                  </w:tcBorders>
                  <w:tcMar>
                    <w:top w:w="0" w:type="dxa"/>
                    <w:left w:w="28" w:type="dxa"/>
                    <w:bottom w:w="0" w:type="dxa"/>
                    <w:right w:w="28" w:type="dxa"/>
                  </w:tcMar>
                  <w:vAlign w:val="center"/>
                </w:tcPr>
                <w:p w14:paraId="44850C10">
                  <w:pPr>
                    <w:pStyle w:val="47"/>
                    <w:ind w:firstLine="0" w:firstLineChars="0"/>
                    <w:rPr>
                      <w:rFonts w:hint="default" w:ascii="Times New Roman" w:hAnsi="Times New Roman" w:eastAsia="宋体" w:cs="Times New Roman"/>
                      <w:color w:val="auto"/>
                      <w:sz w:val="21"/>
                      <w:highlight w:val="none"/>
                      <w:lang w:val="en-US" w:eastAsia="zh-CN"/>
                    </w:rPr>
                  </w:pPr>
                </w:p>
              </w:tc>
              <w:tc>
                <w:tcPr>
                  <w:tcW w:w="378" w:type="pct"/>
                  <w:vMerge w:val="restart"/>
                  <w:tcBorders>
                    <w:tl2br w:val="nil"/>
                    <w:tr2bl w:val="nil"/>
                  </w:tcBorders>
                  <w:tcMar>
                    <w:top w:w="0" w:type="dxa"/>
                    <w:left w:w="28" w:type="dxa"/>
                    <w:bottom w:w="0" w:type="dxa"/>
                    <w:right w:w="28" w:type="dxa"/>
                  </w:tcMar>
                  <w:vAlign w:val="center"/>
                </w:tcPr>
                <w:p w14:paraId="3F2CA53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声压级/dB（A）</w:t>
                  </w:r>
                </w:p>
              </w:tc>
              <w:tc>
                <w:tcPr>
                  <w:tcW w:w="357" w:type="pct"/>
                  <w:vMerge w:val="restart"/>
                  <w:tcBorders>
                    <w:tl2br w:val="nil"/>
                    <w:tr2bl w:val="nil"/>
                  </w:tcBorders>
                  <w:tcMar>
                    <w:top w:w="0" w:type="dxa"/>
                    <w:left w:w="28" w:type="dxa"/>
                    <w:bottom w:w="0" w:type="dxa"/>
                    <w:right w:w="28" w:type="dxa"/>
                  </w:tcMar>
                  <w:vAlign w:val="center"/>
                </w:tcPr>
                <w:p w14:paraId="2ECC16CA">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距声源距离/m</w:t>
                  </w:r>
                </w:p>
              </w:tc>
              <w:tc>
                <w:tcPr>
                  <w:tcW w:w="356" w:type="pct"/>
                  <w:vMerge w:val="continue"/>
                  <w:tcBorders>
                    <w:tl2br w:val="nil"/>
                    <w:tr2bl w:val="nil"/>
                  </w:tcBorders>
                  <w:tcMar>
                    <w:top w:w="0" w:type="dxa"/>
                    <w:left w:w="28" w:type="dxa"/>
                    <w:bottom w:w="0" w:type="dxa"/>
                    <w:right w:w="28" w:type="dxa"/>
                  </w:tcMar>
                  <w:vAlign w:val="center"/>
                </w:tcPr>
                <w:p w14:paraId="6692FFFF">
                  <w:pPr>
                    <w:pStyle w:val="47"/>
                    <w:ind w:firstLine="0" w:firstLineChars="0"/>
                    <w:rPr>
                      <w:rFonts w:hint="default" w:ascii="Times New Roman" w:hAnsi="Times New Roman" w:eastAsia="宋体" w:cs="Times New Roman"/>
                      <w:color w:val="auto"/>
                      <w:sz w:val="21"/>
                      <w:highlight w:val="none"/>
                      <w:lang w:val="en-US" w:eastAsia="zh-CN"/>
                    </w:rPr>
                  </w:pPr>
                </w:p>
              </w:tc>
              <w:tc>
                <w:tcPr>
                  <w:tcW w:w="673" w:type="pct"/>
                  <w:gridSpan w:val="3"/>
                  <w:vMerge w:val="continue"/>
                  <w:tcBorders>
                    <w:tl2br w:val="nil"/>
                    <w:tr2bl w:val="nil"/>
                  </w:tcBorders>
                  <w:tcMar>
                    <w:top w:w="0" w:type="dxa"/>
                    <w:left w:w="28" w:type="dxa"/>
                    <w:bottom w:w="0" w:type="dxa"/>
                    <w:right w:w="28" w:type="dxa"/>
                  </w:tcMar>
                  <w:vAlign w:val="center"/>
                </w:tcPr>
                <w:p w14:paraId="3073D7D1">
                  <w:pPr>
                    <w:pStyle w:val="47"/>
                    <w:ind w:firstLine="0" w:firstLineChars="0"/>
                    <w:rPr>
                      <w:rFonts w:hint="default" w:ascii="Times New Roman" w:hAnsi="Times New Roman" w:eastAsia="宋体" w:cs="Times New Roman"/>
                      <w:color w:val="auto"/>
                      <w:sz w:val="21"/>
                      <w:highlight w:val="none"/>
                      <w:lang w:val="en-US" w:eastAsia="zh-CN"/>
                    </w:rPr>
                  </w:pPr>
                </w:p>
              </w:tc>
              <w:tc>
                <w:tcPr>
                  <w:tcW w:w="310" w:type="pct"/>
                  <w:vMerge w:val="continue"/>
                  <w:tcBorders>
                    <w:tl2br w:val="nil"/>
                    <w:tr2bl w:val="nil"/>
                  </w:tcBorders>
                  <w:tcMar>
                    <w:top w:w="0" w:type="dxa"/>
                    <w:left w:w="28" w:type="dxa"/>
                    <w:bottom w:w="0" w:type="dxa"/>
                    <w:right w:w="28" w:type="dxa"/>
                  </w:tcMar>
                  <w:vAlign w:val="center"/>
                </w:tcPr>
                <w:p w14:paraId="672B4244">
                  <w:pPr>
                    <w:pStyle w:val="47"/>
                    <w:ind w:firstLine="0" w:firstLineChars="0"/>
                    <w:rPr>
                      <w:rFonts w:hint="default" w:ascii="Times New Roman" w:hAnsi="Times New Roman" w:eastAsia="宋体" w:cs="Times New Roman"/>
                      <w:color w:val="auto"/>
                      <w:sz w:val="21"/>
                      <w:highlight w:val="none"/>
                      <w:lang w:val="en-US" w:eastAsia="zh-CN"/>
                    </w:rPr>
                  </w:pPr>
                </w:p>
              </w:tc>
              <w:tc>
                <w:tcPr>
                  <w:tcW w:w="434" w:type="pct"/>
                  <w:vMerge w:val="continue"/>
                  <w:tcBorders>
                    <w:tl2br w:val="nil"/>
                    <w:tr2bl w:val="nil"/>
                  </w:tcBorders>
                  <w:tcMar>
                    <w:top w:w="0" w:type="dxa"/>
                    <w:left w:w="28" w:type="dxa"/>
                    <w:bottom w:w="0" w:type="dxa"/>
                    <w:right w:w="28" w:type="dxa"/>
                  </w:tcMar>
                  <w:vAlign w:val="center"/>
                </w:tcPr>
                <w:p w14:paraId="019A26A3">
                  <w:pPr>
                    <w:pStyle w:val="47"/>
                    <w:ind w:firstLine="0" w:firstLineChars="0"/>
                    <w:rPr>
                      <w:rFonts w:hint="default" w:ascii="Times New Roman" w:hAnsi="Times New Roman" w:eastAsia="宋体" w:cs="Times New Roman"/>
                      <w:color w:val="auto"/>
                      <w:sz w:val="21"/>
                      <w:highlight w:val="none"/>
                      <w:lang w:val="en-US" w:eastAsia="zh-CN"/>
                    </w:rPr>
                  </w:pPr>
                </w:p>
              </w:tc>
              <w:tc>
                <w:tcPr>
                  <w:tcW w:w="272" w:type="pct"/>
                  <w:vMerge w:val="continue"/>
                  <w:tcBorders>
                    <w:tl2br w:val="nil"/>
                    <w:tr2bl w:val="nil"/>
                  </w:tcBorders>
                  <w:tcMar>
                    <w:top w:w="0" w:type="dxa"/>
                    <w:left w:w="28" w:type="dxa"/>
                    <w:bottom w:w="0" w:type="dxa"/>
                    <w:right w:w="28" w:type="dxa"/>
                  </w:tcMar>
                  <w:vAlign w:val="center"/>
                </w:tcPr>
                <w:p w14:paraId="11C8FF54">
                  <w:pPr>
                    <w:pStyle w:val="47"/>
                    <w:ind w:firstLine="0" w:firstLineChars="0"/>
                    <w:rPr>
                      <w:rFonts w:hint="default" w:ascii="Times New Roman" w:hAnsi="Times New Roman" w:eastAsia="宋体" w:cs="Times New Roman"/>
                      <w:color w:val="auto"/>
                      <w:sz w:val="21"/>
                      <w:highlight w:val="none"/>
                      <w:lang w:val="en-US" w:eastAsia="zh-CN"/>
                    </w:rPr>
                  </w:pPr>
                </w:p>
              </w:tc>
              <w:tc>
                <w:tcPr>
                  <w:tcW w:w="382" w:type="pct"/>
                  <w:vMerge w:val="continue"/>
                  <w:tcBorders>
                    <w:tl2br w:val="nil"/>
                    <w:tr2bl w:val="nil"/>
                  </w:tcBorders>
                  <w:tcMar>
                    <w:top w:w="0" w:type="dxa"/>
                    <w:left w:w="28" w:type="dxa"/>
                    <w:bottom w:w="0" w:type="dxa"/>
                    <w:right w:w="28" w:type="dxa"/>
                  </w:tcMar>
                  <w:vAlign w:val="center"/>
                </w:tcPr>
                <w:p w14:paraId="66F7F143">
                  <w:pPr>
                    <w:pStyle w:val="47"/>
                    <w:ind w:firstLine="0" w:firstLineChars="0"/>
                    <w:rPr>
                      <w:rFonts w:hint="default" w:ascii="Times New Roman" w:hAnsi="Times New Roman" w:eastAsia="宋体" w:cs="Times New Roman"/>
                      <w:color w:val="auto"/>
                      <w:sz w:val="21"/>
                      <w:highlight w:val="none"/>
                      <w:lang w:val="en-US" w:eastAsia="zh-CN"/>
                    </w:rPr>
                  </w:pPr>
                </w:p>
              </w:tc>
              <w:tc>
                <w:tcPr>
                  <w:tcW w:w="866" w:type="pct"/>
                  <w:gridSpan w:val="2"/>
                  <w:vMerge w:val="continue"/>
                  <w:tcBorders>
                    <w:tl2br w:val="nil"/>
                    <w:tr2bl w:val="nil"/>
                  </w:tcBorders>
                  <w:tcMar>
                    <w:top w:w="0" w:type="dxa"/>
                    <w:left w:w="28" w:type="dxa"/>
                    <w:bottom w:w="0" w:type="dxa"/>
                    <w:right w:w="28" w:type="dxa"/>
                  </w:tcMar>
                  <w:vAlign w:val="center"/>
                </w:tcPr>
                <w:p w14:paraId="50EF8213">
                  <w:pPr>
                    <w:pStyle w:val="47"/>
                    <w:ind w:firstLine="0" w:firstLineChars="0"/>
                    <w:rPr>
                      <w:rFonts w:hint="default" w:ascii="Times New Roman" w:hAnsi="Times New Roman" w:eastAsia="宋体" w:cs="Times New Roman"/>
                      <w:color w:val="auto"/>
                      <w:sz w:val="21"/>
                      <w:highlight w:val="none"/>
                      <w:lang w:val="en-US" w:eastAsia="zh-CN"/>
                    </w:rPr>
                  </w:pPr>
                </w:p>
              </w:tc>
            </w:tr>
            <w:tr w14:paraId="36CB8C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22BD1646">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vMerge w:val="continue"/>
                  <w:tcBorders>
                    <w:tl2br w:val="nil"/>
                    <w:tr2bl w:val="nil"/>
                  </w:tcBorders>
                  <w:tcMar>
                    <w:top w:w="0" w:type="dxa"/>
                    <w:left w:w="28" w:type="dxa"/>
                    <w:bottom w:w="0" w:type="dxa"/>
                    <w:right w:w="28" w:type="dxa"/>
                  </w:tcMar>
                  <w:vAlign w:val="center"/>
                </w:tcPr>
                <w:p w14:paraId="4B0C3C2B">
                  <w:pPr>
                    <w:pStyle w:val="47"/>
                    <w:ind w:firstLine="0" w:firstLineChars="0"/>
                    <w:rPr>
                      <w:rFonts w:hint="default" w:ascii="Times New Roman" w:hAnsi="Times New Roman" w:eastAsia="宋体" w:cs="Times New Roman"/>
                      <w:color w:val="auto"/>
                      <w:sz w:val="21"/>
                      <w:highlight w:val="none"/>
                      <w:lang w:val="en-US" w:eastAsia="zh-CN"/>
                    </w:rPr>
                  </w:pPr>
                </w:p>
              </w:tc>
              <w:tc>
                <w:tcPr>
                  <w:tcW w:w="378" w:type="pct"/>
                  <w:vMerge w:val="continue"/>
                  <w:tcBorders>
                    <w:tl2br w:val="nil"/>
                    <w:tr2bl w:val="nil"/>
                  </w:tcBorders>
                  <w:tcMar>
                    <w:top w:w="0" w:type="dxa"/>
                    <w:left w:w="28" w:type="dxa"/>
                    <w:bottom w:w="0" w:type="dxa"/>
                    <w:right w:w="28" w:type="dxa"/>
                  </w:tcMar>
                  <w:vAlign w:val="center"/>
                </w:tcPr>
                <w:p w14:paraId="2F6D1510">
                  <w:pPr>
                    <w:pStyle w:val="47"/>
                    <w:ind w:firstLine="0" w:firstLineChars="0"/>
                    <w:rPr>
                      <w:rFonts w:hint="default" w:ascii="Times New Roman" w:hAnsi="Times New Roman" w:eastAsia="宋体" w:cs="Times New Roman"/>
                      <w:color w:val="auto"/>
                      <w:sz w:val="21"/>
                      <w:highlight w:val="none"/>
                      <w:lang w:val="en-US" w:eastAsia="zh-CN"/>
                    </w:rPr>
                  </w:pPr>
                </w:p>
              </w:tc>
              <w:tc>
                <w:tcPr>
                  <w:tcW w:w="357" w:type="pct"/>
                  <w:vMerge w:val="continue"/>
                  <w:tcBorders>
                    <w:tl2br w:val="nil"/>
                    <w:tr2bl w:val="nil"/>
                  </w:tcBorders>
                  <w:tcMar>
                    <w:top w:w="0" w:type="dxa"/>
                    <w:left w:w="28" w:type="dxa"/>
                    <w:bottom w:w="0" w:type="dxa"/>
                    <w:right w:w="28" w:type="dxa"/>
                  </w:tcMar>
                  <w:vAlign w:val="center"/>
                </w:tcPr>
                <w:p w14:paraId="06CDDFAE">
                  <w:pPr>
                    <w:pStyle w:val="47"/>
                    <w:ind w:firstLine="0" w:firstLineChars="0"/>
                    <w:rPr>
                      <w:rFonts w:hint="default" w:ascii="Times New Roman" w:hAnsi="Times New Roman" w:eastAsia="宋体" w:cs="Times New Roman"/>
                      <w:color w:val="auto"/>
                      <w:sz w:val="21"/>
                      <w:highlight w:val="none"/>
                      <w:lang w:val="en-US" w:eastAsia="zh-CN"/>
                    </w:rPr>
                  </w:pPr>
                </w:p>
              </w:tc>
              <w:tc>
                <w:tcPr>
                  <w:tcW w:w="356" w:type="pct"/>
                  <w:vMerge w:val="continue"/>
                  <w:tcBorders>
                    <w:tl2br w:val="nil"/>
                    <w:tr2bl w:val="nil"/>
                  </w:tcBorders>
                  <w:tcMar>
                    <w:top w:w="0" w:type="dxa"/>
                    <w:left w:w="28" w:type="dxa"/>
                    <w:bottom w:w="0" w:type="dxa"/>
                    <w:right w:w="28" w:type="dxa"/>
                  </w:tcMar>
                  <w:vAlign w:val="center"/>
                </w:tcPr>
                <w:p w14:paraId="230ADA06">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725ADA6A">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X</w:t>
                  </w:r>
                </w:p>
              </w:tc>
              <w:tc>
                <w:tcPr>
                  <w:tcW w:w="230" w:type="pct"/>
                  <w:tcBorders>
                    <w:tl2br w:val="nil"/>
                    <w:tr2bl w:val="nil"/>
                  </w:tcBorders>
                  <w:tcMar>
                    <w:top w:w="0" w:type="dxa"/>
                    <w:left w:w="28" w:type="dxa"/>
                    <w:bottom w:w="0" w:type="dxa"/>
                    <w:right w:w="28" w:type="dxa"/>
                  </w:tcMar>
                  <w:vAlign w:val="center"/>
                </w:tcPr>
                <w:p w14:paraId="227A043A">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Y</w:t>
                  </w:r>
                </w:p>
              </w:tc>
              <w:tc>
                <w:tcPr>
                  <w:tcW w:w="221" w:type="pct"/>
                  <w:tcBorders>
                    <w:tl2br w:val="nil"/>
                    <w:tr2bl w:val="nil"/>
                  </w:tcBorders>
                  <w:tcMar>
                    <w:top w:w="0" w:type="dxa"/>
                    <w:left w:w="28" w:type="dxa"/>
                    <w:bottom w:w="0" w:type="dxa"/>
                    <w:right w:w="28" w:type="dxa"/>
                  </w:tcMar>
                  <w:vAlign w:val="center"/>
                </w:tcPr>
                <w:p w14:paraId="3E00F85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Z</w:t>
                  </w:r>
                </w:p>
              </w:tc>
              <w:tc>
                <w:tcPr>
                  <w:tcW w:w="310" w:type="pct"/>
                  <w:vMerge w:val="continue"/>
                  <w:tcBorders>
                    <w:tl2br w:val="nil"/>
                    <w:tr2bl w:val="nil"/>
                  </w:tcBorders>
                  <w:tcMar>
                    <w:top w:w="0" w:type="dxa"/>
                    <w:left w:w="28" w:type="dxa"/>
                    <w:bottom w:w="0" w:type="dxa"/>
                    <w:right w:w="28" w:type="dxa"/>
                  </w:tcMar>
                  <w:vAlign w:val="center"/>
                </w:tcPr>
                <w:p w14:paraId="46430DB2">
                  <w:pPr>
                    <w:pStyle w:val="47"/>
                    <w:ind w:firstLine="0" w:firstLineChars="0"/>
                    <w:rPr>
                      <w:rFonts w:hint="default" w:ascii="Times New Roman" w:hAnsi="Times New Roman" w:eastAsia="宋体" w:cs="Times New Roman"/>
                      <w:color w:val="auto"/>
                      <w:sz w:val="21"/>
                      <w:highlight w:val="none"/>
                      <w:lang w:val="en-US" w:eastAsia="zh-CN"/>
                    </w:rPr>
                  </w:pPr>
                </w:p>
              </w:tc>
              <w:tc>
                <w:tcPr>
                  <w:tcW w:w="434" w:type="pct"/>
                  <w:vMerge w:val="continue"/>
                  <w:tcBorders>
                    <w:tl2br w:val="nil"/>
                    <w:tr2bl w:val="nil"/>
                  </w:tcBorders>
                  <w:tcMar>
                    <w:top w:w="0" w:type="dxa"/>
                    <w:left w:w="28" w:type="dxa"/>
                    <w:bottom w:w="0" w:type="dxa"/>
                    <w:right w:w="28" w:type="dxa"/>
                  </w:tcMar>
                  <w:vAlign w:val="center"/>
                </w:tcPr>
                <w:p w14:paraId="15715071">
                  <w:pPr>
                    <w:pStyle w:val="47"/>
                    <w:ind w:firstLine="0" w:firstLineChars="0"/>
                    <w:rPr>
                      <w:rFonts w:hint="default" w:ascii="Times New Roman" w:hAnsi="Times New Roman" w:eastAsia="宋体" w:cs="Times New Roman"/>
                      <w:color w:val="auto"/>
                      <w:sz w:val="21"/>
                      <w:highlight w:val="none"/>
                      <w:lang w:val="en-US" w:eastAsia="zh-CN"/>
                    </w:rPr>
                  </w:pPr>
                </w:p>
              </w:tc>
              <w:tc>
                <w:tcPr>
                  <w:tcW w:w="272" w:type="pct"/>
                  <w:vMerge w:val="continue"/>
                  <w:tcBorders>
                    <w:tl2br w:val="nil"/>
                    <w:tr2bl w:val="nil"/>
                  </w:tcBorders>
                  <w:tcMar>
                    <w:top w:w="0" w:type="dxa"/>
                    <w:left w:w="28" w:type="dxa"/>
                    <w:bottom w:w="0" w:type="dxa"/>
                    <w:right w:w="28" w:type="dxa"/>
                  </w:tcMar>
                  <w:vAlign w:val="center"/>
                </w:tcPr>
                <w:p w14:paraId="3727AC4F">
                  <w:pPr>
                    <w:pStyle w:val="47"/>
                    <w:ind w:firstLine="0" w:firstLineChars="0"/>
                    <w:rPr>
                      <w:rFonts w:hint="default" w:ascii="Times New Roman" w:hAnsi="Times New Roman" w:eastAsia="宋体" w:cs="Times New Roman"/>
                      <w:color w:val="auto"/>
                      <w:sz w:val="21"/>
                      <w:highlight w:val="none"/>
                      <w:lang w:val="en-US" w:eastAsia="zh-CN"/>
                    </w:rPr>
                  </w:pPr>
                </w:p>
              </w:tc>
              <w:tc>
                <w:tcPr>
                  <w:tcW w:w="382" w:type="pct"/>
                  <w:vMerge w:val="continue"/>
                  <w:tcBorders>
                    <w:tl2br w:val="nil"/>
                    <w:tr2bl w:val="nil"/>
                  </w:tcBorders>
                  <w:tcMar>
                    <w:top w:w="0" w:type="dxa"/>
                    <w:left w:w="28" w:type="dxa"/>
                    <w:bottom w:w="0" w:type="dxa"/>
                    <w:right w:w="28" w:type="dxa"/>
                  </w:tcMar>
                  <w:vAlign w:val="center"/>
                </w:tcPr>
                <w:p w14:paraId="080A2174">
                  <w:pPr>
                    <w:pStyle w:val="47"/>
                    <w:ind w:firstLine="0" w:firstLineChars="0"/>
                    <w:rPr>
                      <w:rFonts w:hint="default" w:ascii="Times New Roman" w:hAnsi="Times New Roman" w:eastAsia="宋体" w:cs="Times New Roman"/>
                      <w:color w:val="auto"/>
                      <w:sz w:val="21"/>
                      <w:highlight w:val="none"/>
                      <w:lang w:val="en-US" w:eastAsia="zh-CN"/>
                    </w:rPr>
                  </w:pPr>
                </w:p>
              </w:tc>
              <w:tc>
                <w:tcPr>
                  <w:tcW w:w="423" w:type="pct"/>
                  <w:tcBorders>
                    <w:tl2br w:val="nil"/>
                    <w:tr2bl w:val="nil"/>
                  </w:tcBorders>
                  <w:tcMar>
                    <w:top w:w="0" w:type="dxa"/>
                    <w:left w:w="28" w:type="dxa"/>
                    <w:bottom w:w="0" w:type="dxa"/>
                    <w:right w:w="28" w:type="dxa"/>
                  </w:tcMar>
                  <w:vAlign w:val="center"/>
                </w:tcPr>
                <w:p w14:paraId="07B20EF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声压级/dB（A）</w:t>
                  </w:r>
                </w:p>
              </w:tc>
              <w:tc>
                <w:tcPr>
                  <w:tcW w:w="442" w:type="pct"/>
                  <w:tcBorders>
                    <w:tl2br w:val="nil"/>
                    <w:tr2bl w:val="nil"/>
                  </w:tcBorders>
                  <w:tcMar>
                    <w:top w:w="0" w:type="dxa"/>
                    <w:left w:w="28" w:type="dxa"/>
                    <w:bottom w:w="0" w:type="dxa"/>
                    <w:right w:w="28" w:type="dxa"/>
                  </w:tcMar>
                  <w:vAlign w:val="center"/>
                </w:tcPr>
                <w:p w14:paraId="54F42F6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建筑物外距离/m</w:t>
                  </w:r>
                </w:p>
              </w:tc>
            </w:tr>
            <w:tr w14:paraId="3272CA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restart"/>
                  <w:tcBorders>
                    <w:tl2br w:val="nil"/>
                    <w:tr2bl w:val="nil"/>
                  </w:tcBorders>
                  <w:tcMar>
                    <w:top w:w="0" w:type="dxa"/>
                    <w:left w:w="28" w:type="dxa"/>
                    <w:bottom w:w="0" w:type="dxa"/>
                    <w:right w:w="28" w:type="dxa"/>
                  </w:tcMar>
                  <w:vAlign w:val="center"/>
                </w:tcPr>
                <w:p w14:paraId="39D1AEC0">
                  <w:pPr>
                    <w:pStyle w:val="47"/>
                    <w:ind w:firstLine="0" w:firstLineChars="0"/>
                    <w:rPr>
                      <w:rFonts w:hint="default" w:ascii="Times New Roman" w:hAnsi="Times New Roman" w:eastAsia="宋体" w:cs="Times New Roman"/>
                      <w:color w:val="auto"/>
                      <w:sz w:val="21"/>
                      <w:highlight w:val="none"/>
                      <w:lang w:val="en-US" w:eastAsia="zh-CN"/>
                    </w:rPr>
                  </w:pPr>
                  <w:bookmarkStart w:id="14" w:name="OLE_LINK1" w:colFirst="3" w:colLast="3"/>
                  <w:r>
                    <w:rPr>
                      <w:rFonts w:hint="default" w:ascii="Times New Roman" w:hAnsi="Times New Roman" w:eastAsia="宋体" w:cs="Times New Roman"/>
                      <w:color w:val="auto"/>
                      <w:sz w:val="21"/>
                      <w:highlight w:val="none"/>
                      <w:lang w:val="en-US" w:eastAsia="zh-CN"/>
                    </w:rPr>
                    <w:t>生产车间</w:t>
                  </w:r>
                </w:p>
              </w:tc>
              <w:tc>
                <w:tcPr>
                  <w:tcW w:w="739" w:type="pct"/>
                  <w:tcBorders>
                    <w:tl2br w:val="nil"/>
                    <w:tr2bl w:val="nil"/>
                  </w:tcBorders>
                  <w:shd w:val="clear" w:color="auto" w:fill="auto"/>
                  <w:tcMar>
                    <w:top w:w="0" w:type="dxa"/>
                    <w:left w:w="28" w:type="dxa"/>
                    <w:bottom w:w="0" w:type="dxa"/>
                    <w:right w:w="28" w:type="dxa"/>
                  </w:tcMar>
                  <w:vAlign w:val="center"/>
                </w:tcPr>
                <w:p w14:paraId="3C29DA9C">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溶解釜</w:t>
                  </w:r>
                </w:p>
              </w:tc>
              <w:tc>
                <w:tcPr>
                  <w:tcW w:w="378" w:type="pct"/>
                  <w:tcBorders>
                    <w:tl2br w:val="nil"/>
                    <w:tr2bl w:val="nil"/>
                  </w:tcBorders>
                  <w:tcMar>
                    <w:top w:w="0" w:type="dxa"/>
                    <w:left w:w="28" w:type="dxa"/>
                    <w:bottom w:w="0" w:type="dxa"/>
                    <w:right w:w="28" w:type="dxa"/>
                  </w:tcMar>
                  <w:vAlign w:val="center"/>
                </w:tcPr>
                <w:p w14:paraId="2CB46AD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80</w:t>
                  </w:r>
                </w:p>
              </w:tc>
              <w:tc>
                <w:tcPr>
                  <w:tcW w:w="357" w:type="pct"/>
                  <w:tcBorders>
                    <w:tl2br w:val="nil"/>
                    <w:tr2bl w:val="nil"/>
                  </w:tcBorders>
                  <w:tcMar>
                    <w:top w:w="0" w:type="dxa"/>
                    <w:left w:w="28" w:type="dxa"/>
                    <w:bottom w:w="0" w:type="dxa"/>
                    <w:right w:w="28" w:type="dxa"/>
                  </w:tcMar>
                  <w:vAlign w:val="center"/>
                </w:tcPr>
                <w:p w14:paraId="2074721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restart"/>
                  <w:tcBorders>
                    <w:tl2br w:val="nil"/>
                    <w:tr2bl w:val="nil"/>
                  </w:tcBorders>
                  <w:tcMar>
                    <w:top w:w="0" w:type="dxa"/>
                    <w:left w:w="28" w:type="dxa"/>
                    <w:bottom w:w="0" w:type="dxa"/>
                    <w:right w:w="28" w:type="dxa"/>
                  </w:tcMar>
                  <w:vAlign w:val="center"/>
                </w:tcPr>
                <w:p w14:paraId="2E4A5D2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选用低噪声设备，设置减震基础，围护结构隔声</w:t>
                  </w:r>
                </w:p>
              </w:tc>
              <w:tc>
                <w:tcPr>
                  <w:tcW w:w="221" w:type="pct"/>
                  <w:tcBorders>
                    <w:tl2br w:val="nil"/>
                    <w:tr2bl w:val="nil"/>
                  </w:tcBorders>
                  <w:tcMar>
                    <w:top w:w="0" w:type="dxa"/>
                    <w:left w:w="28" w:type="dxa"/>
                    <w:bottom w:w="0" w:type="dxa"/>
                    <w:right w:w="28" w:type="dxa"/>
                  </w:tcMar>
                  <w:vAlign w:val="center"/>
                </w:tcPr>
                <w:p w14:paraId="75E3CDB2">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13</w:t>
                  </w:r>
                </w:p>
              </w:tc>
              <w:tc>
                <w:tcPr>
                  <w:tcW w:w="230" w:type="pct"/>
                  <w:tcBorders>
                    <w:tl2br w:val="nil"/>
                    <w:tr2bl w:val="nil"/>
                  </w:tcBorders>
                  <w:tcMar>
                    <w:top w:w="0" w:type="dxa"/>
                    <w:left w:w="28" w:type="dxa"/>
                    <w:bottom w:w="0" w:type="dxa"/>
                    <w:right w:w="28" w:type="dxa"/>
                  </w:tcMar>
                  <w:vAlign w:val="center"/>
                </w:tcPr>
                <w:p w14:paraId="3F57188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118</w:t>
                  </w:r>
                </w:p>
              </w:tc>
              <w:tc>
                <w:tcPr>
                  <w:tcW w:w="221" w:type="pct"/>
                  <w:tcBorders>
                    <w:tl2br w:val="nil"/>
                    <w:tr2bl w:val="nil"/>
                  </w:tcBorders>
                  <w:tcMar>
                    <w:top w:w="0" w:type="dxa"/>
                    <w:left w:w="28" w:type="dxa"/>
                    <w:bottom w:w="0" w:type="dxa"/>
                    <w:right w:w="28" w:type="dxa"/>
                  </w:tcMar>
                  <w:vAlign w:val="center"/>
                </w:tcPr>
                <w:p w14:paraId="0B54DE6B">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51E56D8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7</w:t>
                  </w:r>
                </w:p>
              </w:tc>
              <w:tc>
                <w:tcPr>
                  <w:tcW w:w="434" w:type="pct"/>
                  <w:tcBorders>
                    <w:tl2br w:val="nil"/>
                    <w:tr2bl w:val="nil"/>
                  </w:tcBorders>
                  <w:tcMar>
                    <w:top w:w="0" w:type="dxa"/>
                    <w:left w:w="28" w:type="dxa"/>
                    <w:bottom w:w="0" w:type="dxa"/>
                    <w:right w:w="28" w:type="dxa"/>
                  </w:tcMar>
                  <w:vAlign w:val="center"/>
                </w:tcPr>
                <w:p w14:paraId="69A70EBB">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64</w:t>
                  </w:r>
                </w:p>
              </w:tc>
              <w:tc>
                <w:tcPr>
                  <w:tcW w:w="272" w:type="pct"/>
                  <w:tcBorders>
                    <w:tl2br w:val="nil"/>
                    <w:tr2bl w:val="nil"/>
                  </w:tcBorders>
                  <w:tcMar>
                    <w:top w:w="0" w:type="dxa"/>
                    <w:left w:w="28" w:type="dxa"/>
                    <w:bottom w:w="0" w:type="dxa"/>
                    <w:right w:w="28" w:type="dxa"/>
                  </w:tcMar>
                  <w:vAlign w:val="center"/>
                </w:tcPr>
                <w:p w14:paraId="48ED1B7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4B435D8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7268C25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39.4</w:t>
                  </w:r>
                </w:p>
              </w:tc>
              <w:tc>
                <w:tcPr>
                  <w:tcW w:w="442" w:type="pct"/>
                  <w:tcBorders>
                    <w:tl2br w:val="nil"/>
                    <w:tr2bl w:val="nil"/>
                  </w:tcBorders>
                  <w:tcMar>
                    <w:top w:w="0" w:type="dxa"/>
                    <w:left w:w="28" w:type="dxa"/>
                    <w:bottom w:w="0" w:type="dxa"/>
                    <w:right w:w="28" w:type="dxa"/>
                  </w:tcMar>
                  <w:vAlign w:val="center"/>
                </w:tcPr>
                <w:p w14:paraId="37F44E7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r>
            <w:tr w14:paraId="16187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78BD3B1E">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0E91E02B">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过滤机</w:t>
                  </w:r>
                </w:p>
              </w:tc>
              <w:tc>
                <w:tcPr>
                  <w:tcW w:w="378" w:type="pct"/>
                  <w:tcBorders>
                    <w:tl2br w:val="nil"/>
                    <w:tr2bl w:val="nil"/>
                  </w:tcBorders>
                  <w:tcMar>
                    <w:top w:w="0" w:type="dxa"/>
                    <w:left w:w="28" w:type="dxa"/>
                    <w:bottom w:w="0" w:type="dxa"/>
                    <w:right w:w="28" w:type="dxa"/>
                  </w:tcMar>
                  <w:vAlign w:val="center"/>
                </w:tcPr>
                <w:p w14:paraId="0D51854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70</w:t>
                  </w:r>
                </w:p>
              </w:tc>
              <w:tc>
                <w:tcPr>
                  <w:tcW w:w="357" w:type="pct"/>
                  <w:tcBorders>
                    <w:tl2br w:val="nil"/>
                    <w:tr2bl w:val="nil"/>
                  </w:tcBorders>
                  <w:tcMar>
                    <w:top w:w="0" w:type="dxa"/>
                    <w:left w:w="28" w:type="dxa"/>
                    <w:bottom w:w="0" w:type="dxa"/>
                    <w:right w:w="28" w:type="dxa"/>
                  </w:tcMar>
                  <w:vAlign w:val="center"/>
                </w:tcPr>
                <w:p w14:paraId="0B71A18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214D5649">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2EF3FD7F">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15</w:t>
                  </w:r>
                </w:p>
              </w:tc>
              <w:tc>
                <w:tcPr>
                  <w:tcW w:w="230" w:type="pct"/>
                  <w:tcBorders>
                    <w:tl2br w:val="nil"/>
                    <w:tr2bl w:val="nil"/>
                  </w:tcBorders>
                  <w:tcMar>
                    <w:top w:w="0" w:type="dxa"/>
                    <w:left w:w="28" w:type="dxa"/>
                    <w:bottom w:w="0" w:type="dxa"/>
                    <w:right w:w="28" w:type="dxa"/>
                  </w:tcMar>
                  <w:vAlign w:val="center"/>
                </w:tcPr>
                <w:p w14:paraId="6150B5D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115</w:t>
                  </w:r>
                </w:p>
              </w:tc>
              <w:tc>
                <w:tcPr>
                  <w:tcW w:w="221" w:type="pct"/>
                  <w:tcBorders>
                    <w:tl2br w:val="nil"/>
                    <w:tr2bl w:val="nil"/>
                  </w:tcBorders>
                  <w:tcMar>
                    <w:top w:w="0" w:type="dxa"/>
                    <w:left w:w="28" w:type="dxa"/>
                    <w:bottom w:w="0" w:type="dxa"/>
                    <w:right w:w="28" w:type="dxa"/>
                  </w:tcMar>
                  <w:vAlign w:val="center"/>
                </w:tcPr>
                <w:p w14:paraId="705D0EF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3D13D7FF">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8</w:t>
                  </w:r>
                </w:p>
              </w:tc>
              <w:tc>
                <w:tcPr>
                  <w:tcW w:w="434" w:type="pct"/>
                  <w:tcBorders>
                    <w:tl2br w:val="nil"/>
                    <w:tr2bl w:val="nil"/>
                  </w:tcBorders>
                  <w:tcMar>
                    <w:top w:w="0" w:type="dxa"/>
                    <w:left w:w="28" w:type="dxa"/>
                    <w:bottom w:w="0" w:type="dxa"/>
                    <w:right w:w="28" w:type="dxa"/>
                  </w:tcMar>
                  <w:vAlign w:val="center"/>
                </w:tcPr>
                <w:p w14:paraId="3D52296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54</w:t>
                  </w:r>
                </w:p>
              </w:tc>
              <w:tc>
                <w:tcPr>
                  <w:tcW w:w="272" w:type="pct"/>
                  <w:tcBorders>
                    <w:tl2br w:val="nil"/>
                    <w:tr2bl w:val="nil"/>
                  </w:tcBorders>
                  <w:tcMar>
                    <w:top w:w="0" w:type="dxa"/>
                    <w:left w:w="28" w:type="dxa"/>
                    <w:bottom w:w="0" w:type="dxa"/>
                    <w:right w:w="28" w:type="dxa"/>
                  </w:tcMar>
                  <w:vAlign w:val="center"/>
                </w:tcPr>
                <w:p w14:paraId="140A3C9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67C42CB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6BF49F4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28.9</w:t>
                  </w:r>
                </w:p>
              </w:tc>
              <w:tc>
                <w:tcPr>
                  <w:tcW w:w="442" w:type="pct"/>
                  <w:tcBorders>
                    <w:tl2br w:val="nil"/>
                    <w:tr2bl w:val="nil"/>
                  </w:tcBorders>
                  <w:tcMar>
                    <w:top w:w="0" w:type="dxa"/>
                    <w:left w:w="28" w:type="dxa"/>
                    <w:bottom w:w="0" w:type="dxa"/>
                    <w:right w:w="28" w:type="dxa"/>
                  </w:tcMar>
                  <w:vAlign w:val="center"/>
                </w:tcPr>
                <w:p w14:paraId="229054F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5DF325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444C42B5">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3CA7E475">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真空泵</w:t>
                  </w:r>
                </w:p>
              </w:tc>
              <w:tc>
                <w:tcPr>
                  <w:tcW w:w="378" w:type="pct"/>
                  <w:tcBorders>
                    <w:tl2br w:val="nil"/>
                    <w:tr2bl w:val="nil"/>
                  </w:tcBorders>
                  <w:tcMar>
                    <w:top w:w="0" w:type="dxa"/>
                    <w:left w:w="28" w:type="dxa"/>
                    <w:bottom w:w="0" w:type="dxa"/>
                    <w:right w:w="28" w:type="dxa"/>
                  </w:tcMar>
                  <w:vAlign w:val="center"/>
                </w:tcPr>
                <w:p w14:paraId="0FF43A0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85</w:t>
                  </w:r>
                </w:p>
              </w:tc>
              <w:tc>
                <w:tcPr>
                  <w:tcW w:w="357" w:type="pct"/>
                  <w:tcBorders>
                    <w:tl2br w:val="nil"/>
                    <w:tr2bl w:val="nil"/>
                  </w:tcBorders>
                  <w:tcMar>
                    <w:top w:w="0" w:type="dxa"/>
                    <w:left w:w="28" w:type="dxa"/>
                    <w:bottom w:w="0" w:type="dxa"/>
                    <w:right w:w="28" w:type="dxa"/>
                  </w:tcMar>
                  <w:vAlign w:val="center"/>
                </w:tcPr>
                <w:p w14:paraId="2762794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07D4749D">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7C8A654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18</w:t>
                  </w:r>
                </w:p>
              </w:tc>
              <w:tc>
                <w:tcPr>
                  <w:tcW w:w="230" w:type="pct"/>
                  <w:tcBorders>
                    <w:tl2br w:val="nil"/>
                    <w:tr2bl w:val="nil"/>
                  </w:tcBorders>
                  <w:tcMar>
                    <w:top w:w="0" w:type="dxa"/>
                    <w:left w:w="28" w:type="dxa"/>
                    <w:bottom w:w="0" w:type="dxa"/>
                    <w:right w:w="28" w:type="dxa"/>
                  </w:tcMar>
                  <w:vAlign w:val="center"/>
                </w:tcPr>
                <w:p w14:paraId="645B4D9F">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125</w:t>
                  </w:r>
                </w:p>
              </w:tc>
              <w:tc>
                <w:tcPr>
                  <w:tcW w:w="221" w:type="pct"/>
                  <w:tcBorders>
                    <w:tl2br w:val="nil"/>
                    <w:tr2bl w:val="nil"/>
                  </w:tcBorders>
                  <w:tcMar>
                    <w:top w:w="0" w:type="dxa"/>
                    <w:left w:w="28" w:type="dxa"/>
                    <w:bottom w:w="0" w:type="dxa"/>
                    <w:right w:w="28" w:type="dxa"/>
                  </w:tcMar>
                  <w:vAlign w:val="center"/>
                </w:tcPr>
                <w:p w14:paraId="1DBDB2E4">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11849E6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5</w:t>
                  </w:r>
                </w:p>
              </w:tc>
              <w:tc>
                <w:tcPr>
                  <w:tcW w:w="434" w:type="pct"/>
                  <w:tcBorders>
                    <w:tl2br w:val="nil"/>
                    <w:tr2bl w:val="nil"/>
                  </w:tcBorders>
                  <w:tcMar>
                    <w:top w:w="0" w:type="dxa"/>
                    <w:left w:w="28" w:type="dxa"/>
                    <w:bottom w:w="0" w:type="dxa"/>
                    <w:right w:w="28" w:type="dxa"/>
                  </w:tcMar>
                  <w:vAlign w:val="center"/>
                </w:tcPr>
                <w:p w14:paraId="27BDE3D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69</w:t>
                  </w:r>
                </w:p>
              </w:tc>
              <w:tc>
                <w:tcPr>
                  <w:tcW w:w="272" w:type="pct"/>
                  <w:tcBorders>
                    <w:tl2br w:val="nil"/>
                    <w:tr2bl w:val="nil"/>
                  </w:tcBorders>
                  <w:tcMar>
                    <w:top w:w="0" w:type="dxa"/>
                    <w:left w:w="28" w:type="dxa"/>
                    <w:bottom w:w="0" w:type="dxa"/>
                    <w:right w:w="28" w:type="dxa"/>
                  </w:tcMar>
                  <w:vAlign w:val="center"/>
                </w:tcPr>
                <w:p w14:paraId="3ADB2DD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057B40F2">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6477263B">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45.5</w:t>
                  </w:r>
                </w:p>
              </w:tc>
              <w:tc>
                <w:tcPr>
                  <w:tcW w:w="442" w:type="pct"/>
                  <w:tcBorders>
                    <w:tl2br w:val="nil"/>
                    <w:tr2bl w:val="nil"/>
                  </w:tcBorders>
                  <w:tcMar>
                    <w:top w:w="0" w:type="dxa"/>
                    <w:left w:w="28" w:type="dxa"/>
                    <w:bottom w:w="0" w:type="dxa"/>
                    <w:right w:w="28" w:type="dxa"/>
                  </w:tcMar>
                  <w:vAlign w:val="center"/>
                </w:tcPr>
                <w:p w14:paraId="4A02869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21369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53EFB21E">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2D911BD7">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冷却机</w:t>
                  </w:r>
                </w:p>
              </w:tc>
              <w:tc>
                <w:tcPr>
                  <w:tcW w:w="378" w:type="pct"/>
                  <w:tcBorders>
                    <w:tl2br w:val="nil"/>
                    <w:tr2bl w:val="nil"/>
                  </w:tcBorders>
                  <w:tcMar>
                    <w:top w:w="0" w:type="dxa"/>
                    <w:left w:w="28" w:type="dxa"/>
                    <w:bottom w:w="0" w:type="dxa"/>
                    <w:right w:w="28" w:type="dxa"/>
                  </w:tcMar>
                  <w:vAlign w:val="center"/>
                </w:tcPr>
                <w:p w14:paraId="32E5D302">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80</w:t>
                  </w:r>
                </w:p>
              </w:tc>
              <w:tc>
                <w:tcPr>
                  <w:tcW w:w="357" w:type="pct"/>
                  <w:tcBorders>
                    <w:tl2br w:val="nil"/>
                    <w:tr2bl w:val="nil"/>
                  </w:tcBorders>
                  <w:tcMar>
                    <w:top w:w="0" w:type="dxa"/>
                    <w:left w:w="28" w:type="dxa"/>
                    <w:bottom w:w="0" w:type="dxa"/>
                    <w:right w:w="28" w:type="dxa"/>
                  </w:tcMar>
                  <w:vAlign w:val="center"/>
                </w:tcPr>
                <w:p w14:paraId="35DCCDA4">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72C9E537">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466B6A9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15</w:t>
                  </w:r>
                </w:p>
              </w:tc>
              <w:tc>
                <w:tcPr>
                  <w:tcW w:w="230" w:type="pct"/>
                  <w:tcBorders>
                    <w:tl2br w:val="nil"/>
                    <w:tr2bl w:val="nil"/>
                  </w:tcBorders>
                  <w:tcMar>
                    <w:top w:w="0" w:type="dxa"/>
                    <w:left w:w="28" w:type="dxa"/>
                    <w:bottom w:w="0" w:type="dxa"/>
                    <w:right w:w="28" w:type="dxa"/>
                  </w:tcMar>
                  <w:vAlign w:val="center"/>
                </w:tcPr>
                <w:p w14:paraId="21E5D7C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112</w:t>
                  </w:r>
                </w:p>
              </w:tc>
              <w:tc>
                <w:tcPr>
                  <w:tcW w:w="221" w:type="pct"/>
                  <w:tcBorders>
                    <w:tl2br w:val="nil"/>
                    <w:tr2bl w:val="nil"/>
                  </w:tcBorders>
                  <w:tcMar>
                    <w:top w:w="0" w:type="dxa"/>
                    <w:left w:w="28" w:type="dxa"/>
                    <w:bottom w:w="0" w:type="dxa"/>
                    <w:right w:w="28" w:type="dxa"/>
                  </w:tcMar>
                  <w:vAlign w:val="center"/>
                </w:tcPr>
                <w:p w14:paraId="0994103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103DD6EF">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4</w:t>
                  </w:r>
                </w:p>
              </w:tc>
              <w:tc>
                <w:tcPr>
                  <w:tcW w:w="434" w:type="pct"/>
                  <w:tcBorders>
                    <w:tl2br w:val="nil"/>
                    <w:tr2bl w:val="nil"/>
                  </w:tcBorders>
                  <w:tcMar>
                    <w:top w:w="0" w:type="dxa"/>
                    <w:left w:w="28" w:type="dxa"/>
                    <w:bottom w:w="0" w:type="dxa"/>
                    <w:right w:w="28" w:type="dxa"/>
                  </w:tcMar>
                  <w:vAlign w:val="center"/>
                </w:tcPr>
                <w:p w14:paraId="2F6B4BF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64</w:t>
                  </w:r>
                </w:p>
              </w:tc>
              <w:tc>
                <w:tcPr>
                  <w:tcW w:w="272" w:type="pct"/>
                  <w:tcBorders>
                    <w:tl2br w:val="nil"/>
                    <w:tr2bl w:val="nil"/>
                  </w:tcBorders>
                  <w:tcMar>
                    <w:top w:w="0" w:type="dxa"/>
                    <w:left w:w="28" w:type="dxa"/>
                    <w:bottom w:w="0" w:type="dxa"/>
                    <w:right w:w="28" w:type="dxa"/>
                  </w:tcMar>
                  <w:vAlign w:val="center"/>
                </w:tcPr>
                <w:p w14:paraId="424E24F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4AECD03A">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79FD1942">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41.1</w:t>
                  </w:r>
                </w:p>
              </w:tc>
              <w:tc>
                <w:tcPr>
                  <w:tcW w:w="442" w:type="pct"/>
                  <w:tcBorders>
                    <w:tl2br w:val="nil"/>
                    <w:tr2bl w:val="nil"/>
                  </w:tcBorders>
                  <w:tcMar>
                    <w:top w:w="0" w:type="dxa"/>
                    <w:left w:w="28" w:type="dxa"/>
                    <w:bottom w:w="0" w:type="dxa"/>
                    <w:right w:w="28" w:type="dxa"/>
                  </w:tcMar>
                  <w:vAlign w:val="center"/>
                </w:tcPr>
                <w:p w14:paraId="7DBEF12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608C2C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46A0E5C4">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259B63AD">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干燥机</w:t>
                  </w:r>
                </w:p>
              </w:tc>
              <w:tc>
                <w:tcPr>
                  <w:tcW w:w="378" w:type="pct"/>
                  <w:tcBorders>
                    <w:tl2br w:val="nil"/>
                    <w:tr2bl w:val="nil"/>
                  </w:tcBorders>
                  <w:tcMar>
                    <w:top w:w="0" w:type="dxa"/>
                    <w:left w:w="28" w:type="dxa"/>
                    <w:bottom w:w="0" w:type="dxa"/>
                    <w:right w:w="28" w:type="dxa"/>
                  </w:tcMar>
                  <w:vAlign w:val="center"/>
                </w:tcPr>
                <w:p w14:paraId="554BA4A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85</w:t>
                  </w:r>
                </w:p>
              </w:tc>
              <w:tc>
                <w:tcPr>
                  <w:tcW w:w="357" w:type="pct"/>
                  <w:tcBorders>
                    <w:tl2br w:val="nil"/>
                    <w:tr2bl w:val="nil"/>
                  </w:tcBorders>
                  <w:tcMar>
                    <w:top w:w="0" w:type="dxa"/>
                    <w:left w:w="28" w:type="dxa"/>
                    <w:bottom w:w="0" w:type="dxa"/>
                    <w:right w:w="28" w:type="dxa"/>
                  </w:tcMar>
                  <w:vAlign w:val="center"/>
                </w:tcPr>
                <w:p w14:paraId="51F8C5C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4FC94494">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7758CC5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18</w:t>
                  </w:r>
                </w:p>
              </w:tc>
              <w:tc>
                <w:tcPr>
                  <w:tcW w:w="230" w:type="pct"/>
                  <w:tcBorders>
                    <w:tl2br w:val="nil"/>
                    <w:tr2bl w:val="nil"/>
                  </w:tcBorders>
                  <w:tcMar>
                    <w:top w:w="0" w:type="dxa"/>
                    <w:left w:w="28" w:type="dxa"/>
                    <w:bottom w:w="0" w:type="dxa"/>
                    <w:right w:w="28" w:type="dxa"/>
                  </w:tcMar>
                  <w:vAlign w:val="center"/>
                </w:tcPr>
                <w:p w14:paraId="24A2FE2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120</w:t>
                  </w:r>
                </w:p>
              </w:tc>
              <w:tc>
                <w:tcPr>
                  <w:tcW w:w="221" w:type="pct"/>
                  <w:tcBorders>
                    <w:tl2br w:val="nil"/>
                    <w:tr2bl w:val="nil"/>
                  </w:tcBorders>
                  <w:tcMar>
                    <w:top w:w="0" w:type="dxa"/>
                    <w:left w:w="28" w:type="dxa"/>
                    <w:bottom w:w="0" w:type="dxa"/>
                    <w:right w:w="28" w:type="dxa"/>
                  </w:tcMar>
                  <w:vAlign w:val="center"/>
                </w:tcPr>
                <w:p w14:paraId="1BFC864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41B7BAB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6</w:t>
                  </w:r>
                </w:p>
              </w:tc>
              <w:tc>
                <w:tcPr>
                  <w:tcW w:w="434" w:type="pct"/>
                  <w:tcBorders>
                    <w:tl2br w:val="nil"/>
                    <w:tr2bl w:val="nil"/>
                  </w:tcBorders>
                  <w:tcMar>
                    <w:top w:w="0" w:type="dxa"/>
                    <w:left w:w="28" w:type="dxa"/>
                    <w:bottom w:w="0" w:type="dxa"/>
                    <w:right w:w="28" w:type="dxa"/>
                  </w:tcMar>
                  <w:vAlign w:val="center"/>
                </w:tcPr>
                <w:p w14:paraId="4082DA6B">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69</w:t>
                  </w:r>
                </w:p>
              </w:tc>
              <w:tc>
                <w:tcPr>
                  <w:tcW w:w="272" w:type="pct"/>
                  <w:tcBorders>
                    <w:tl2br w:val="nil"/>
                    <w:tr2bl w:val="nil"/>
                  </w:tcBorders>
                  <w:tcMar>
                    <w:top w:w="0" w:type="dxa"/>
                    <w:left w:w="28" w:type="dxa"/>
                    <w:bottom w:w="0" w:type="dxa"/>
                    <w:right w:w="28" w:type="dxa"/>
                  </w:tcMar>
                  <w:vAlign w:val="center"/>
                </w:tcPr>
                <w:p w14:paraId="77020FD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25268432">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51AA4AF4">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44.9</w:t>
                  </w:r>
                </w:p>
              </w:tc>
              <w:tc>
                <w:tcPr>
                  <w:tcW w:w="442" w:type="pct"/>
                  <w:tcBorders>
                    <w:tl2br w:val="nil"/>
                    <w:tr2bl w:val="nil"/>
                  </w:tcBorders>
                  <w:tcMar>
                    <w:top w:w="0" w:type="dxa"/>
                    <w:left w:w="28" w:type="dxa"/>
                    <w:bottom w:w="0" w:type="dxa"/>
                    <w:right w:w="28" w:type="dxa"/>
                  </w:tcMar>
                  <w:vAlign w:val="center"/>
                </w:tcPr>
                <w:p w14:paraId="0D0A55D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271C6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7C881CC7">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0CC4FB5A">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给料机</w:t>
                  </w:r>
                </w:p>
              </w:tc>
              <w:tc>
                <w:tcPr>
                  <w:tcW w:w="378" w:type="pct"/>
                  <w:tcBorders>
                    <w:tl2br w:val="nil"/>
                    <w:tr2bl w:val="nil"/>
                  </w:tcBorders>
                  <w:tcMar>
                    <w:top w:w="0" w:type="dxa"/>
                    <w:left w:w="28" w:type="dxa"/>
                    <w:bottom w:w="0" w:type="dxa"/>
                    <w:right w:w="28" w:type="dxa"/>
                  </w:tcMar>
                  <w:vAlign w:val="center"/>
                </w:tcPr>
                <w:p w14:paraId="7BEB655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80</w:t>
                  </w:r>
                </w:p>
              </w:tc>
              <w:tc>
                <w:tcPr>
                  <w:tcW w:w="357" w:type="pct"/>
                  <w:tcBorders>
                    <w:tl2br w:val="nil"/>
                    <w:tr2bl w:val="nil"/>
                  </w:tcBorders>
                  <w:tcMar>
                    <w:top w:w="0" w:type="dxa"/>
                    <w:left w:w="28" w:type="dxa"/>
                    <w:bottom w:w="0" w:type="dxa"/>
                    <w:right w:w="28" w:type="dxa"/>
                  </w:tcMar>
                  <w:vAlign w:val="center"/>
                </w:tcPr>
                <w:p w14:paraId="109AA20E">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1747AD75">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33D6281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17</w:t>
                  </w:r>
                </w:p>
              </w:tc>
              <w:tc>
                <w:tcPr>
                  <w:tcW w:w="230" w:type="pct"/>
                  <w:tcBorders>
                    <w:tl2br w:val="nil"/>
                    <w:tr2bl w:val="nil"/>
                  </w:tcBorders>
                  <w:tcMar>
                    <w:top w:w="0" w:type="dxa"/>
                    <w:left w:w="28" w:type="dxa"/>
                    <w:bottom w:w="0" w:type="dxa"/>
                    <w:right w:w="28" w:type="dxa"/>
                  </w:tcMar>
                  <w:vAlign w:val="center"/>
                </w:tcPr>
                <w:p w14:paraId="39CCB1E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124</w:t>
                  </w:r>
                </w:p>
              </w:tc>
              <w:tc>
                <w:tcPr>
                  <w:tcW w:w="221" w:type="pct"/>
                  <w:tcBorders>
                    <w:tl2br w:val="nil"/>
                    <w:tr2bl w:val="nil"/>
                  </w:tcBorders>
                  <w:tcMar>
                    <w:top w:w="0" w:type="dxa"/>
                    <w:left w:w="28" w:type="dxa"/>
                    <w:bottom w:w="0" w:type="dxa"/>
                    <w:right w:w="28" w:type="dxa"/>
                  </w:tcMar>
                  <w:vAlign w:val="center"/>
                </w:tcPr>
                <w:p w14:paraId="7CD0CF1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71A4A03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r>
                    <w:rPr>
                      <w:rFonts w:hint="default" w:ascii="Times New Roman" w:hAnsi="Times New Roman" w:eastAsia="宋体" w:cs="Times New Roman"/>
                      <w:color w:val="auto"/>
                      <w:sz w:val="21"/>
                      <w:highlight w:val="none"/>
                      <w:lang w:val="en-US" w:eastAsia="zh-CN"/>
                    </w:rPr>
                    <w:t>8</w:t>
                  </w:r>
                </w:p>
              </w:tc>
              <w:tc>
                <w:tcPr>
                  <w:tcW w:w="434" w:type="pct"/>
                  <w:tcBorders>
                    <w:tl2br w:val="nil"/>
                    <w:tr2bl w:val="nil"/>
                  </w:tcBorders>
                  <w:tcMar>
                    <w:top w:w="0" w:type="dxa"/>
                    <w:left w:w="28" w:type="dxa"/>
                    <w:bottom w:w="0" w:type="dxa"/>
                    <w:right w:w="28" w:type="dxa"/>
                  </w:tcMar>
                  <w:vAlign w:val="center"/>
                </w:tcPr>
                <w:p w14:paraId="53A2F3C9">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64</w:t>
                  </w:r>
                </w:p>
              </w:tc>
              <w:tc>
                <w:tcPr>
                  <w:tcW w:w="272" w:type="pct"/>
                  <w:tcBorders>
                    <w:tl2br w:val="nil"/>
                    <w:tr2bl w:val="nil"/>
                  </w:tcBorders>
                  <w:tcMar>
                    <w:top w:w="0" w:type="dxa"/>
                    <w:left w:w="28" w:type="dxa"/>
                    <w:bottom w:w="0" w:type="dxa"/>
                    <w:right w:w="28" w:type="dxa"/>
                  </w:tcMar>
                  <w:vAlign w:val="center"/>
                </w:tcPr>
                <w:p w14:paraId="2D6F3A7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1F22B5E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11A9547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38.9</w:t>
                  </w:r>
                </w:p>
              </w:tc>
              <w:tc>
                <w:tcPr>
                  <w:tcW w:w="442" w:type="pct"/>
                  <w:tcBorders>
                    <w:tl2br w:val="nil"/>
                    <w:tr2bl w:val="nil"/>
                  </w:tcBorders>
                  <w:tcMar>
                    <w:top w:w="0" w:type="dxa"/>
                    <w:left w:w="28" w:type="dxa"/>
                    <w:bottom w:w="0" w:type="dxa"/>
                    <w:right w:w="28" w:type="dxa"/>
                  </w:tcMar>
                  <w:vAlign w:val="center"/>
                </w:tcPr>
                <w:p w14:paraId="281ACC4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082E6E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0704D26B">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5F08F99C">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rPr>
                    <w:t>钢渣破碎机</w:t>
                  </w:r>
                </w:p>
              </w:tc>
              <w:tc>
                <w:tcPr>
                  <w:tcW w:w="378" w:type="pct"/>
                  <w:tcBorders>
                    <w:tl2br w:val="nil"/>
                    <w:tr2bl w:val="nil"/>
                  </w:tcBorders>
                  <w:tcMar>
                    <w:top w:w="0" w:type="dxa"/>
                    <w:left w:w="28" w:type="dxa"/>
                    <w:bottom w:w="0" w:type="dxa"/>
                    <w:right w:w="28" w:type="dxa"/>
                  </w:tcMar>
                  <w:vAlign w:val="center"/>
                </w:tcPr>
                <w:p w14:paraId="765CABF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95</w:t>
                  </w:r>
                </w:p>
              </w:tc>
              <w:tc>
                <w:tcPr>
                  <w:tcW w:w="357" w:type="pct"/>
                  <w:tcBorders>
                    <w:tl2br w:val="nil"/>
                    <w:tr2bl w:val="nil"/>
                  </w:tcBorders>
                  <w:tcMar>
                    <w:top w:w="0" w:type="dxa"/>
                    <w:left w:w="28" w:type="dxa"/>
                    <w:bottom w:w="0" w:type="dxa"/>
                    <w:right w:w="28" w:type="dxa"/>
                  </w:tcMar>
                  <w:vAlign w:val="center"/>
                </w:tcPr>
                <w:p w14:paraId="5C3EEC5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74FDA0F1">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4114278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74</w:t>
                  </w:r>
                </w:p>
              </w:tc>
              <w:tc>
                <w:tcPr>
                  <w:tcW w:w="230" w:type="pct"/>
                  <w:tcBorders>
                    <w:tl2br w:val="nil"/>
                    <w:tr2bl w:val="nil"/>
                  </w:tcBorders>
                  <w:tcMar>
                    <w:top w:w="0" w:type="dxa"/>
                    <w:left w:w="28" w:type="dxa"/>
                    <w:bottom w:w="0" w:type="dxa"/>
                    <w:right w:w="28" w:type="dxa"/>
                  </w:tcMar>
                  <w:vAlign w:val="center"/>
                </w:tcPr>
                <w:p w14:paraId="3D3C2D5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115</w:t>
                  </w:r>
                </w:p>
              </w:tc>
              <w:tc>
                <w:tcPr>
                  <w:tcW w:w="221" w:type="pct"/>
                  <w:tcBorders>
                    <w:tl2br w:val="nil"/>
                    <w:tr2bl w:val="nil"/>
                  </w:tcBorders>
                  <w:tcMar>
                    <w:top w:w="0" w:type="dxa"/>
                    <w:left w:w="28" w:type="dxa"/>
                    <w:bottom w:w="0" w:type="dxa"/>
                    <w:right w:w="28" w:type="dxa"/>
                  </w:tcMar>
                  <w:vAlign w:val="center"/>
                </w:tcPr>
                <w:p w14:paraId="48A46CA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66E7FFE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r>
                    <w:rPr>
                      <w:rFonts w:hint="default" w:ascii="Times New Roman" w:hAnsi="Times New Roman" w:eastAsia="宋体" w:cs="Times New Roman"/>
                      <w:color w:val="auto"/>
                      <w:sz w:val="21"/>
                      <w:highlight w:val="none"/>
                      <w:lang w:val="en-US" w:eastAsia="zh-CN"/>
                    </w:rPr>
                    <w:t>0</w:t>
                  </w:r>
                </w:p>
              </w:tc>
              <w:tc>
                <w:tcPr>
                  <w:tcW w:w="434" w:type="pct"/>
                  <w:tcBorders>
                    <w:tl2br w:val="nil"/>
                    <w:tr2bl w:val="nil"/>
                  </w:tcBorders>
                  <w:tcMar>
                    <w:top w:w="0" w:type="dxa"/>
                    <w:left w:w="28" w:type="dxa"/>
                    <w:bottom w:w="0" w:type="dxa"/>
                    <w:right w:w="28" w:type="dxa"/>
                  </w:tcMar>
                  <w:vAlign w:val="center"/>
                </w:tcPr>
                <w:p w14:paraId="6D52241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79</w:t>
                  </w:r>
                </w:p>
              </w:tc>
              <w:tc>
                <w:tcPr>
                  <w:tcW w:w="272" w:type="pct"/>
                  <w:tcBorders>
                    <w:tl2br w:val="nil"/>
                    <w:tr2bl w:val="nil"/>
                  </w:tcBorders>
                  <w:tcMar>
                    <w:top w:w="0" w:type="dxa"/>
                    <w:left w:w="28" w:type="dxa"/>
                    <w:bottom w:w="0" w:type="dxa"/>
                    <w:right w:w="28" w:type="dxa"/>
                  </w:tcMar>
                  <w:vAlign w:val="center"/>
                </w:tcPr>
                <w:p w14:paraId="033EEC3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1FF8781C">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1A248F4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52.9</w:t>
                  </w:r>
                </w:p>
              </w:tc>
              <w:tc>
                <w:tcPr>
                  <w:tcW w:w="442" w:type="pct"/>
                  <w:tcBorders>
                    <w:tl2br w:val="nil"/>
                    <w:tr2bl w:val="nil"/>
                  </w:tcBorders>
                  <w:tcMar>
                    <w:top w:w="0" w:type="dxa"/>
                    <w:left w:w="28" w:type="dxa"/>
                    <w:bottom w:w="0" w:type="dxa"/>
                    <w:right w:w="28" w:type="dxa"/>
                  </w:tcMar>
                  <w:vAlign w:val="center"/>
                </w:tcPr>
                <w:p w14:paraId="0798B397">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4C1EA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0EB6F91D">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3028BF58">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负压吸粉装置</w:t>
                  </w:r>
                </w:p>
              </w:tc>
              <w:tc>
                <w:tcPr>
                  <w:tcW w:w="378" w:type="pct"/>
                  <w:tcBorders>
                    <w:tl2br w:val="nil"/>
                    <w:tr2bl w:val="nil"/>
                  </w:tcBorders>
                  <w:tcMar>
                    <w:top w:w="0" w:type="dxa"/>
                    <w:left w:w="28" w:type="dxa"/>
                    <w:bottom w:w="0" w:type="dxa"/>
                    <w:right w:w="28" w:type="dxa"/>
                  </w:tcMar>
                  <w:vAlign w:val="center"/>
                </w:tcPr>
                <w:p w14:paraId="2E60B93B">
                  <w:pPr>
                    <w:pStyle w:val="47"/>
                    <w:ind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90</w:t>
                  </w:r>
                </w:p>
              </w:tc>
              <w:tc>
                <w:tcPr>
                  <w:tcW w:w="357" w:type="pct"/>
                  <w:tcBorders>
                    <w:tl2br w:val="nil"/>
                    <w:tr2bl w:val="nil"/>
                  </w:tcBorders>
                  <w:shd w:val="clear" w:color="auto" w:fill="auto"/>
                  <w:tcMar>
                    <w:top w:w="0" w:type="dxa"/>
                    <w:left w:w="28" w:type="dxa"/>
                    <w:bottom w:w="0" w:type="dxa"/>
                    <w:right w:w="28" w:type="dxa"/>
                  </w:tcMar>
                  <w:vAlign w:val="center"/>
                </w:tcPr>
                <w:p w14:paraId="2F277C9A">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7307F06E">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7312D6D4">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79</w:t>
                  </w:r>
                </w:p>
              </w:tc>
              <w:tc>
                <w:tcPr>
                  <w:tcW w:w="230" w:type="pct"/>
                  <w:tcBorders>
                    <w:tl2br w:val="nil"/>
                    <w:tr2bl w:val="nil"/>
                  </w:tcBorders>
                  <w:tcMar>
                    <w:top w:w="0" w:type="dxa"/>
                    <w:left w:w="28" w:type="dxa"/>
                    <w:bottom w:w="0" w:type="dxa"/>
                    <w:right w:w="28" w:type="dxa"/>
                  </w:tcMar>
                  <w:vAlign w:val="center"/>
                </w:tcPr>
                <w:p w14:paraId="15BD9BA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108</w:t>
                  </w:r>
                </w:p>
              </w:tc>
              <w:tc>
                <w:tcPr>
                  <w:tcW w:w="221" w:type="pct"/>
                  <w:tcBorders>
                    <w:tl2br w:val="nil"/>
                    <w:tr2bl w:val="nil"/>
                  </w:tcBorders>
                  <w:tcMar>
                    <w:top w:w="0" w:type="dxa"/>
                    <w:left w:w="28" w:type="dxa"/>
                    <w:bottom w:w="0" w:type="dxa"/>
                    <w:right w:w="28" w:type="dxa"/>
                  </w:tcMar>
                  <w:vAlign w:val="center"/>
                </w:tcPr>
                <w:p w14:paraId="6BB63EF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3EB2B13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18</w:t>
                  </w:r>
                </w:p>
              </w:tc>
              <w:tc>
                <w:tcPr>
                  <w:tcW w:w="434" w:type="pct"/>
                  <w:tcBorders>
                    <w:tl2br w:val="nil"/>
                    <w:tr2bl w:val="nil"/>
                  </w:tcBorders>
                  <w:tcMar>
                    <w:top w:w="0" w:type="dxa"/>
                    <w:left w:w="28" w:type="dxa"/>
                    <w:bottom w:w="0" w:type="dxa"/>
                    <w:right w:w="28" w:type="dxa"/>
                  </w:tcMar>
                  <w:vAlign w:val="center"/>
                </w:tcPr>
                <w:p w14:paraId="6162DA93">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74</w:t>
                  </w:r>
                </w:p>
              </w:tc>
              <w:tc>
                <w:tcPr>
                  <w:tcW w:w="272" w:type="pct"/>
                  <w:tcBorders>
                    <w:tl2br w:val="nil"/>
                    <w:tr2bl w:val="nil"/>
                  </w:tcBorders>
                  <w:shd w:val="clear" w:color="auto" w:fill="auto"/>
                  <w:tcMar>
                    <w:top w:w="0" w:type="dxa"/>
                    <w:left w:w="28" w:type="dxa"/>
                    <w:bottom w:w="0" w:type="dxa"/>
                    <w:right w:w="28" w:type="dxa"/>
                  </w:tcMar>
                  <w:vAlign w:val="center"/>
                </w:tcPr>
                <w:p w14:paraId="7D47556E">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487163E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19D3D27A">
                  <w:pPr>
                    <w:pStyle w:val="47"/>
                    <w:ind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48.9</w:t>
                  </w:r>
                </w:p>
              </w:tc>
              <w:tc>
                <w:tcPr>
                  <w:tcW w:w="442" w:type="pct"/>
                  <w:tcBorders>
                    <w:tl2br w:val="nil"/>
                    <w:tr2bl w:val="nil"/>
                  </w:tcBorders>
                  <w:tcMar>
                    <w:top w:w="0" w:type="dxa"/>
                    <w:left w:w="28" w:type="dxa"/>
                    <w:bottom w:w="0" w:type="dxa"/>
                    <w:right w:w="28" w:type="dxa"/>
                  </w:tcMar>
                  <w:vAlign w:val="center"/>
                </w:tcPr>
                <w:p w14:paraId="3BD87000">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0E1D1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 w:type="pct"/>
                  <w:vMerge w:val="continue"/>
                  <w:tcBorders>
                    <w:tl2br w:val="nil"/>
                    <w:tr2bl w:val="nil"/>
                  </w:tcBorders>
                  <w:tcMar>
                    <w:top w:w="0" w:type="dxa"/>
                    <w:left w:w="28" w:type="dxa"/>
                    <w:bottom w:w="0" w:type="dxa"/>
                    <w:right w:w="28" w:type="dxa"/>
                  </w:tcMar>
                  <w:vAlign w:val="center"/>
                </w:tcPr>
                <w:p w14:paraId="535CB904">
                  <w:pPr>
                    <w:pStyle w:val="47"/>
                    <w:ind w:firstLine="0" w:firstLineChars="0"/>
                    <w:rPr>
                      <w:rFonts w:hint="default" w:ascii="Times New Roman" w:hAnsi="Times New Roman" w:eastAsia="宋体" w:cs="Times New Roman"/>
                      <w:color w:val="auto"/>
                      <w:sz w:val="21"/>
                      <w:highlight w:val="none"/>
                      <w:lang w:val="en-US" w:eastAsia="zh-CN"/>
                    </w:rPr>
                  </w:pPr>
                </w:p>
              </w:tc>
              <w:tc>
                <w:tcPr>
                  <w:tcW w:w="739" w:type="pct"/>
                  <w:tcBorders>
                    <w:tl2br w:val="nil"/>
                    <w:tr2bl w:val="nil"/>
                  </w:tcBorders>
                  <w:shd w:val="clear" w:color="auto" w:fill="auto"/>
                  <w:tcMar>
                    <w:top w:w="0" w:type="dxa"/>
                    <w:left w:w="28" w:type="dxa"/>
                    <w:bottom w:w="0" w:type="dxa"/>
                    <w:right w:w="28" w:type="dxa"/>
                  </w:tcMar>
                  <w:vAlign w:val="center"/>
                </w:tcPr>
                <w:p w14:paraId="764AD00D">
                  <w:pPr>
                    <w:pStyle w:val="47"/>
                    <w:ind w:firstLine="0" w:firstLineChars="0"/>
                    <w:jc w:val="center"/>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半自动拆解机</w:t>
                  </w:r>
                </w:p>
              </w:tc>
              <w:tc>
                <w:tcPr>
                  <w:tcW w:w="378" w:type="pct"/>
                  <w:tcBorders>
                    <w:tl2br w:val="nil"/>
                    <w:tr2bl w:val="nil"/>
                  </w:tcBorders>
                  <w:tcMar>
                    <w:top w:w="0" w:type="dxa"/>
                    <w:left w:w="28" w:type="dxa"/>
                    <w:bottom w:w="0" w:type="dxa"/>
                    <w:right w:w="28" w:type="dxa"/>
                  </w:tcMar>
                  <w:vAlign w:val="center"/>
                </w:tcPr>
                <w:p w14:paraId="2A6409E9">
                  <w:pPr>
                    <w:pStyle w:val="47"/>
                    <w:ind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85</w:t>
                  </w:r>
                </w:p>
              </w:tc>
              <w:tc>
                <w:tcPr>
                  <w:tcW w:w="357" w:type="pct"/>
                  <w:tcBorders>
                    <w:tl2br w:val="nil"/>
                    <w:tr2bl w:val="nil"/>
                  </w:tcBorders>
                  <w:shd w:val="clear" w:color="auto" w:fill="auto"/>
                  <w:tcMar>
                    <w:top w:w="0" w:type="dxa"/>
                    <w:left w:w="28" w:type="dxa"/>
                    <w:bottom w:w="0" w:type="dxa"/>
                    <w:right w:w="28" w:type="dxa"/>
                  </w:tcMar>
                  <w:vAlign w:val="center"/>
                </w:tcPr>
                <w:p w14:paraId="1DACD38F">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1</w:t>
                  </w:r>
                </w:p>
              </w:tc>
              <w:tc>
                <w:tcPr>
                  <w:tcW w:w="356" w:type="pct"/>
                  <w:vMerge w:val="continue"/>
                  <w:tcBorders>
                    <w:tl2br w:val="nil"/>
                    <w:tr2bl w:val="nil"/>
                  </w:tcBorders>
                  <w:tcMar>
                    <w:top w:w="0" w:type="dxa"/>
                    <w:left w:w="28" w:type="dxa"/>
                    <w:bottom w:w="0" w:type="dxa"/>
                    <w:right w:w="28" w:type="dxa"/>
                  </w:tcMar>
                  <w:vAlign w:val="center"/>
                </w:tcPr>
                <w:p w14:paraId="75D536F0">
                  <w:pPr>
                    <w:pStyle w:val="47"/>
                    <w:ind w:firstLine="0" w:firstLineChars="0"/>
                    <w:rPr>
                      <w:rFonts w:hint="default" w:ascii="Times New Roman" w:hAnsi="Times New Roman" w:eastAsia="宋体" w:cs="Times New Roman"/>
                      <w:color w:val="auto"/>
                      <w:sz w:val="21"/>
                      <w:highlight w:val="none"/>
                      <w:lang w:val="en-US" w:eastAsia="zh-CN"/>
                    </w:rPr>
                  </w:pPr>
                </w:p>
              </w:tc>
              <w:tc>
                <w:tcPr>
                  <w:tcW w:w="221" w:type="pct"/>
                  <w:tcBorders>
                    <w:tl2br w:val="nil"/>
                    <w:tr2bl w:val="nil"/>
                  </w:tcBorders>
                  <w:tcMar>
                    <w:top w:w="0" w:type="dxa"/>
                    <w:left w:w="28" w:type="dxa"/>
                    <w:bottom w:w="0" w:type="dxa"/>
                    <w:right w:w="28" w:type="dxa"/>
                  </w:tcMar>
                  <w:vAlign w:val="center"/>
                </w:tcPr>
                <w:p w14:paraId="2D7D3FB1">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82</w:t>
                  </w:r>
                </w:p>
              </w:tc>
              <w:tc>
                <w:tcPr>
                  <w:tcW w:w="230" w:type="pct"/>
                  <w:tcBorders>
                    <w:tl2br w:val="nil"/>
                    <w:tr2bl w:val="nil"/>
                  </w:tcBorders>
                  <w:tcMar>
                    <w:top w:w="0" w:type="dxa"/>
                    <w:left w:w="28" w:type="dxa"/>
                    <w:bottom w:w="0" w:type="dxa"/>
                    <w:right w:w="28" w:type="dxa"/>
                  </w:tcMar>
                  <w:vAlign w:val="center"/>
                </w:tcPr>
                <w:p w14:paraId="651EC688">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103</w:t>
                  </w:r>
                </w:p>
              </w:tc>
              <w:tc>
                <w:tcPr>
                  <w:tcW w:w="221" w:type="pct"/>
                  <w:tcBorders>
                    <w:tl2br w:val="nil"/>
                    <w:tr2bl w:val="nil"/>
                  </w:tcBorders>
                  <w:tcMar>
                    <w:top w:w="0" w:type="dxa"/>
                    <w:left w:w="28" w:type="dxa"/>
                    <w:bottom w:w="0" w:type="dxa"/>
                    <w:right w:w="28" w:type="dxa"/>
                  </w:tcMar>
                  <w:vAlign w:val="center"/>
                </w:tcPr>
                <w:p w14:paraId="6E695424">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w:t>
                  </w:r>
                </w:p>
              </w:tc>
              <w:tc>
                <w:tcPr>
                  <w:tcW w:w="310" w:type="pct"/>
                  <w:tcBorders>
                    <w:tl2br w:val="nil"/>
                    <w:tr2bl w:val="nil"/>
                  </w:tcBorders>
                  <w:tcMar>
                    <w:top w:w="0" w:type="dxa"/>
                    <w:left w:w="28" w:type="dxa"/>
                    <w:bottom w:w="0" w:type="dxa"/>
                    <w:right w:w="28" w:type="dxa"/>
                  </w:tcMar>
                  <w:vAlign w:val="center"/>
                </w:tcPr>
                <w:p w14:paraId="72EF0065">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16</w:t>
                  </w:r>
                </w:p>
              </w:tc>
              <w:tc>
                <w:tcPr>
                  <w:tcW w:w="434" w:type="pct"/>
                  <w:tcBorders>
                    <w:tl2br w:val="nil"/>
                    <w:tr2bl w:val="nil"/>
                  </w:tcBorders>
                  <w:tcMar>
                    <w:top w:w="0" w:type="dxa"/>
                    <w:left w:w="28" w:type="dxa"/>
                    <w:bottom w:w="0" w:type="dxa"/>
                    <w:right w:w="28" w:type="dxa"/>
                  </w:tcMar>
                  <w:vAlign w:val="center"/>
                </w:tcPr>
                <w:p w14:paraId="4E07641D">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69</w:t>
                  </w:r>
                </w:p>
              </w:tc>
              <w:tc>
                <w:tcPr>
                  <w:tcW w:w="272" w:type="pct"/>
                  <w:tcBorders>
                    <w:tl2br w:val="nil"/>
                    <w:tr2bl w:val="nil"/>
                  </w:tcBorders>
                  <w:shd w:val="clear" w:color="auto" w:fill="auto"/>
                  <w:tcMar>
                    <w:top w:w="0" w:type="dxa"/>
                    <w:left w:w="28" w:type="dxa"/>
                    <w:bottom w:w="0" w:type="dxa"/>
                    <w:right w:w="28" w:type="dxa"/>
                  </w:tcMar>
                  <w:vAlign w:val="center"/>
                </w:tcPr>
                <w:p w14:paraId="4A5D751A">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highlight w:val="none"/>
                      <w:lang w:val="en-US" w:eastAsia="zh-CN"/>
                    </w:rPr>
                    <w:t>昼</w:t>
                  </w:r>
                </w:p>
              </w:tc>
              <w:tc>
                <w:tcPr>
                  <w:tcW w:w="382" w:type="pct"/>
                  <w:tcBorders>
                    <w:tl2br w:val="nil"/>
                    <w:tr2bl w:val="nil"/>
                  </w:tcBorders>
                  <w:tcMar>
                    <w:top w:w="0" w:type="dxa"/>
                    <w:left w:w="28" w:type="dxa"/>
                    <w:bottom w:w="0" w:type="dxa"/>
                    <w:right w:w="28" w:type="dxa"/>
                  </w:tcMar>
                  <w:vAlign w:val="center"/>
                </w:tcPr>
                <w:p w14:paraId="33F530DB">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16</w:t>
                  </w:r>
                </w:p>
              </w:tc>
              <w:tc>
                <w:tcPr>
                  <w:tcW w:w="423" w:type="pct"/>
                  <w:tcBorders>
                    <w:tl2br w:val="nil"/>
                    <w:tr2bl w:val="nil"/>
                  </w:tcBorders>
                  <w:tcMar>
                    <w:top w:w="0" w:type="dxa"/>
                    <w:left w:w="28" w:type="dxa"/>
                    <w:bottom w:w="0" w:type="dxa"/>
                    <w:right w:w="28" w:type="dxa"/>
                  </w:tcMar>
                  <w:vAlign w:val="center"/>
                </w:tcPr>
                <w:p w14:paraId="547323E3">
                  <w:pPr>
                    <w:pStyle w:val="47"/>
                    <w:ind w:firstLine="0" w:firstLineChars="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44.9</w:t>
                  </w:r>
                </w:p>
              </w:tc>
              <w:tc>
                <w:tcPr>
                  <w:tcW w:w="442" w:type="pct"/>
                  <w:tcBorders>
                    <w:tl2br w:val="nil"/>
                    <w:tr2bl w:val="nil"/>
                  </w:tcBorders>
                  <w:tcMar>
                    <w:top w:w="0" w:type="dxa"/>
                    <w:left w:w="28" w:type="dxa"/>
                    <w:bottom w:w="0" w:type="dxa"/>
                    <w:right w:w="28" w:type="dxa"/>
                  </w:tcMar>
                  <w:vAlign w:val="center"/>
                </w:tcPr>
                <w:p w14:paraId="13F25816">
                  <w:pPr>
                    <w:pStyle w:val="47"/>
                    <w:ind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1</w:t>
                  </w:r>
                </w:p>
              </w:tc>
            </w:tr>
            <w:tr w14:paraId="678E6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tcBorders>
                    <w:tl2br w:val="nil"/>
                    <w:tr2bl w:val="nil"/>
                  </w:tcBorders>
                  <w:tcMar>
                    <w:top w:w="0" w:type="dxa"/>
                    <w:left w:w="28" w:type="dxa"/>
                    <w:bottom w:w="0" w:type="dxa"/>
                    <w:right w:w="28" w:type="dxa"/>
                  </w:tcMar>
                  <w:vAlign w:val="center"/>
                </w:tcPr>
                <w:p w14:paraId="5D718880">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cs="Times New Roman"/>
                      <w:kern w:val="0"/>
                      <w:sz w:val="18"/>
                      <w:szCs w:val="18"/>
                      <w:highlight w:val="none"/>
                      <w:lang w:bidi="ar"/>
                    </w:rPr>
                    <w:t>注：原点坐标：东经85°</w:t>
                  </w:r>
                  <w:r>
                    <w:rPr>
                      <w:rFonts w:hint="default" w:ascii="Times New Roman" w:hAnsi="Times New Roman" w:cs="Times New Roman"/>
                      <w:kern w:val="0"/>
                      <w:sz w:val="18"/>
                      <w:szCs w:val="18"/>
                      <w:highlight w:val="none"/>
                      <w:lang w:val="en-US" w:eastAsia="zh-CN" w:bidi="ar"/>
                    </w:rPr>
                    <w:t>54</w:t>
                  </w:r>
                  <w:r>
                    <w:rPr>
                      <w:rFonts w:hint="default" w:ascii="Times New Roman" w:hAnsi="Times New Roman" w:cs="Times New Roman"/>
                      <w:kern w:val="0"/>
                      <w:sz w:val="18"/>
                      <w:szCs w:val="18"/>
                      <w:highlight w:val="none"/>
                      <w:lang w:bidi="ar"/>
                    </w:rPr>
                    <w:t>′</w:t>
                  </w:r>
                  <w:r>
                    <w:rPr>
                      <w:rFonts w:hint="default" w:ascii="Times New Roman" w:hAnsi="Times New Roman" w:cs="Times New Roman"/>
                      <w:kern w:val="0"/>
                      <w:sz w:val="18"/>
                      <w:szCs w:val="18"/>
                      <w:highlight w:val="none"/>
                      <w:lang w:val="en-US" w:eastAsia="zh-CN" w:bidi="ar"/>
                    </w:rPr>
                    <w:t>55.028</w:t>
                  </w:r>
                  <w:r>
                    <w:rPr>
                      <w:rFonts w:hint="default" w:ascii="Times New Roman" w:hAnsi="Times New Roman" w:cs="Times New Roman"/>
                      <w:kern w:val="0"/>
                      <w:sz w:val="18"/>
                      <w:szCs w:val="18"/>
                      <w:highlight w:val="none"/>
                      <w:lang w:bidi="ar"/>
                    </w:rPr>
                    <w:t>″、北纬：41°</w:t>
                  </w:r>
                  <w:r>
                    <w:rPr>
                      <w:rFonts w:hint="default" w:ascii="Times New Roman" w:hAnsi="Times New Roman" w:cs="Times New Roman"/>
                      <w:kern w:val="0"/>
                      <w:sz w:val="18"/>
                      <w:szCs w:val="18"/>
                      <w:highlight w:val="none"/>
                      <w:lang w:val="en-US" w:eastAsia="zh-CN" w:bidi="ar"/>
                    </w:rPr>
                    <w:t>51</w:t>
                  </w:r>
                  <w:r>
                    <w:rPr>
                      <w:rFonts w:hint="default" w:ascii="Times New Roman" w:hAnsi="Times New Roman" w:cs="Times New Roman"/>
                      <w:kern w:val="0"/>
                      <w:sz w:val="18"/>
                      <w:szCs w:val="18"/>
                      <w:highlight w:val="none"/>
                      <w:lang w:bidi="ar"/>
                    </w:rPr>
                    <w:t>′</w:t>
                  </w:r>
                  <w:r>
                    <w:rPr>
                      <w:rFonts w:hint="default" w:ascii="Times New Roman" w:hAnsi="Times New Roman" w:cs="Times New Roman"/>
                      <w:kern w:val="0"/>
                      <w:sz w:val="18"/>
                      <w:szCs w:val="18"/>
                      <w:highlight w:val="none"/>
                      <w:lang w:val="en-US" w:eastAsia="zh-CN" w:bidi="ar"/>
                    </w:rPr>
                    <w:t>19.239</w:t>
                  </w:r>
                  <w:r>
                    <w:rPr>
                      <w:rFonts w:hint="default" w:ascii="Times New Roman" w:hAnsi="Times New Roman" w:cs="Times New Roman"/>
                      <w:kern w:val="0"/>
                      <w:sz w:val="18"/>
                      <w:szCs w:val="18"/>
                      <w:highlight w:val="none"/>
                      <w:lang w:bidi="ar"/>
                    </w:rPr>
                    <w:t>″。正东向为X轴正方向，正北向为Y轴正方向，垂直地面为z轴，建立坐标系。</w:t>
                  </w:r>
                </w:p>
              </w:tc>
            </w:tr>
            <w:bookmarkEnd w:id="14"/>
          </w:tbl>
          <w:p w14:paraId="20AFD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根据《环境影响评价技术导则—声环境》</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HJ2.4-2021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选取预测模式，预测计算中主要考虑建筑物的隔声、距离衰减及设置减振垫等因素，计算公式</w:t>
            </w:r>
            <w:r>
              <w:rPr>
                <w:rFonts w:hint="default" w:ascii="Times New Roman" w:hAnsi="Times New Roman" w:cs="Times New Roman"/>
                <w:color w:val="auto"/>
                <w:sz w:val="24"/>
                <w:szCs w:val="24"/>
                <w:lang w:val="en-US" w:eastAsia="zh-CN"/>
              </w:rPr>
              <w:t>如下</w:t>
            </w:r>
          </w:p>
          <w:p w14:paraId="46EE3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①室外声源</w:t>
            </w:r>
          </w:p>
          <w:p w14:paraId="761E0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设室外声源为I个</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预测点为j个</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采用倍频带声压级法：</w:t>
            </w:r>
          </w:p>
          <w:p w14:paraId="26E43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1）计算第I个噪声源在第j个预测点的倍频带声压级L</w:t>
            </w:r>
            <w:r>
              <w:rPr>
                <w:rFonts w:hint="default" w:ascii="Times New Roman" w:hAnsi="Times New Roman" w:eastAsia="宋体" w:cs="Times New Roman"/>
                <w:snapToGrid/>
                <w:color w:val="auto"/>
                <w:spacing w:val="0"/>
                <w:kern w:val="0"/>
                <w:sz w:val="24"/>
                <w:szCs w:val="24"/>
                <w:vertAlign w:val="subscript"/>
                <w:lang w:val="en-US" w:eastAsia="zh-CN" w:bidi="ar"/>
              </w:rPr>
              <w:t>octij</w:t>
            </w:r>
            <w:r>
              <w:rPr>
                <w:rFonts w:hint="default" w:ascii="Times New Roman" w:hAnsi="Times New Roman" w:cs="Times New Roman"/>
                <w:snapToGrid/>
                <w:color w:val="auto"/>
                <w:spacing w:val="0"/>
                <w:kern w:val="0"/>
                <w:sz w:val="24"/>
                <w:szCs w:val="24"/>
                <w:lang w:val="en-US" w:eastAsia="zh-CN" w:bidi="ar"/>
              </w:rPr>
              <w:t>（r</w:t>
            </w:r>
            <w:r>
              <w:rPr>
                <w:rFonts w:hint="default" w:ascii="Times New Roman" w:hAnsi="Times New Roman" w:cs="Times New Roman"/>
                <w:snapToGrid/>
                <w:color w:val="auto"/>
                <w:spacing w:val="0"/>
                <w:kern w:val="0"/>
                <w:sz w:val="24"/>
                <w:szCs w:val="24"/>
                <w:vertAlign w:val="subscript"/>
                <w:lang w:val="en-US" w:eastAsia="zh-CN" w:bidi="ar"/>
              </w:rPr>
              <w:t>0</w:t>
            </w:r>
            <w:r>
              <w:rPr>
                <w:rFonts w:hint="default" w:ascii="Times New Roman" w:hAnsi="Times New Roman" w:cs="Times New Roman"/>
                <w:snapToGrid/>
                <w:color w:val="auto"/>
                <w:spacing w:val="0"/>
                <w:kern w:val="0"/>
                <w:sz w:val="24"/>
                <w:szCs w:val="24"/>
                <w:lang w:val="en-US" w:eastAsia="zh-CN" w:bidi="ar"/>
              </w:rPr>
              <w:t>）</w:t>
            </w:r>
          </w:p>
          <w:p w14:paraId="26487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octij</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octi</w:t>
            </w:r>
            <w:r>
              <w:rPr>
                <w:rFonts w:hint="default" w:ascii="Times New Roman" w:hAnsi="Times New Roman" w:cs="Times New Roman"/>
                <w:snapToGrid/>
                <w:color w:val="auto"/>
                <w:spacing w:val="0"/>
                <w:kern w:val="0"/>
                <w:sz w:val="24"/>
                <w:szCs w:val="24"/>
                <w:vertAlign w:val="subscript"/>
                <w:lang w:val="en-US" w:eastAsia="zh-CN" w:bidi="ar"/>
              </w:rPr>
              <w:t>(</w:t>
            </w:r>
            <w:r>
              <w:rPr>
                <w:rFonts w:hint="default" w:ascii="Times New Roman" w:hAnsi="Times New Roman" w:cs="Times New Roman"/>
                <w:snapToGrid/>
                <w:color w:val="auto"/>
                <w:spacing w:val="0"/>
                <w:kern w:val="0"/>
                <w:sz w:val="24"/>
                <w:szCs w:val="24"/>
                <w:lang w:val="en-US" w:eastAsia="zh-CN" w:bidi="ar"/>
              </w:rPr>
              <w:t>r</w:t>
            </w:r>
            <w:r>
              <w:rPr>
                <w:rFonts w:hint="default" w:ascii="Times New Roman" w:hAnsi="Times New Roman" w:cs="Times New Roman"/>
                <w:snapToGrid/>
                <w:color w:val="auto"/>
                <w:spacing w:val="0"/>
                <w:kern w:val="0"/>
                <w:sz w:val="24"/>
                <w:szCs w:val="24"/>
                <w:vertAlign w:val="subscript"/>
                <w:lang w:val="en-US" w:eastAsia="zh-CN" w:bidi="ar"/>
              </w:rPr>
              <w:t>0)</w:t>
            </w:r>
            <w:r>
              <w:rPr>
                <w:rFonts w:hint="default" w:ascii="Times New Roman" w:hAnsi="Times New Roman" w:eastAsia="宋体" w:cs="Times New Roman"/>
                <w:snapToGrid/>
                <w:color w:val="auto"/>
                <w:spacing w:val="0"/>
                <w:kern w:val="0"/>
                <w:sz w:val="24"/>
                <w:szCs w:val="24"/>
                <w:lang w:val="en-US" w:eastAsia="zh-CN" w:bidi="ar"/>
              </w:rPr>
              <w:t>-</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octdir</w:t>
            </w: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octbar</w:t>
            </w: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octatm</w:t>
            </w: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octexc</w:t>
            </w:r>
            <w:r>
              <w:rPr>
                <w:rFonts w:hint="default" w:ascii="Times New Roman" w:hAnsi="Times New Roman" w:cs="Times New Roman"/>
                <w:snapToGrid/>
                <w:color w:val="auto"/>
                <w:spacing w:val="0"/>
                <w:kern w:val="0"/>
                <w:sz w:val="24"/>
                <w:szCs w:val="24"/>
                <w:vertAlign w:val="subscript"/>
                <w:lang w:val="en-US" w:eastAsia="zh-CN" w:bidi="ar"/>
              </w:rPr>
              <w:t>)</w:t>
            </w:r>
          </w:p>
          <w:p w14:paraId="2F692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式中：</w:t>
            </w:r>
          </w:p>
          <w:p w14:paraId="0089A7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octij</w:t>
            </w:r>
            <w:r>
              <w:rPr>
                <w:rFonts w:hint="default" w:ascii="Times New Roman" w:hAnsi="Times New Roman" w:cs="Times New Roman"/>
                <w:snapToGrid/>
                <w:color w:val="auto"/>
                <w:spacing w:val="0"/>
                <w:kern w:val="0"/>
                <w:sz w:val="24"/>
                <w:szCs w:val="24"/>
                <w:lang w:val="en-US" w:eastAsia="zh-CN" w:bidi="ar"/>
              </w:rPr>
              <w:t>（r</w:t>
            </w:r>
            <w:r>
              <w:rPr>
                <w:rFonts w:hint="default" w:ascii="Times New Roman" w:hAnsi="Times New Roman" w:cs="Times New Roman"/>
                <w:snapToGrid/>
                <w:color w:val="auto"/>
                <w:spacing w:val="0"/>
                <w:kern w:val="0"/>
                <w:sz w:val="24"/>
                <w:szCs w:val="24"/>
                <w:vertAlign w:val="subscript"/>
                <w:lang w:val="en-US" w:eastAsia="zh-CN" w:bidi="ar"/>
              </w:rPr>
              <w:t>0</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—第I个噪声源在参考位置r</w:t>
            </w:r>
            <w:r>
              <w:rPr>
                <w:rFonts w:hint="default" w:ascii="Times New Roman" w:hAnsi="Times New Roman" w:eastAsia="宋体" w:cs="Times New Roman"/>
                <w:snapToGrid/>
                <w:color w:val="auto"/>
                <w:spacing w:val="0"/>
                <w:kern w:val="0"/>
                <w:sz w:val="24"/>
                <w:szCs w:val="24"/>
                <w:vertAlign w:val="subscript"/>
                <w:lang w:val="en-US" w:eastAsia="zh-CN" w:bidi="ar"/>
              </w:rPr>
              <w:t>0</w:t>
            </w:r>
            <w:r>
              <w:rPr>
                <w:rFonts w:hint="default" w:ascii="Times New Roman" w:hAnsi="Times New Roman" w:eastAsia="宋体" w:cs="Times New Roman"/>
                <w:snapToGrid/>
                <w:color w:val="auto"/>
                <w:spacing w:val="0"/>
                <w:kern w:val="0"/>
                <w:sz w:val="24"/>
                <w:szCs w:val="24"/>
                <w:lang w:val="en-US" w:eastAsia="zh-CN" w:bidi="ar"/>
              </w:rPr>
              <w:t>处的倍频带声压级</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dB；</w:t>
            </w:r>
          </w:p>
          <w:p w14:paraId="6F4989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octdir</w:t>
            </w:r>
            <w:r>
              <w:rPr>
                <w:rFonts w:hint="default" w:ascii="Times New Roman" w:hAnsi="Times New Roman" w:eastAsia="宋体" w:cs="Times New Roman"/>
                <w:snapToGrid/>
                <w:color w:val="auto"/>
                <w:spacing w:val="0"/>
                <w:kern w:val="0"/>
                <w:sz w:val="24"/>
                <w:szCs w:val="24"/>
                <w:lang w:val="en-US" w:eastAsia="zh-CN" w:bidi="ar"/>
              </w:rPr>
              <w:t>—发散衰减量</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dB；</w:t>
            </w:r>
          </w:p>
          <w:p w14:paraId="1A4C5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octbar</w:t>
            </w:r>
            <w:r>
              <w:rPr>
                <w:rFonts w:hint="default" w:ascii="Times New Roman" w:hAnsi="Times New Roman" w:eastAsia="宋体" w:cs="Times New Roman"/>
                <w:snapToGrid/>
                <w:color w:val="auto"/>
                <w:spacing w:val="0"/>
                <w:kern w:val="0"/>
                <w:sz w:val="24"/>
                <w:szCs w:val="24"/>
                <w:lang w:val="en-US" w:eastAsia="zh-CN" w:bidi="ar"/>
              </w:rPr>
              <w:t>—屏障衰减量</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dB；</w:t>
            </w:r>
          </w:p>
          <w:p w14:paraId="6A80D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octatm</w:t>
            </w:r>
            <w:r>
              <w:rPr>
                <w:rFonts w:hint="default" w:ascii="Times New Roman" w:hAnsi="Times New Roman" w:eastAsia="宋体" w:cs="Times New Roman"/>
                <w:snapToGrid/>
                <w:color w:val="auto"/>
                <w:spacing w:val="0"/>
                <w:kern w:val="0"/>
                <w:sz w:val="24"/>
                <w:szCs w:val="24"/>
                <w:lang w:val="en-US" w:eastAsia="zh-CN" w:bidi="ar"/>
              </w:rPr>
              <w:t>—空气吸收衰减量</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dB；</w:t>
            </w:r>
          </w:p>
          <w:p w14:paraId="301EE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A</w:t>
            </w:r>
            <w:r>
              <w:rPr>
                <w:rFonts w:hint="default" w:ascii="Times New Roman" w:hAnsi="Times New Roman" w:eastAsia="宋体" w:cs="Times New Roman"/>
                <w:snapToGrid/>
                <w:color w:val="auto"/>
                <w:spacing w:val="0"/>
                <w:kern w:val="0"/>
                <w:sz w:val="24"/>
                <w:szCs w:val="24"/>
                <w:vertAlign w:val="subscript"/>
                <w:lang w:val="en-US" w:eastAsia="zh-CN" w:bidi="ar"/>
              </w:rPr>
              <w:t>octexc</w:t>
            </w:r>
            <w:r>
              <w:rPr>
                <w:rFonts w:hint="default" w:ascii="Times New Roman" w:hAnsi="Times New Roman" w:eastAsia="宋体" w:cs="Times New Roman"/>
                <w:snapToGrid/>
                <w:color w:val="auto"/>
                <w:spacing w:val="0"/>
                <w:kern w:val="0"/>
                <w:sz w:val="24"/>
                <w:szCs w:val="24"/>
                <w:lang w:val="en-US" w:eastAsia="zh-CN" w:bidi="ar"/>
              </w:rPr>
              <w:t>—附加衰减量</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dB；</w:t>
            </w:r>
          </w:p>
          <w:p w14:paraId="76FCE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假设已知噪声源的倍频带声功率级为L</w:t>
            </w:r>
            <w:r>
              <w:rPr>
                <w:rFonts w:hint="default" w:ascii="Times New Roman" w:hAnsi="Times New Roman" w:eastAsia="宋体" w:cs="Times New Roman"/>
                <w:snapToGrid/>
                <w:color w:val="auto"/>
                <w:spacing w:val="0"/>
                <w:kern w:val="0"/>
                <w:sz w:val="24"/>
                <w:szCs w:val="24"/>
                <w:vertAlign w:val="subscript"/>
                <w:lang w:val="en-US" w:eastAsia="zh-CN" w:bidi="ar"/>
              </w:rPr>
              <w:t>wiact</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并假设声源位于地面上（半自由场）</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则：</w:t>
            </w:r>
          </w:p>
          <w:p w14:paraId="33661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octi</w:t>
            </w:r>
            <w:r>
              <w:rPr>
                <w:rFonts w:hint="default" w:ascii="Times New Roman" w:hAnsi="Times New Roman" w:cs="Times New Roman"/>
                <w:snapToGrid/>
                <w:color w:val="auto"/>
                <w:spacing w:val="0"/>
                <w:kern w:val="0"/>
                <w:sz w:val="24"/>
                <w:szCs w:val="24"/>
                <w:vertAlign w:val="subscript"/>
                <w:lang w:val="en-US" w:eastAsia="zh-CN" w:bidi="ar"/>
              </w:rPr>
              <w:t>(</w:t>
            </w:r>
            <w:r>
              <w:rPr>
                <w:rFonts w:hint="default" w:ascii="Times New Roman" w:hAnsi="Times New Roman" w:cs="Times New Roman"/>
                <w:snapToGrid/>
                <w:color w:val="auto"/>
                <w:spacing w:val="0"/>
                <w:kern w:val="0"/>
                <w:sz w:val="24"/>
                <w:szCs w:val="24"/>
                <w:lang w:val="en-US" w:eastAsia="zh-CN" w:bidi="ar"/>
              </w:rPr>
              <w:t>r</w:t>
            </w:r>
            <w:r>
              <w:rPr>
                <w:rFonts w:hint="default" w:ascii="Times New Roman" w:hAnsi="Times New Roman" w:cs="Times New Roman"/>
                <w:snapToGrid/>
                <w:color w:val="auto"/>
                <w:spacing w:val="0"/>
                <w:kern w:val="0"/>
                <w:sz w:val="24"/>
                <w:szCs w:val="24"/>
                <w:vertAlign w:val="subscript"/>
                <w:lang w:val="en-US" w:eastAsia="zh-CN" w:bidi="ar"/>
              </w:rPr>
              <w:t>0)</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wiact</w:t>
            </w:r>
            <w:r>
              <w:rPr>
                <w:rFonts w:hint="default" w:ascii="Times New Roman" w:hAnsi="Times New Roman" w:eastAsia="宋体" w:cs="Times New Roman"/>
                <w:snapToGrid/>
                <w:color w:val="auto"/>
                <w:spacing w:val="0"/>
                <w:kern w:val="0"/>
                <w:sz w:val="24"/>
                <w:szCs w:val="24"/>
                <w:lang w:val="en-US" w:eastAsia="zh-CN" w:bidi="ar"/>
              </w:rPr>
              <w:t>-20lgr</w:t>
            </w:r>
            <w:r>
              <w:rPr>
                <w:rFonts w:hint="default" w:ascii="Times New Roman" w:hAnsi="Times New Roman" w:eastAsia="宋体" w:cs="Times New Roman"/>
                <w:snapToGrid/>
                <w:color w:val="auto"/>
                <w:spacing w:val="0"/>
                <w:kern w:val="0"/>
                <w:sz w:val="24"/>
                <w:szCs w:val="24"/>
                <w:vertAlign w:val="subscript"/>
                <w:lang w:val="en-US" w:eastAsia="zh-CN" w:bidi="ar"/>
              </w:rPr>
              <w:t>0</w:t>
            </w:r>
            <w:r>
              <w:rPr>
                <w:rFonts w:hint="default" w:ascii="Times New Roman" w:hAnsi="Times New Roman" w:eastAsia="宋体" w:cs="Times New Roman"/>
                <w:snapToGrid/>
                <w:color w:val="auto"/>
                <w:spacing w:val="0"/>
                <w:kern w:val="0"/>
                <w:sz w:val="24"/>
                <w:szCs w:val="24"/>
                <w:lang w:val="en-US" w:eastAsia="zh-CN" w:bidi="ar"/>
              </w:rPr>
              <w:t>-8</w:t>
            </w:r>
          </w:p>
          <w:p w14:paraId="3CC5F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2）由上式计算的倍频带声压级合成为A声级</w:t>
            </w:r>
          </w:p>
          <w:p w14:paraId="2B050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aij</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wai</w:t>
            </w:r>
            <w:r>
              <w:rPr>
                <w:rFonts w:hint="default" w:ascii="Times New Roman" w:hAnsi="Times New Roman" w:eastAsia="宋体" w:cs="Times New Roman"/>
                <w:snapToGrid/>
                <w:color w:val="auto"/>
                <w:spacing w:val="0"/>
                <w:kern w:val="0"/>
                <w:sz w:val="24"/>
                <w:szCs w:val="24"/>
                <w:lang w:val="en-US" w:eastAsia="zh-CN" w:bidi="ar"/>
              </w:rPr>
              <w:t>-20lgr</w:t>
            </w:r>
            <w:r>
              <w:rPr>
                <w:rFonts w:hint="default" w:ascii="Times New Roman" w:hAnsi="Times New Roman" w:eastAsia="宋体" w:cs="Times New Roman"/>
                <w:snapToGrid/>
                <w:color w:val="auto"/>
                <w:spacing w:val="0"/>
                <w:kern w:val="0"/>
                <w:sz w:val="24"/>
                <w:szCs w:val="24"/>
                <w:vertAlign w:val="subscript"/>
                <w:lang w:val="en-US" w:eastAsia="zh-CN" w:bidi="ar"/>
              </w:rPr>
              <w:t>0</w:t>
            </w:r>
            <w:r>
              <w:rPr>
                <w:rFonts w:hint="default" w:ascii="Times New Roman" w:hAnsi="Times New Roman" w:eastAsia="宋体" w:cs="Times New Roman"/>
                <w:snapToGrid/>
                <w:color w:val="auto"/>
                <w:spacing w:val="0"/>
                <w:kern w:val="0"/>
                <w:sz w:val="24"/>
                <w:szCs w:val="24"/>
                <w:lang w:val="en-US" w:eastAsia="zh-CN" w:bidi="ar"/>
              </w:rPr>
              <w:t>-8</w:t>
            </w:r>
          </w:p>
          <w:p w14:paraId="5EBED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②室内声源</w:t>
            </w:r>
          </w:p>
          <w:p w14:paraId="724B8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假如某厂房内有K个噪声源</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对预测点的影响相当于若干个等效室外声源</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其计算如下：</w:t>
            </w:r>
          </w:p>
          <w:p w14:paraId="4647F7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1）计算厂房内第I个声源在室内靠近围护结构处的声级L</w:t>
            </w:r>
            <w:r>
              <w:rPr>
                <w:rFonts w:hint="default" w:ascii="Times New Roman" w:hAnsi="Times New Roman" w:eastAsia="宋体" w:cs="Times New Roman"/>
                <w:snapToGrid/>
                <w:color w:val="auto"/>
                <w:spacing w:val="0"/>
                <w:kern w:val="0"/>
                <w:sz w:val="24"/>
                <w:szCs w:val="24"/>
                <w:vertAlign w:val="subscript"/>
                <w:lang w:val="en-US" w:eastAsia="zh-CN" w:bidi="ar"/>
              </w:rPr>
              <w:t>pil</w:t>
            </w:r>
            <w:r>
              <w:rPr>
                <w:rFonts w:hint="default" w:ascii="Times New Roman" w:hAnsi="Times New Roman" w:eastAsia="宋体" w:cs="Times New Roman"/>
                <w:snapToGrid/>
                <w:color w:val="auto"/>
                <w:spacing w:val="0"/>
                <w:kern w:val="0"/>
                <w:sz w:val="24"/>
                <w:szCs w:val="24"/>
                <w:lang w:val="en-US" w:eastAsia="zh-CN" w:bidi="ar"/>
              </w:rPr>
              <w:t>：</w:t>
            </w:r>
          </w:p>
          <w:p w14:paraId="2020E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pil</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wi</w:t>
            </w:r>
            <w:r>
              <w:rPr>
                <w:rFonts w:hint="default" w:ascii="Times New Roman" w:hAnsi="Times New Roman" w:eastAsia="宋体" w:cs="Times New Roman"/>
                <w:snapToGrid/>
                <w:color w:val="auto"/>
                <w:spacing w:val="0"/>
                <w:kern w:val="0"/>
                <w:sz w:val="24"/>
                <w:szCs w:val="24"/>
                <w:lang w:val="en-US" w:eastAsia="zh-CN" w:bidi="ar"/>
              </w:rPr>
              <w:t>+10lg</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Q</w:t>
            </w:r>
            <w:r>
              <w:rPr>
                <w:rFonts w:hint="default" w:ascii="Times New Roman" w:hAnsi="Times New Roman" w:eastAsia="宋体" w:cs="Times New Roman"/>
                <w:snapToGrid/>
                <w:color w:val="auto"/>
                <w:spacing w:val="0"/>
                <w:kern w:val="0"/>
                <w:sz w:val="24"/>
                <w:szCs w:val="24"/>
                <w:vertAlign w:val="subscript"/>
                <w:lang w:val="en-US" w:eastAsia="zh-CN" w:bidi="ar"/>
              </w:rPr>
              <w:t>πri</w:t>
            </w:r>
            <w:r>
              <w:rPr>
                <w:rFonts w:hint="default" w:ascii="Times New Roman" w:hAnsi="Times New Roman" w:eastAsia="宋体" w:cs="Times New Roman"/>
                <w:snapToGrid/>
                <w:color w:val="auto"/>
                <w:spacing w:val="0"/>
                <w:kern w:val="0"/>
                <w:sz w:val="24"/>
                <w:szCs w:val="24"/>
                <w:lang w:val="en-US" w:eastAsia="zh-CN" w:bidi="ar"/>
              </w:rPr>
              <w:t>/4+4/R</w:t>
            </w:r>
            <w:r>
              <w:rPr>
                <w:rFonts w:hint="default" w:ascii="Times New Roman" w:hAnsi="Times New Roman" w:cs="Times New Roman"/>
                <w:snapToGrid/>
                <w:color w:val="auto"/>
                <w:spacing w:val="0"/>
                <w:kern w:val="0"/>
                <w:sz w:val="24"/>
                <w:szCs w:val="24"/>
                <w:lang w:val="en-US" w:eastAsia="zh-CN" w:bidi="ar"/>
              </w:rPr>
              <w:t>)</w:t>
            </w:r>
          </w:p>
          <w:p w14:paraId="4C9E8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式中：</w:t>
            </w:r>
          </w:p>
          <w:p w14:paraId="013B63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wi</w:t>
            </w:r>
            <w:r>
              <w:rPr>
                <w:rFonts w:hint="default" w:ascii="Times New Roman" w:hAnsi="Times New Roman" w:eastAsia="宋体" w:cs="Times New Roman"/>
                <w:snapToGrid/>
                <w:color w:val="auto"/>
                <w:spacing w:val="0"/>
                <w:kern w:val="0"/>
                <w:sz w:val="24"/>
                <w:szCs w:val="24"/>
                <w:lang w:val="en-US" w:eastAsia="zh-CN" w:bidi="ar"/>
              </w:rPr>
              <w:t>—该厂房内第i个声源的声功率级；</w:t>
            </w:r>
          </w:p>
          <w:p w14:paraId="699A16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Q—声源的方向性因素；</w:t>
            </w:r>
          </w:p>
          <w:p w14:paraId="1133C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r</w:t>
            </w:r>
            <w:r>
              <w:rPr>
                <w:rFonts w:hint="default" w:ascii="Times New Roman" w:hAnsi="Times New Roman" w:eastAsia="宋体" w:cs="Times New Roman"/>
                <w:snapToGrid/>
                <w:color w:val="auto"/>
                <w:spacing w:val="0"/>
                <w:kern w:val="0"/>
                <w:sz w:val="24"/>
                <w:szCs w:val="24"/>
                <w:vertAlign w:val="subscript"/>
                <w:lang w:val="en-US" w:eastAsia="zh-CN" w:bidi="ar"/>
              </w:rPr>
              <w:t>i</w:t>
            </w:r>
            <w:r>
              <w:rPr>
                <w:rFonts w:hint="default" w:ascii="Times New Roman" w:hAnsi="Times New Roman" w:eastAsia="宋体" w:cs="Times New Roman"/>
                <w:snapToGrid/>
                <w:color w:val="auto"/>
                <w:spacing w:val="0"/>
                <w:kern w:val="0"/>
                <w:sz w:val="24"/>
                <w:szCs w:val="24"/>
                <w:lang w:val="en-US" w:eastAsia="zh-CN" w:bidi="ar"/>
              </w:rPr>
              <w:t>—室内点距声源的距离；</w:t>
            </w:r>
          </w:p>
          <w:p w14:paraId="360B52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R—房间常数。</w:t>
            </w:r>
          </w:p>
          <w:p w14:paraId="743E5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2）计算厂房内K个声源在靠近围护结构处的声级L</w:t>
            </w:r>
            <w:r>
              <w:rPr>
                <w:rFonts w:hint="default" w:ascii="Times New Roman" w:hAnsi="Times New Roman" w:eastAsia="宋体" w:cs="Times New Roman"/>
                <w:snapToGrid/>
                <w:color w:val="auto"/>
                <w:spacing w:val="0"/>
                <w:kern w:val="0"/>
                <w:sz w:val="24"/>
                <w:szCs w:val="24"/>
                <w:vertAlign w:val="subscript"/>
                <w:lang w:val="en-US" w:eastAsia="zh-CN" w:bidi="ar"/>
              </w:rPr>
              <w:t>p1</w:t>
            </w:r>
            <w:r>
              <w:rPr>
                <w:rFonts w:hint="default" w:ascii="Times New Roman" w:hAnsi="Times New Roman" w:eastAsia="宋体" w:cs="Times New Roman"/>
                <w:snapToGrid/>
                <w:color w:val="auto"/>
                <w:spacing w:val="0"/>
                <w:kern w:val="0"/>
                <w:sz w:val="24"/>
                <w:szCs w:val="24"/>
                <w:lang w:val="en-US" w:eastAsia="zh-CN" w:bidi="ar"/>
              </w:rPr>
              <w:t>：</w:t>
            </w:r>
          </w:p>
          <w:p w14:paraId="413A8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p1</w:t>
            </w:r>
            <w:r>
              <w:rPr>
                <w:rFonts w:hint="default" w:ascii="Times New Roman" w:hAnsi="Times New Roman" w:eastAsia="宋体" w:cs="Times New Roman"/>
                <w:snapToGrid/>
                <w:color w:val="auto"/>
                <w:spacing w:val="0"/>
                <w:kern w:val="0"/>
                <w:sz w:val="24"/>
                <w:szCs w:val="24"/>
                <w:lang w:val="en-US" w:eastAsia="zh-CN" w:bidi="ar"/>
              </w:rPr>
              <w:t>=10lgΣ</w:t>
            </w:r>
            <w:r>
              <w:rPr>
                <w:rFonts w:hint="default" w:ascii="Times New Roman" w:hAnsi="Times New Roman" w:cs="Times New Roman"/>
                <w:snapToGrid/>
                <w:color w:val="auto"/>
                <w:spacing w:val="0"/>
                <w:kern w:val="0"/>
                <w:sz w:val="24"/>
                <w:szCs w:val="24"/>
                <w:vertAlign w:val="subscript"/>
                <w:lang w:val="en-US" w:eastAsia="zh-CN" w:bidi="ar"/>
              </w:rPr>
              <w:t>k</w:t>
            </w:r>
            <w:r>
              <w:rPr>
                <w:rFonts w:hint="default" w:ascii="Times New Roman" w:hAnsi="Times New Roman" w:eastAsia="宋体" w:cs="Times New Roman"/>
                <w:snapToGrid/>
                <w:color w:val="auto"/>
                <w:spacing w:val="0"/>
                <w:kern w:val="0"/>
                <w:sz w:val="24"/>
                <w:szCs w:val="24"/>
                <w:lang w:val="en-US" w:eastAsia="zh-CN" w:bidi="ar"/>
              </w:rPr>
              <w:t>10</w:t>
            </w:r>
            <w:r>
              <w:rPr>
                <w:rFonts w:hint="default" w:ascii="Times New Roman" w:hAnsi="Times New Roman" w:eastAsia="宋体" w:cs="Times New Roman"/>
                <w:snapToGrid/>
                <w:color w:val="auto"/>
                <w:spacing w:val="0"/>
                <w:kern w:val="0"/>
                <w:sz w:val="24"/>
                <w:szCs w:val="24"/>
                <w:vertAlign w:val="superscript"/>
                <w:lang w:val="en-US" w:eastAsia="zh-CN" w:bidi="ar"/>
              </w:rPr>
              <w:t>0.1Lpi1</w:t>
            </w:r>
          </w:p>
          <w:p w14:paraId="411D4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3）计算厂房外靠近围护结构处的声级L</w:t>
            </w:r>
            <w:r>
              <w:rPr>
                <w:rFonts w:hint="default" w:ascii="Times New Roman" w:hAnsi="Times New Roman" w:eastAsia="宋体" w:cs="Times New Roman"/>
                <w:snapToGrid/>
                <w:color w:val="auto"/>
                <w:spacing w:val="0"/>
                <w:kern w:val="0"/>
                <w:sz w:val="24"/>
                <w:szCs w:val="24"/>
                <w:vertAlign w:val="subscript"/>
                <w:lang w:val="en-US" w:eastAsia="zh-CN" w:bidi="ar"/>
              </w:rPr>
              <w:t>p2</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p2</w:t>
            </w:r>
            <w:r>
              <w:rPr>
                <w:rFonts w:hint="default" w:ascii="Times New Roman" w:hAnsi="Times New Roman" w:eastAsia="宋体" w:cs="Times New Roman"/>
                <w:snapToGrid/>
                <w:color w:val="auto"/>
                <w:spacing w:val="0"/>
                <w:kern w:val="0"/>
                <w:sz w:val="24"/>
                <w:szCs w:val="24"/>
                <w:lang w:val="en-US" w:eastAsia="zh-CN" w:bidi="ar"/>
              </w:rPr>
              <w:t>=L</w:t>
            </w:r>
            <w:r>
              <w:rPr>
                <w:rFonts w:hint="default" w:ascii="Times New Roman" w:hAnsi="Times New Roman" w:eastAsia="宋体" w:cs="Times New Roman"/>
                <w:snapToGrid/>
                <w:color w:val="auto"/>
                <w:spacing w:val="0"/>
                <w:kern w:val="0"/>
                <w:sz w:val="24"/>
                <w:szCs w:val="24"/>
                <w:vertAlign w:val="subscript"/>
                <w:lang w:val="en-US" w:eastAsia="zh-CN" w:bidi="ar"/>
              </w:rPr>
              <w:t>p1</w:t>
            </w:r>
            <w:r>
              <w:rPr>
                <w:rFonts w:hint="default" w:ascii="Times New Roman" w:hAnsi="Times New Roman" w:eastAsia="宋体" w:cs="Times New Roman"/>
                <w:snapToGrid/>
                <w:color w:val="auto"/>
                <w:spacing w:val="0"/>
                <w:kern w:val="0"/>
                <w:sz w:val="24"/>
                <w:szCs w:val="24"/>
                <w:lang w:val="en-US" w:eastAsia="zh-CN" w:bidi="ar"/>
              </w:rPr>
              <w:t>-（TL+6）</w:t>
            </w:r>
          </w:p>
          <w:p w14:paraId="214D7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式中：TL—围护结构的传声损失。</w:t>
            </w:r>
          </w:p>
          <w:p w14:paraId="24A506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4）把围护结构当作等效室外声源</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再根据声级L</w:t>
            </w:r>
            <w:r>
              <w:rPr>
                <w:rFonts w:hint="default" w:ascii="Times New Roman" w:hAnsi="Times New Roman" w:eastAsia="宋体" w:cs="Times New Roman"/>
                <w:snapToGrid/>
                <w:color w:val="auto"/>
                <w:spacing w:val="0"/>
                <w:kern w:val="0"/>
                <w:sz w:val="24"/>
                <w:szCs w:val="24"/>
                <w:vertAlign w:val="subscript"/>
                <w:lang w:val="en-US" w:eastAsia="zh-CN" w:bidi="ar"/>
              </w:rPr>
              <w:t>p2</w:t>
            </w:r>
            <w:r>
              <w:rPr>
                <w:rFonts w:hint="default" w:ascii="Times New Roman" w:hAnsi="Times New Roman" w:eastAsia="宋体" w:cs="Times New Roman"/>
                <w:snapToGrid/>
                <w:color w:val="auto"/>
                <w:spacing w:val="0"/>
                <w:kern w:val="0"/>
                <w:sz w:val="24"/>
                <w:szCs w:val="24"/>
                <w:lang w:val="en-US" w:eastAsia="zh-CN" w:bidi="ar"/>
              </w:rPr>
              <w:t>和围护结构（一般为门、窗）的面积</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计算等效室外的声功率级。</w:t>
            </w:r>
          </w:p>
          <w:p w14:paraId="7E7F9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5）按照上述室外声源的计算方法</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计算该等效室外声源在第i个预测点的声级L</w:t>
            </w:r>
            <w:r>
              <w:rPr>
                <w:rFonts w:hint="default" w:ascii="Times New Roman" w:hAnsi="Times New Roman" w:eastAsia="宋体" w:cs="Times New Roman"/>
                <w:snapToGrid/>
                <w:color w:val="auto"/>
                <w:spacing w:val="0"/>
                <w:kern w:val="0"/>
                <w:sz w:val="24"/>
                <w:szCs w:val="24"/>
                <w:vertAlign w:val="subscript"/>
                <w:lang w:val="en-US" w:eastAsia="zh-CN" w:bidi="ar"/>
              </w:rPr>
              <w:t>akj</w:t>
            </w:r>
            <w:r>
              <w:rPr>
                <w:rFonts w:hint="default" w:ascii="Times New Roman" w:hAnsi="Times New Roman" w:eastAsia="宋体" w:cs="Times New Roman"/>
                <w:snapToGrid/>
                <w:color w:val="auto"/>
                <w:spacing w:val="0"/>
                <w:kern w:val="0"/>
                <w:sz w:val="24"/>
                <w:szCs w:val="24"/>
                <w:lang w:val="en-US" w:eastAsia="zh-CN" w:bidi="ar"/>
              </w:rPr>
              <w:t>（i</w:t>
            </w:r>
            <w:r>
              <w:rPr>
                <w:rFonts w:hint="default" w:ascii="Times New Roman" w:hAnsi="Times New Roman" w:eastAsia="宋体" w:cs="Times New Roman"/>
                <w:snapToGrid/>
                <w:color w:val="auto"/>
                <w:spacing w:val="0"/>
                <w:kern w:val="0"/>
                <w:sz w:val="24"/>
                <w:szCs w:val="24"/>
                <w:vertAlign w:val="subscript"/>
                <w:lang w:val="en-US" w:eastAsia="zh-CN" w:bidi="ar"/>
              </w:rPr>
              <w:t>n</w:t>
            </w:r>
            <w:r>
              <w:rPr>
                <w:rFonts w:hint="default" w:ascii="Times New Roman" w:hAnsi="Times New Roman" w:eastAsia="宋体" w:cs="Times New Roman"/>
                <w:snapToGrid/>
                <w:color w:val="auto"/>
                <w:spacing w:val="0"/>
                <w:kern w:val="0"/>
                <w:sz w:val="24"/>
                <w:szCs w:val="24"/>
                <w:lang w:val="en-US" w:eastAsia="zh-CN" w:bidi="ar"/>
              </w:rPr>
              <w:t>）。</w:t>
            </w:r>
          </w:p>
          <w:p w14:paraId="3A5C62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③噪声预测值</w:t>
            </w:r>
          </w:p>
          <w:p w14:paraId="2CBB0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预测点的贡献值和背景值按能量叠加方法计算得到的声级。</w:t>
            </w:r>
          </w:p>
          <w:p w14:paraId="78226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④计算受声点的布设</w:t>
            </w:r>
          </w:p>
          <w:p w14:paraId="00CA1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color w:val="auto"/>
                <w:spacing w:val="0"/>
                <w:kern w:val="0"/>
                <w:sz w:val="24"/>
                <w:szCs w:val="24"/>
                <w:lang w:val="en-US" w:eastAsia="zh-CN" w:bidi="ar"/>
              </w:rPr>
            </w:pPr>
            <w:r>
              <w:rPr>
                <w:rFonts w:hint="default" w:ascii="Times New Roman" w:hAnsi="Times New Roman" w:eastAsia="宋体" w:cs="Times New Roman"/>
                <w:snapToGrid/>
                <w:color w:val="auto"/>
                <w:spacing w:val="0"/>
                <w:kern w:val="0"/>
                <w:sz w:val="24"/>
                <w:szCs w:val="24"/>
                <w:lang w:val="en-US" w:eastAsia="zh-CN" w:bidi="ar"/>
              </w:rPr>
              <w:t>根据工程规模及建设地点环境噪声特点</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参照《环境影响评价技术导则 声环境》（HJ2.4-2021）的有关规定</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预测计算影响到厂界范围的声场分布状况</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根据计算结果说明项目建成后</w:t>
            </w:r>
            <w:r>
              <w:rPr>
                <w:rFonts w:hint="default" w:ascii="Times New Roman" w:hAnsi="Times New Roman" w:cs="Times New Roman"/>
                <w:snapToGrid/>
                <w:color w:val="auto"/>
                <w:spacing w:val="0"/>
                <w:kern w:val="0"/>
                <w:sz w:val="24"/>
                <w:szCs w:val="24"/>
                <w:lang w:val="en-US" w:eastAsia="zh-CN" w:bidi="ar"/>
              </w:rPr>
              <w:t>，</w:t>
            </w:r>
            <w:r>
              <w:rPr>
                <w:rFonts w:hint="default" w:ascii="Times New Roman" w:hAnsi="Times New Roman" w:eastAsia="宋体" w:cs="Times New Roman"/>
                <w:snapToGrid/>
                <w:color w:val="auto"/>
                <w:spacing w:val="0"/>
                <w:kern w:val="0"/>
                <w:sz w:val="24"/>
                <w:szCs w:val="24"/>
                <w:lang w:val="en-US" w:eastAsia="zh-CN" w:bidi="ar"/>
              </w:rPr>
              <w:t>对周围环境的噪声影响情况。</w:t>
            </w:r>
          </w:p>
          <w:p w14:paraId="2EF99400">
            <w:pPr>
              <w:adjustRightInd w:val="0"/>
              <w:snapToGrid w:val="0"/>
              <w:ind w:firstLine="480"/>
              <w:jc w:val="left"/>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本次对项目边界噪声</w:t>
            </w:r>
            <w:r>
              <w:rPr>
                <w:rFonts w:hint="default" w:ascii="Times New Roman" w:hAnsi="Times New Roman" w:cs="Times New Roman"/>
                <w:color w:val="auto"/>
                <w:sz w:val="24"/>
                <w:szCs w:val="24"/>
                <w:highlight w:val="none"/>
                <w:lang w:val="zh-CN"/>
              </w:rPr>
              <w:t>做</w:t>
            </w:r>
            <w:r>
              <w:rPr>
                <w:rFonts w:hint="default" w:ascii="Times New Roman" w:hAnsi="Times New Roman" w:eastAsia="宋体" w:cs="Times New Roman"/>
                <w:color w:val="auto"/>
                <w:sz w:val="24"/>
                <w:szCs w:val="24"/>
                <w:highlight w:val="none"/>
                <w:lang w:val="zh-CN"/>
              </w:rPr>
              <w:t>预测，边界的噪声预测结果见表</w:t>
            </w:r>
            <w:r>
              <w:rPr>
                <w:rFonts w:hint="default" w:ascii="Times New Roman" w:hAnsi="Times New Roman" w:eastAsia="宋体"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zh-CN"/>
              </w:rPr>
              <w:t>。</w:t>
            </w:r>
          </w:p>
          <w:p w14:paraId="11549BEE">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厂界噪声预测结果             单位：dB(A)</w:t>
            </w:r>
          </w:p>
          <w:tbl>
            <w:tblPr>
              <w:tblStyle w:val="29"/>
              <w:tblW w:w="82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784"/>
              <w:gridCol w:w="2541"/>
              <w:gridCol w:w="1986"/>
            </w:tblGrid>
            <w:tr w14:paraId="5540FC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909" w:type="dxa"/>
                  <w:vAlign w:val="center"/>
                </w:tcPr>
                <w:p w14:paraId="268D2480">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w:t>
                  </w:r>
                </w:p>
              </w:tc>
              <w:tc>
                <w:tcPr>
                  <w:tcW w:w="1784" w:type="dxa"/>
                  <w:vAlign w:val="center"/>
                </w:tcPr>
                <w:p w14:paraId="7C58CFAB">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最大贡献值</w:t>
                  </w:r>
                </w:p>
              </w:tc>
              <w:tc>
                <w:tcPr>
                  <w:tcW w:w="2541" w:type="dxa"/>
                  <w:vAlign w:val="center"/>
                </w:tcPr>
                <w:p w14:paraId="55F1D4F3">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986" w:type="dxa"/>
                  <w:vAlign w:val="center"/>
                </w:tcPr>
                <w:p w14:paraId="5D43D9D9">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659769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09" w:type="dxa"/>
                  <w:vAlign w:val="center"/>
                </w:tcPr>
                <w:p w14:paraId="7CB88510">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东厂界</w:t>
                  </w:r>
                </w:p>
              </w:tc>
              <w:tc>
                <w:tcPr>
                  <w:tcW w:w="1784" w:type="dxa"/>
                  <w:vAlign w:val="center"/>
                </w:tcPr>
                <w:p w14:paraId="65C2848A">
                  <w:pPr>
                    <w:pStyle w:val="47"/>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46.5</w:t>
                  </w:r>
                </w:p>
              </w:tc>
              <w:tc>
                <w:tcPr>
                  <w:tcW w:w="2541" w:type="dxa"/>
                  <w:vMerge w:val="restart"/>
                  <w:vAlign w:val="center"/>
                </w:tcPr>
                <w:p w14:paraId="52E0DE8B">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《工业企业厂界环境噪声排放标准》（GB12348-2008）3类，昼间65dB（A），夜间55dB(A)</w:t>
                  </w:r>
                </w:p>
              </w:tc>
              <w:tc>
                <w:tcPr>
                  <w:tcW w:w="1986" w:type="dxa"/>
                  <w:vAlign w:val="center"/>
                </w:tcPr>
                <w:p w14:paraId="0AE529BB">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B000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09" w:type="dxa"/>
                  <w:vAlign w:val="center"/>
                </w:tcPr>
                <w:p w14:paraId="7C8C84C7">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南厂界</w:t>
                  </w:r>
                </w:p>
              </w:tc>
              <w:tc>
                <w:tcPr>
                  <w:tcW w:w="1784" w:type="dxa"/>
                  <w:vAlign w:val="center"/>
                </w:tcPr>
                <w:p w14:paraId="7DFD7868">
                  <w:pPr>
                    <w:pStyle w:val="47"/>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42.4</w:t>
                  </w:r>
                </w:p>
              </w:tc>
              <w:tc>
                <w:tcPr>
                  <w:tcW w:w="2541" w:type="dxa"/>
                  <w:vMerge w:val="continue"/>
                  <w:vAlign w:val="center"/>
                </w:tcPr>
                <w:p w14:paraId="345BD198">
                  <w:pPr>
                    <w:pStyle w:val="47"/>
                    <w:snapToGrid w:val="0"/>
                    <w:rPr>
                      <w:rFonts w:hint="default" w:ascii="Times New Roman" w:hAnsi="Times New Roman" w:eastAsia="宋体" w:cs="Times New Roman"/>
                      <w:color w:val="auto"/>
                      <w:sz w:val="21"/>
                      <w:szCs w:val="21"/>
                      <w:highlight w:val="none"/>
                    </w:rPr>
                  </w:pPr>
                </w:p>
              </w:tc>
              <w:tc>
                <w:tcPr>
                  <w:tcW w:w="1986" w:type="dxa"/>
                  <w:vAlign w:val="center"/>
                </w:tcPr>
                <w:p w14:paraId="34600FE1">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B8AC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909" w:type="dxa"/>
                  <w:vAlign w:val="center"/>
                </w:tcPr>
                <w:p w14:paraId="69554050">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西厂界</w:t>
                  </w:r>
                </w:p>
              </w:tc>
              <w:tc>
                <w:tcPr>
                  <w:tcW w:w="1784" w:type="dxa"/>
                  <w:vAlign w:val="center"/>
                </w:tcPr>
                <w:p w14:paraId="633B4113">
                  <w:pPr>
                    <w:pStyle w:val="47"/>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45.8</w:t>
                  </w:r>
                </w:p>
              </w:tc>
              <w:tc>
                <w:tcPr>
                  <w:tcW w:w="2541" w:type="dxa"/>
                  <w:vMerge w:val="continue"/>
                  <w:vAlign w:val="center"/>
                </w:tcPr>
                <w:p w14:paraId="138A17AB">
                  <w:pPr>
                    <w:pStyle w:val="47"/>
                    <w:snapToGrid w:val="0"/>
                    <w:rPr>
                      <w:rFonts w:hint="default" w:ascii="Times New Roman" w:hAnsi="Times New Roman" w:eastAsia="宋体" w:cs="Times New Roman"/>
                      <w:color w:val="auto"/>
                      <w:sz w:val="21"/>
                      <w:szCs w:val="21"/>
                      <w:highlight w:val="none"/>
                    </w:rPr>
                  </w:pPr>
                </w:p>
              </w:tc>
              <w:tc>
                <w:tcPr>
                  <w:tcW w:w="1986" w:type="dxa"/>
                  <w:vAlign w:val="center"/>
                </w:tcPr>
                <w:p w14:paraId="6B6F2C71">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9DE6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09" w:type="dxa"/>
                  <w:vAlign w:val="center"/>
                </w:tcPr>
                <w:p w14:paraId="2C3B79E7">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北厂界</w:t>
                  </w:r>
                </w:p>
              </w:tc>
              <w:tc>
                <w:tcPr>
                  <w:tcW w:w="1784" w:type="dxa"/>
                  <w:vAlign w:val="center"/>
                </w:tcPr>
                <w:p w14:paraId="467FDA5B">
                  <w:pPr>
                    <w:pStyle w:val="47"/>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39.8</w:t>
                  </w:r>
                </w:p>
              </w:tc>
              <w:tc>
                <w:tcPr>
                  <w:tcW w:w="2541" w:type="dxa"/>
                  <w:vMerge w:val="continue"/>
                  <w:vAlign w:val="center"/>
                </w:tcPr>
                <w:p w14:paraId="0C9640DF">
                  <w:pPr>
                    <w:pStyle w:val="47"/>
                    <w:snapToGrid w:val="0"/>
                    <w:rPr>
                      <w:rFonts w:hint="default" w:ascii="Times New Roman" w:hAnsi="Times New Roman" w:eastAsia="宋体" w:cs="Times New Roman"/>
                      <w:color w:val="auto"/>
                      <w:sz w:val="21"/>
                      <w:szCs w:val="21"/>
                      <w:highlight w:val="none"/>
                    </w:rPr>
                  </w:pPr>
                </w:p>
              </w:tc>
              <w:tc>
                <w:tcPr>
                  <w:tcW w:w="1986" w:type="dxa"/>
                  <w:vAlign w:val="center"/>
                </w:tcPr>
                <w:p w14:paraId="57FDEE82">
                  <w:pPr>
                    <w:pStyle w:val="47"/>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2D5CD402">
            <w:pPr>
              <w:ind w:firstLine="48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由上表可以看出，项目运营期间，各个厂界、夜间噪声都能达到</w:t>
            </w:r>
            <w:r>
              <w:rPr>
                <w:rFonts w:hint="default" w:ascii="Times New Roman" w:hAnsi="Times New Roman" w:eastAsia="宋体" w:cs="Times New Roman"/>
                <w:color w:val="auto"/>
                <w:kern w:val="0"/>
                <w:sz w:val="24"/>
                <w:szCs w:val="24"/>
                <w:highlight w:val="none"/>
              </w:rPr>
              <w:t>《工业企业厂界环境噪声排放标准》（GB12348-2008）中的3类标准要求</w:t>
            </w:r>
            <w:r>
              <w:rPr>
                <w:rFonts w:hint="default" w:ascii="Times New Roman" w:hAnsi="Times New Roman" w:eastAsia="宋体" w:cs="Times New Roman"/>
                <w:color w:val="auto"/>
                <w:sz w:val="24"/>
                <w:szCs w:val="24"/>
                <w:highlight w:val="none"/>
              </w:rPr>
              <w:t>（昼间≤65dB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、夜间≤55dB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，对外环境影响不大。</w:t>
            </w:r>
          </w:p>
          <w:p w14:paraId="2505A51F">
            <w:pPr>
              <w:pStyle w:val="74"/>
              <w:spacing w:line="220" w:lineRule="auto"/>
              <w:rPr>
                <w:rFonts w:hint="default" w:ascii="Times New Roman" w:hAnsi="Times New Roman" w:eastAsia="宋体" w:cs="Times New Roman"/>
                <w:b/>
                <w:bCs/>
                <w:spacing w:val="-2"/>
                <w:lang w:val="en-US" w:eastAsia="zh-CN"/>
              </w:rPr>
            </w:pPr>
            <w:r>
              <w:rPr>
                <w:rFonts w:hint="default" w:ascii="Times New Roman" w:hAnsi="Times New Roman" w:eastAsia="宋体" w:cs="Times New Roman"/>
                <w:b/>
                <w:bCs/>
                <w:spacing w:val="-2"/>
                <w:lang w:val="en-US" w:eastAsia="zh-CN"/>
              </w:rPr>
              <w:t>4.1自行监测计划</w:t>
            </w:r>
          </w:p>
          <w:p w14:paraId="2DBC1522">
            <w:pPr>
              <w:pStyle w:val="9"/>
              <w:spacing w:before="0" w:after="0" w:line="360" w:lineRule="auto"/>
              <w:ind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yellow"/>
                <w:lang w:val="en-US" w:eastAsia="zh-CN"/>
              </w:rPr>
              <w:t>根据</w:t>
            </w:r>
            <w:r>
              <w:rPr>
                <w:rFonts w:hint="default" w:ascii="Times New Roman" w:hAnsi="Times New Roman" w:eastAsia="宋体" w:cs="Times New Roman"/>
                <w:color w:val="auto"/>
                <w:sz w:val="24"/>
                <w:szCs w:val="24"/>
                <w:highlight w:val="yellow"/>
              </w:rPr>
              <w:t>《工业企业厂界环境噪声排放标准》（GB12348-2008）3类标准，</w:t>
            </w:r>
            <w:r>
              <w:rPr>
                <w:rFonts w:hint="default" w:ascii="Times New Roman" w:hAnsi="Times New Roman" w:eastAsia="宋体" w:cs="Times New Roman"/>
                <w:color w:val="auto"/>
                <w:sz w:val="24"/>
                <w:szCs w:val="24"/>
                <w:highlight w:val="none"/>
              </w:rPr>
              <w:t>具体监测计划见表4-</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p>
          <w:p w14:paraId="0978ABD0">
            <w:pPr>
              <w:pStyle w:val="37"/>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 xml:space="preserve">10 </w:t>
            </w:r>
            <w:r>
              <w:rPr>
                <w:rFonts w:hint="default" w:ascii="Times New Roman" w:hAnsi="Times New Roman" w:eastAsia="宋体" w:cs="Times New Roman"/>
                <w:color w:val="auto"/>
                <w:sz w:val="21"/>
                <w:szCs w:val="21"/>
                <w:highlight w:val="none"/>
              </w:rPr>
              <w:t xml:space="preserve">  声环境监测计划</w:t>
            </w:r>
          </w:p>
          <w:tbl>
            <w:tblPr>
              <w:tblStyle w:val="30"/>
              <w:tblW w:w="82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68"/>
              <w:gridCol w:w="1228"/>
              <w:gridCol w:w="818"/>
              <w:gridCol w:w="777"/>
              <w:gridCol w:w="2947"/>
            </w:tblGrid>
            <w:tr w14:paraId="34D99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60" w:type="dxa"/>
                  <w:vAlign w:val="center"/>
                </w:tcPr>
                <w:p w14:paraId="6E6FE005">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568" w:type="dxa"/>
                  <w:vAlign w:val="center"/>
                </w:tcPr>
                <w:p w14:paraId="3B19A6AD">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排放口</w:t>
                  </w:r>
                </w:p>
              </w:tc>
              <w:tc>
                <w:tcPr>
                  <w:tcW w:w="1228" w:type="dxa"/>
                  <w:vAlign w:val="center"/>
                </w:tcPr>
                <w:p w14:paraId="52A782BA">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818" w:type="dxa"/>
                  <w:vAlign w:val="center"/>
                </w:tcPr>
                <w:p w14:paraId="25EDBDC8">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777" w:type="dxa"/>
                  <w:vAlign w:val="center"/>
                </w:tcPr>
                <w:p w14:paraId="054802C1">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监测频率</w:t>
                  </w:r>
                </w:p>
              </w:tc>
              <w:tc>
                <w:tcPr>
                  <w:tcW w:w="2947" w:type="dxa"/>
                  <w:vAlign w:val="center"/>
                </w:tcPr>
                <w:p w14:paraId="67091879">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排放标准</w:t>
                  </w:r>
                </w:p>
              </w:tc>
            </w:tr>
            <w:tr w14:paraId="064E5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22CDFA13">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厂界噪声</w:t>
                  </w:r>
                </w:p>
              </w:tc>
              <w:tc>
                <w:tcPr>
                  <w:tcW w:w="1568" w:type="dxa"/>
                  <w:vAlign w:val="center"/>
                </w:tcPr>
                <w:p w14:paraId="4FFB092A">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等效连续A声级Leq（A）</w:t>
                  </w:r>
                </w:p>
              </w:tc>
              <w:tc>
                <w:tcPr>
                  <w:tcW w:w="1228" w:type="dxa"/>
                  <w:vAlign w:val="center"/>
                </w:tcPr>
                <w:p w14:paraId="0ED1E37E">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厂界四周1m处</w:t>
                  </w:r>
                </w:p>
              </w:tc>
              <w:tc>
                <w:tcPr>
                  <w:tcW w:w="818" w:type="dxa"/>
                  <w:vAlign w:val="center"/>
                </w:tcPr>
                <w:p w14:paraId="6DF5C1AA">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噪声级</w:t>
                  </w:r>
                </w:p>
              </w:tc>
              <w:tc>
                <w:tcPr>
                  <w:tcW w:w="777" w:type="dxa"/>
                  <w:vAlign w:val="center"/>
                </w:tcPr>
                <w:p w14:paraId="5F80D00B">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2947" w:type="dxa"/>
                  <w:vAlign w:val="center"/>
                </w:tcPr>
                <w:p w14:paraId="350F6C6D">
                  <w:pPr>
                    <w:pStyle w:val="47"/>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《工业企业厂界环境噪声排放标准》（GB12348-2008）3类标准</w:t>
                  </w:r>
                </w:p>
              </w:tc>
            </w:tr>
          </w:tbl>
          <w:p w14:paraId="6072A89F">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4.2</w:t>
            </w:r>
            <w:r>
              <w:rPr>
                <w:rFonts w:hint="default" w:ascii="Times New Roman" w:hAnsi="Times New Roman" w:cs="Times New Roman"/>
                <w:b/>
                <w:bCs/>
                <w:color w:val="000000" w:themeColor="text1"/>
                <w14:textFill>
                  <w14:solidFill>
                    <w14:schemeClr w14:val="tx1"/>
                  </w14:solidFill>
                </w14:textFill>
              </w:rPr>
              <w:t>噪声防治措施</w:t>
            </w:r>
          </w:p>
          <w:p w14:paraId="130D9CEB">
            <w:pPr>
              <w:ind w:firstLine="480"/>
              <w:rPr>
                <w:rFonts w:hint="default" w:ascii="Times New Roman" w:hAnsi="Times New Roman" w:eastAsia="宋体" w:cs="Times New Roman"/>
                <w:lang w:eastAsia="zh-CN"/>
              </w:rPr>
            </w:pPr>
            <w:r>
              <w:rPr>
                <w:rFonts w:hint="default" w:ascii="Times New Roman" w:hAnsi="Times New Roman" w:cs="Times New Roman"/>
              </w:rPr>
              <w:t>为尽可能降低对厂界噪声的影响，要求企业增加如下噪声防治措施</w:t>
            </w:r>
            <w:r>
              <w:rPr>
                <w:rFonts w:hint="default" w:ascii="Times New Roman" w:hAnsi="Times New Roman" w:cs="Times New Roman"/>
                <w:lang w:eastAsia="zh-CN"/>
              </w:rPr>
              <w:t>：</w:t>
            </w:r>
          </w:p>
          <w:p w14:paraId="7531E910">
            <w:pPr>
              <w:ind w:firstLine="480"/>
              <w:rPr>
                <w:rFonts w:hint="default" w:ascii="Times New Roman" w:hAnsi="Times New Roman" w:cs="Times New Roman"/>
              </w:rPr>
            </w:pPr>
            <w:r>
              <w:rPr>
                <w:rFonts w:hint="default" w:ascii="Times New Roman" w:hAnsi="Times New Roman" w:cs="Times New Roman"/>
              </w:rPr>
              <w:t>（1）对设备基础采用隔振与减振措施。</w:t>
            </w:r>
          </w:p>
          <w:p w14:paraId="667414EF">
            <w:pPr>
              <w:ind w:firstLine="480"/>
              <w:rPr>
                <w:rFonts w:hint="default" w:ascii="Times New Roman" w:hAnsi="Times New Roman" w:cs="Times New Roman"/>
                <w:color w:val="FF0000"/>
              </w:rPr>
            </w:pPr>
            <w:r>
              <w:rPr>
                <w:rFonts w:hint="default" w:ascii="Times New Roman" w:hAnsi="Times New Roman" w:cs="Times New Roman"/>
              </w:rPr>
              <w:t>（2）加强管理，建立设备定期维护，保养的管理制度，以防止设备故障形成的非生产噪声，同时确保环保措施发挥最有效的功能；</w:t>
            </w:r>
          </w:p>
          <w:p w14:paraId="433B5E04">
            <w:pPr>
              <w:ind w:firstLine="480"/>
              <w:rPr>
                <w:rFonts w:hint="default" w:ascii="Times New Roman" w:hAnsi="Times New Roman" w:cs="Times New Roman"/>
              </w:rPr>
            </w:pPr>
            <w:r>
              <w:rPr>
                <w:rFonts w:hint="default" w:ascii="Times New Roman" w:hAnsi="Times New Roman" w:cs="Times New Roman"/>
              </w:rPr>
              <w:t>在采取上述隔声降噪措施后，厂界噪声可实现达标排放。选用低噪声设备，采取基础减震，各类产噪设备均根据其规格及安装要求设计。</w:t>
            </w:r>
          </w:p>
          <w:p w14:paraId="13ACEEED">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固体废物污染分析</w:t>
            </w:r>
          </w:p>
          <w:p w14:paraId="0D5510FB">
            <w:pPr>
              <w:pStyle w:val="74"/>
              <w:spacing w:before="181" w:line="376" w:lineRule="auto"/>
              <w:ind w:left="114" w:right="97" w:firstLine="467"/>
              <w:rPr>
                <w:rFonts w:hint="default" w:ascii="Times New Roman" w:hAnsi="Times New Roman" w:cs="Times New Roman"/>
              </w:rPr>
            </w:pPr>
            <w:r>
              <w:rPr>
                <w:rFonts w:hint="default" w:ascii="Times New Roman" w:hAnsi="Times New Roman" w:cs="Times New Roman"/>
                <w:spacing w:val="1"/>
              </w:rPr>
              <w:t>本项目产生的固体废物为一般工业固废、员工日常生活所产生的生活垃圾和危</w:t>
            </w:r>
            <w:r>
              <w:rPr>
                <w:rFonts w:hint="default" w:ascii="Times New Roman" w:hAnsi="Times New Roman" w:cs="Times New Roman"/>
                <w:spacing w:val="-6"/>
              </w:rPr>
              <w:t>险废物。</w:t>
            </w:r>
          </w:p>
          <w:p w14:paraId="7725B4BF">
            <w:pPr>
              <w:pStyle w:val="74"/>
              <w:spacing w:line="220" w:lineRule="auto"/>
              <w:rPr>
                <w:rFonts w:hint="default" w:ascii="Times New Roman" w:hAnsi="Times New Roman" w:cs="Times New Roman"/>
              </w:rPr>
            </w:pPr>
            <w:r>
              <w:rPr>
                <w:rFonts w:hint="default" w:ascii="Times New Roman" w:hAnsi="Times New Roman" w:eastAsia="宋体" w:cs="Times New Roman"/>
                <w:b/>
                <w:bCs/>
                <w:spacing w:val="-2"/>
                <w:lang w:val="en-US" w:eastAsia="zh-CN"/>
              </w:rPr>
              <w:t>5</w:t>
            </w:r>
            <w:r>
              <w:rPr>
                <w:rFonts w:hint="default" w:ascii="Times New Roman" w:hAnsi="Times New Roman" w:eastAsia="Times New Roman" w:cs="Times New Roman"/>
                <w:b/>
                <w:bCs/>
                <w:spacing w:val="-2"/>
              </w:rPr>
              <w:t>.1</w:t>
            </w:r>
            <w:r>
              <w:rPr>
                <w:rFonts w:hint="default" w:ascii="Times New Roman" w:hAnsi="Times New Roman" w:cs="Times New Roman"/>
                <w:b/>
                <w:bCs/>
                <w:spacing w:val="-2"/>
              </w:rPr>
              <w:t>一般工业固废</w:t>
            </w:r>
          </w:p>
          <w:p w14:paraId="35F2BB52">
            <w:pPr>
              <w:pStyle w:val="74"/>
              <w:spacing w:before="203" w:line="219" w:lineRule="auto"/>
              <w:rPr>
                <w:rFonts w:hint="default" w:ascii="Times New Roman" w:hAnsi="Times New Roman" w:eastAsia="宋体" w:cs="Times New Roman"/>
                <w:lang w:val="en-US" w:eastAsia="zh-CN"/>
              </w:rPr>
            </w:pPr>
            <w:r>
              <w:rPr>
                <w:rFonts w:hint="default" w:ascii="Times New Roman" w:hAnsi="Times New Roman" w:eastAsia="宋体" w:cs="Times New Roman"/>
                <w:spacing w:val="-3"/>
                <w:lang w:eastAsia="zh-CN"/>
              </w:rPr>
              <w:t>（</w:t>
            </w:r>
            <w:r>
              <w:rPr>
                <w:rFonts w:hint="default" w:ascii="Times New Roman" w:hAnsi="Times New Roman" w:eastAsia="Times New Roman" w:cs="Times New Roman"/>
                <w:spacing w:val="-3"/>
              </w:rPr>
              <w:t>1</w:t>
            </w:r>
            <w:r>
              <w:rPr>
                <w:rFonts w:hint="default" w:ascii="Times New Roman" w:hAnsi="Times New Roman" w:eastAsia="宋体" w:cs="Times New Roman"/>
                <w:spacing w:val="-3"/>
                <w:lang w:eastAsia="zh-CN"/>
              </w:rPr>
              <w:t>）</w:t>
            </w:r>
            <w:r>
              <w:rPr>
                <w:rFonts w:hint="default" w:ascii="Times New Roman" w:hAnsi="Times New Roman" w:cs="Times New Roman"/>
                <w:spacing w:val="-3"/>
                <w:lang w:val="en-US" w:eastAsia="zh-CN"/>
              </w:rPr>
              <w:t>废铜</w:t>
            </w:r>
          </w:p>
          <w:p w14:paraId="01C43C3A">
            <w:pPr>
              <w:pStyle w:val="74"/>
              <w:spacing w:before="205" w:line="376" w:lineRule="auto"/>
              <w:ind w:left="106" w:right="92" w:firstLine="475"/>
              <w:rPr>
                <w:rFonts w:hint="default" w:ascii="Times New Roman" w:hAnsi="Times New Roman" w:eastAsia="宋体" w:cs="Times New Roman"/>
                <w:spacing w:val="-5"/>
                <w:lang w:val="en-US" w:eastAsia="zh-CN"/>
              </w:rPr>
            </w:pPr>
            <w:r>
              <w:rPr>
                <w:rFonts w:hint="default" w:ascii="Times New Roman" w:hAnsi="Times New Roman" w:cs="Times New Roman"/>
                <w:spacing w:val="-5"/>
                <w:lang w:val="en-US" w:eastAsia="zh-CN"/>
              </w:rPr>
              <w:t>根据建设单位提供，</w:t>
            </w:r>
            <w:r>
              <w:rPr>
                <w:rFonts w:hint="default" w:ascii="Times New Roman" w:hAnsi="Times New Roman" w:cs="Times New Roman"/>
                <w:spacing w:val="-2"/>
              </w:rPr>
              <w:t>营运期</w:t>
            </w:r>
            <w:r>
              <w:rPr>
                <w:rFonts w:hint="default" w:ascii="Times New Roman" w:hAnsi="Times New Roman" w:cs="Times New Roman"/>
                <w:spacing w:val="-2"/>
                <w:lang w:val="en-US" w:eastAsia="zh-CN"/>
              </w:rPr>
              <w:t>年产生废铜1000</w:t>
            </w:r>
            <w:r>
              <w:rPr>
                <w:rFonts w:hint="default" w:ascii="Times New Roman" w:hAnsi="Times New Roman" w:eastAsia="Times New Roman" w:cs="Times New Roman"/>
                <w:lang w:val="en-US" w:eastAsia="zh-CN"/>
              </w:rPr>
              <w:t>t/a</w:t>
            </w:r>
            <w:r>
              <w:rPr>
                <w:rFonts w:hint="default" w:ascii="Times New Roman" w:hAnsi="Times New Roman" w:cs="Times New Roman"/>
                <w:sz w:val="21"/>
                <w:szCs w:val="21"/>
                <w:lang w:val="en-US" w:eastAsia="zh-CN"/>
              </w:rPr>
              <w:t>，</w:t>
            </w:r>
            <w:r>
              <w:rPr>
                <w:rFonts w:hint="default" w:ascii="Times New Roman" w:hAnsi="Times New Roman" w:cs="Times New Roman"/>
                <w:color w:val="auto"/>
                <w:sz w:val="24"/>
                <w:szCs w:val="24"/>
                <w:highlight w:val="none"/>
                <w:lang w:val="en-US" w:eastAsia="zh-CN"/>
              </w:rPr>
              <w:t>集中收集后由专业公司回收。</w:t>
            </w:r>
          </w:p>
          <w:p w14:paraId="59BE5445">
            <w:pPr>
              <w:tabs>
                <w:tab w:val="left" w:pos="5961"/>
              </w:tabs>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pacing w:val="-3"/>
                <w:lang w:val="en-US" w:eastAsia="zh-CN"/>
              </w:rPr>
              <w:t>钢渣</w:t>
            </w:r>
          </w:p>
          <w:p w14:paraId="73F52E89">
            <w:pPr>
              <w:pStyle w:val="74"/>
              <w:spacing w:before="205" w:line="376" w:lineRule="auto"/>
              <w:ind w:left="106" w:right="92" w:firstLine="475"/>
              <w:rPr>
                <w:rFonts w:hint="default" w:ascii="Times New Roman" w:hAnsi="Times New Roman" w:eastAsia="宋体" w:cs="Times New Roman"/>
                <w:spacing w:val="-5"/>
                <w:lang w:val="en-US" w:eastAsia="zh-CN"/>
              </w:rPr>
            </w:pPr>
            <w:r>
              <w:rPr>
                <w:rFonts w:hint="default" w:ascii="Times New Roman" w:hAnsi="Times New Roman" w:cs="Times New Roman"/>
                <w:spacing w:val="-5"/>
                <w:lang w:val="en-US" w:eastAsia="zh-CN"/>
              </w:rPr>
              <w:t>根据建设单位提供，</w:t>
            </w:r>
            <w:r>
              <w:rPr>
                <w:rFonts w:hint="default" w:ascii="Times New Roman" w:hAnsi="Times New Roman" w:cs="Times New Roman"/>
                <w:spacing w:val="-2"/>
              </w:rPr>
              <w:t>营运期</w:t>
            </w:r>
            <w:r>
              <w:rPr>
                <w:rFonts w:hint="default" w:ascii="Times New Roman" w:hAnsi="Times New Roman" w:cs="Times New Roman"/>
                <w:spacing w:val="-2"/>
                <w:lang w:val="en-US" w:eastAsia="zh-CN"/>
              </w:rPr>
              <w:t>年产生钢渣28800</w:t>
            </w:r>
            <w:r>
              <w:rPr>
                <w:rFonts w:hint="default" w:ascii="Times New Roman" w:hAnsi="Times New Roman" w:eastAsia="Times New Roman" w:cs="Times New Roman"/>
                <w:lang w:val="en-US" w:eastAsia="zh-CN"/>
              </w:rPr>
              <w:t>t/a</w:t>
            </w:r>
            <w:r>
              <w:rPr>
                <w:rFonts w:hint="default" w:ascii="Times New Roman" w:hAnsi="Times New Roman" w:cs="Times New Roman"/>
                <w:sz w:val="21"/>
                <w:szCs w:val="21"/>
                <w:lang w:val="en-US" w:eastAsia="zh-CN"/>
              </w:rPr>
              <w:t>，</w:t>
            </w:r>
            <w:r>
              <w:rPr>
                <w:rFonts w:hint="default" w:ascii="Times New Roman" w:hAnsi="Times New Roman" w:cs="Times New Roman"/>
                <w:color w:val="auto"/>
                <w:sz w:val="24"/>
                <w:szCs w:val="24"/>
                <w:highlight w:val="none"/>
                <w:lang w:val="en-US" w:eastAsia="zh-CN"/>
              </w:rPr>
              <w:t>集中收集后由专业公司回收。</w:t>
            </w:r>
          </w:p>
          <w:p w14:paraId="75024D4D">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废布袋</w:t>
            </w:r>
          </w:p>
          <w:p w14:paraId="56C70C7C">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pacing w:val="6"/>
                <w:sz w:val="24"/>
                <w:highlight w:val="none"/>
              </w:rPr>
              <w:t>投料以及生产过程中布袋除尘器有效处理颗粒物，会有废布袋产生，产生量约为0.</w:t>
            </w:r>
            <w:r>
              <w:rPr>
                <w:rFonts w:hint="default" w:ascii="Times New Roman" w:hAnsi="Times New Roman" w:cs="Times New Roman"/>
                <w:spacing w:val="6"/>
                <w:sz w:val="24"/>
                <w:highlight w:val="none"/>
                <w:lang w:val="en-US" w:eastAsia="zh-CN"/>
              </w:rPr>
              <w:t>3</w:t>
            </w:r>
            <w:r>
              <w:rPr>
                <w:rFonts w:hint="default" w:ascii="Times New Roman" w:hAnsi="Times New Roman" w:cs="Times New Roman"/>
                <w:spacing w:val="6"/>
                <w:sz w:val="24"/>
                <w:highlight w:val="none"/>
              </w:rPr>
              <w:t>吨/年。集中收集后交给有一般固体废物处理能力的单位处理。</w:t>
            </w:r>
          </w:p>
          <w:p w14:paraId="132A2941">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pacing w:val="6"/>
                <w:sz w:val="24"/>
                <w:highlight w:val="none"/>
              </w:rPr>
              <w:t>布袋除尘器收集的粉尘</w:t>
            </w:r>
          </w:p>
          <w:p w14:paraId="1B73C797">
            <w:pPr>
              <w:spacing w:line="360" w:lineRule="auto"/>
              <w:ind w:firstLine="504" w:firstLineChars="200"/>
              <w:rPr>
                <w:rFonts w:hint="default" w:ascii="Times New Roman" w:hAnsi="Times New Roman" w:cs="Times New Roman"/>
                <w:spacing w:val="6"/>
                <w:sz w:val="24"/>
                <w:highlight w:val="none"/>
              </w:rPr>
            </w:pPr>
            <w:r>
              <w:rPr>
                <w:rFonts w:hint="default" w:ascii="Times New Roman" w:hAnsi="Times New Roman" w:cs="Times New Roman"/>
                <w:spacing w:val="6"/>
                <w:sz w:val="24"/>
                <w:highlight w:val="none"/>
              </w:rPr>
              <w:t>本项目布袋除尘器收集的粉尘量为</w:t>
            </w:r>
            <w:r>
              <w:rPr>
                <w:rFonts w:hint="default" w:ascii="Times New Roman" w:hAnsi="Times New Roman" w:cs="Times New Roman"/>
                <w:spacing w:val="6"/>
                <w:sz w:val="24"/>
                <w:highlight w:val="none"/>
                <w:lang w:val="en-US" w:eastAsia="zh-CN"/>
              </w:rPr>
              <w:t>423.99</w:t>
            </w:r>
            <w:r>
              <w:rPr>
                <w:rFonts w:hint="default" w:ascii="Times New Roman" w:hAnsi="Times New Roman" w:cs="Times New Roman"/>
                <w:spacing w:val="6"/>
                <w:sz w:val="24"/>
                <w:highlight w:val="none"/>
              </w:rPr>
              <w:t>t</w:t>
            </w:r>
            <w:r>
              <w:rPr>
                <w:rFonts w:hint="default" w:ascii="Times New Roman" w:hAnsi="Times New Roman" w:cs="Times New Roman"/>
                <w:spacing w:val="6"/>
                <w:sz w:val="24"/>
                <w:highlight w:val="none"/>
                <w:lang w:val="en-US" w:eastAsia="zh-CN"/>
              </w:rPr>
              <w:t>/</w:t>
            </w:r>
            <w:r>
              <w:rPr>
                <w:rFonts w:hint="default" w:ascii="Times New Roman" w:hAnsi="Times New Roman" w:cs="Times New Roman"/>
                <w:spacing w:val="6"/>
                <w:sz w:val="24"/>
                <w:highlight w:val="none"/>
              </w:rPr>
              <w:t>a，基本上都是</w:t>
            </w:r>
            <w:r>
              <w:rPr>
                <w:rFonts w:hint="default" w:ascii="Times New Roman" w:hAnsi="Times New Roman" w:cs="Times New Roman"/>
                <w:spacing w:val="6"/>
                <w:sz w:val="24"/>
                <w:highlight w:val="none"/>
                <w:lang w:val="en-US" w:eastAsia="zh-CN"/>
              </w:rPr>
              <w:t>干粉灭火器废料</w:t>
            </w:r>
            <w:r>
              <w:rPr>
                <w:rFonts w:hint="default" w:ascii="Times New Roman" w:hAnsi="Times New Roman" w:cs="Times New Roman"/>
                <w:spacing w:val="6"/>
                <w:sz w:val="24"/>
                <w:highlight w:val="none"/>
              </w:rPr>
              <w:t>，</w:t>
            </w:r>
            <w:r>
              <w:rPr>
                <w:rFonts w:hint="default" w:ascii="Times New Roman" w:hAnsi="Times New Roman" w:cs="Times New Roman"/>
                <w:spacing w:val="6"/>
                <w:sz w:val="24"/>
                <w:highlight w:val="none"/>
                <w:lang w:val="en-US" w:eastAsia="zh-CN"/>
              </w:rPr>
              <w:t>可</w:t>
            </w:r>
            <w:r>
              <w:rPr>
                <w:rFonts w:hint="default" w:ascii="Times New Roman" w:hAnsi="Times New Roman" w:cs="Times New Roman"/>
                <w:spacing w:val="6"/>
                <w:sz w:val="24"/>
                <w:highlight w:val="none"/>
              </w:rPr>
              <w:t>回用于生产。</w:t>
            </w:r>
          </w:p>
          <w:p w14:paraId="7763DBAD">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漆渣</w:t>
            </w:r>
          </w:p>
          <w:p w14:paraId="5D09ECAE">
            <w:pPr>
              <w:spacing w:line="360" w:lineRule="auto"/>
              <w:ind w:firstLine="504" w:firstLineChars="200"/>
              <w:rPr>
                <w:rFonts w:hint="default" w:ascii="Times New Roman" w:hAnsi="Times New Roman" w:cs="Times New Roman"/>
                <w:spacing w:val="6"/>
                <w:sz w:val="24"/>
                <w:highlight w:val="none"/>
                <w:lang w:val="en-US" w:eastAsia="zh-CN"/>
              </w:rPr>
            </w:pPr>
            <w:r>
              <w:rPr>
                <w:rFonts w:hint="default" w:ascii="Times New Roman" w:hAnsi="Times New Roman" w:cs="Times New Roman"/>
                <w:spacing w:val="6"/>
                <w:sz w:val="24"/>
                <w:highlight w:val="none"/>
                <w:lang w:val="en-US" w:eastAsia="zh-CN"/>
              </w:rPr>
              <w:t>本项目灭火器瓶破碎产生的漆渣约为1200</w:t>
            </w:r>
            <w:r>
              <w:rPr>
                <w:rFonts w:hint="default" w:ascii="Times New Roman" w:hAnsi="Times New Roman" w:cs="Times New Roman"/>
                <w:spacing w:val="6"/>
                <w:sz w:val="24"/>
                <w:highlight w:val="none"/>
              </w:rPr>
              <w:t>t</w:t>
            </w:r>
            <w:r>
              <w:rPr>
                <w:rFonts w:hint="default" w:ascii="Times New Roman" w:hAnsi="Times New Roman" w:cs="Times New Roman"/>
                <w:spacing w:val="6"/>
                <w:sz w:val="24"/>
                <w:highlight w:val="none"/>
                <w:lang w:val="en-US" w:eastAsia="zh-CN"/>
              </w:rPr>
              <w:t>/</w:t>
            </w:r>
            <w:r>
              <w:rPr>
                <w:rFonts w:hint="default" w:ascii="Times New Roman" w:hAnsi="Times New Roman" w:cs="Times New Roman"/>
                <w:spacing w:val="6"/>
                <w:sz w:val="24"/>
                <w:highlight w:val="none"/>
              </w:rPr>
              <w:t>a</w:t>
            </w:r>
            <w:r>
              <w:rPr>
                <w:rFonts w:hint="default" w:ascii="Times New Roman" w:hAnsi="Times New Roman" w:cs="Times New Roman"/>
                <w:spacing w:val="6"/>
                <w:sz w:val="24"/>
                <w:highlight w:val="none"/>
                <w:lang w:eastAsia="zh-CN"/>
              </w:rPr>
              <w:t>，</w:t>
            </w:r>
            <w:r>
              <w:rPr>
                <w:rFonts w:hint="default" w:ascii="Times New Roman" w:hAnsi="Times New Roman" w:cs="Times New Roman"/>
                <w:spacing w:val="6"/>
                <w:sz w:val="24"/>
                <w:highlight w:val="none"/>
                <w:lang w:val="en-US" w:eastAsia="zh-CN"/>
              </w:rPr>
              <w:t>可用于建材、燃料替代、有机肥利用等，外售给专业企业。</w:t>
            </w:r>
          </w:p>
          <w:p w14:paraId="5AA59742">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食堂隔油池废油脂</w:t>
            </w:r>
          </w:p>
          <w:p w14:paraId="03F163BC">
            <w:pPr>
              <w:ind w:firstLine="48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本项目生活污水中动植物油的产生量为0.017</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经隔油池处理后（处理效率85%），即</w:t>
            </w:r>
            <w:r>
              <w:rPr>
                <w:rFonts w:hint="default" w:ascii="Times New Roman" w:hAnsi="Times New Roman" w:cs="Times New Roman"/>
                <w:color w:val="auto"/>
                <w:sz w:val="24"/>
                <w:szCs w:val="24"/>
                <w:highlight w:val="none"/>
                <w:lang w:val="en-US" w:eastAsia="zh-CN"/>
              </w:rPr>
              <w:t>经隔油池沉淀后产生的废油脂约0.014t/a，</w:t>
            </w:r>
            <w:r>
              <w:rPr>
                <w:rFonts w:hint="default" w:ascii="Times New Roman" w:hAnsi="Times New Roman" w:eastAsia="宋体" w:cs="Times New Roman"/>
                <w:color w:val="auto"/>
                <w:sz w:val="24"/>
                <w:szCs w:val="24"/>
                <w:highlight w:val="none"/>
              </w:rPr>
              <w:t>暂存于</w:t>
            </w:r>
            <w:r>
              <w:rPr>
                <w:rFonts w:hint="default" w:ascii="Times New Roman" w:hAnsi="Times New Roman" w:eastAsia="宋体" w:cs="Times New Roman"/>
                <w:color w:val="auto"/>
                <w:sz w:val="24"/>
                <w:szCs w:val="24"/>
                <w:highlight w:val="none"/>
                <w:lang w:val="en-US" w:eastAsia="zh-CN"/>
              </w:rPr>
              <w:t>一般固体废物</w:t>
            </w:r>
            <w:r>
              <w:rPr>
                <w:rFonts w:hint="default" w:ascii="Times New Roman" w:hAnsi="Times New Roman" w:eastAsia="宋体" w:cs="Times New Roman"/>
                <w:color w:val="auto"/>
                <w:sz w:val="24"/>
                <w:szCs w:val="24"/>
                <w:highlight w:val="none"/>
              </w:rPr>
              <w:t>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单独分区存放，分类集中收集后交由</w:t>
            </w:r>
            <w:r>
              <w:rPr>
                <w:rFonts w:hint="default" w:ascii="Times New Roman" w:hAnsi="Times New Roman" w:eastAsia="宋体" w:cs="Times New Roman"/>
                <w:color w:val="auto"/>
                <w:sz w:val="24"/>
                <w:szCs w:val="24"/>
                <w:highlight w:val="none"/>
                <w:lang w:val="en-US" w:eastAsia="zh-CN"/>
              </w:rPr>
              <w:t>许可</w:t>
            </w:r>
            <w:r>
              <w:rPr>
                <w:rFonts w:hint="default" w:ascii="Times New Roman" w:hAnsi="Times New Roman" w:eastAsia="宋体" w:cs="Times New Roman"/>
                <w:color w:val="auto"/>
                <w:sz w:val="24"/>
                <w:szCs w:val="24"/>
                <w:highlight w:val="none"/>
              </w:rPr>
              <w:t>单位进行处置</w:t>
            </w:r>
            <w:r>
              <w:rPr>
                <w:rFonts w:hint="default" w:ascii="Times New Roman" w:hAnsi="Times New Roman" w:cs="Times New Roman"/>
                <w:color w:val="auto"/>
                <w:sz w:val="24"/>
                <w:szCs w:val="24"/>
                <w:highlight w:val="none"/>
                <w:lang w:val="en-US" w:eastAsia="zh-CN"/>
              </w:rPr>
              <w:t>。</w:t>
            </w:r>
          </w:p>
          <w:p w14:paraId="39C9E756">
            <w:pPr>
              <w:pStyle w:val="74"/>
              <w:spacing w:line="220" w:lineRule="auto"/>
              <w:rPr>
                <w:rFonts w:hint="default" w:ascii="Times New Roman" w:hAnsi="Times New Roman" w:eastAsia="宋体" w:cs="Times New Roman"/>
                <w:b/>
                <w:bCs/>
                <w:spacing w:val="-2"/>
                <w:lang w:val="en-US" w:eastAsia="zh-CN"/>
              </w:rPr>
            </w:pPr>
            <w:r>
              <w:rPr>
                <w:rFonts w:hint="default" w:ascii="Times New Roman" w:hAnsi="Times New Roman" w:eastAsia="宋体" w:cs="Times New Roman"/>
                <w:b/>
                <w:bCs/>
                <w:spacing w:val="-2"/>
                <w:lang w:val="en-US" w:eastAsia="zh-CN"/>
              </w:rPr>
              <w:t>5.2生活垃圾</w:t>
            </w:r>
          </w:p>
          <w:p w14:paraId="11EE42CE">
            <w:pPr>
              <w:pStyle w:val="74"/>
              <w:spacing w:before="202" w:line="369" w:lineRule="auto"/>
              <w:ind w:left="103" w:right="95" w:firstLine="479"/>
              <w:rPr>
                <w:rFonts w:hint="default" w:ascii="Times New Roman" w:hAnsi="Times New Roman" w:cs="Times New Roman"/>
                <w:spacing w:val="-2"/>
              </w:rPr>
            </w:pPr>
            <w:r>
              <w:rPr>
                <w:rFonts w:hint="default" w:ascii="Times New Roman" w:hAnsi="Times New Roman" w:cs="Times New Roman"/>
              </w:rPr>
              <w:t>本项目劳动定员</w:t>
            </w:r>
            <w:r>
              <w:rPr>
                <w:rFonts w:hint="default" w:ascii="Times New Roman" w:hAnsi="Times New Roman" w:eastAsia="宋体" w:cs="Times New Roman"/>
                <w:lang w:val="en-US" w:eastAsia="zh-CN"/>
              </w:rPr>
              <w:t>140</w:t>
            </w:r>
            <w:r>
              <w:rPr>
                <w:rFonts w:hint="default" w:ascii="Times New Roman" w:hAnsi="Times New Roman" w:cs="Times New Roman"/>
              </w:rPr>
              <w:t>人，生活垃圾产生量按照</w:t>
            </w:r>
            <w:r>
              <w:rPr>
                <w:rFonts w:hint="default" w:ascii="Times New Roman" w:hAnsi="Times New Roman" w:eastAsia="Times New Roman" w:cs="Times New Roman"/>
              </w:rPr>
              <w:t>0.5kg/</w:t>
            </w:r>
            <w:r>
              <w:rPr>
                <w:rFonts w:hint="default" w:ascii="Times New Roman" w:hAnsi="Times New Roman" w:cs="Times New Roman"/>
              </w:rPr>
              <w:t>人</w:t>
            </w:r>
            <w:r>
              <w:rPr>
                <w:rFonts w:hint="default" w:ascii="Times New Roman" w:hAnsi="Times New Roman" w:eastAsia="Times New Roman" w:cs="Times New Roman"/>
              </w:rPr>
              <w:t>·</w:t>
            </w:r>
            <w:r>
              <w:rPr>
                <w:rFonts w:hint="default" w:ascii="Times New Roman" w:hAnsi="Times New Roman" w:cs="Times New Roman"/>
              </w:rPr>
              <w:t>天计算，生活</w:t>
            </w:r>
            <w:r>
              <w:rPr>
                <w:rFonts w:hint="default" w:ascii="Times New Roman" w:hAnsi="Times New Roman" w:cs="Times New Roman"/>
                <w:spacing w:val="-1"/>
              </w:rPr>
              <w:t>垃圾年产</w:t>
            </w:r>
            <w:r>
              <w:rPr>
                <w:rFonts w:hint="default" w:ascii="Times New Roman" w:hAnsi="Times New Roman" w:cs="Times New Roman"/>
                <w:spacing w:val="-2"/>
              </w:rPr>
              <w:t>生量为</w:t>
            </w:r>
            <w:r>
              <w:rPr>
                <w:rFonts w:hint="default" w:ascii="Times New Roman" w:hAnsi="Times New Roman" w:cs="Times New Roman"/>
                <w:spacing w:val="-2"/>
                <w:lang w:val="en-US" w:eastAsia="zh-CN"/>
              </w:rPr>
              <w:t>2.1</w:t>
            </w:r>
            <w:r>
              <w:rPr>
                <w:rFonts w:hint="default" w:ascii="Times New Roman" w:hAnsi="Times New Roman" w:eastAsia="Times New Roman" w:cs="Times New Roman"/>
                <w:spacing w:val="-2"/>
              </w:rPr>
              <w:t>t/a</w:t>
            </w:r>
            <w:r>
              <w:rPr>
                <w:rFonts w:hint="default" w:ascii="Times New Roman" w:hAnsi="Times New Roman" w:cs="Times New Roman"/>
                <w:spacing w:val="-2"/>
              </w:rPr>
              <w:t>。</w:t>
            </w:r>
          </w:p>
          <w:p w14:paraId="78C3D738">
            <w:pPr>
              <w:pStyle w:val="74"/>
              <w:spacing w:line="220" w:lineRule="auto"/>
              <w:rPr>
                <w:rFonts w:hint="default" w:ascii="Times New Roman" w:hAnsi="Times New Roman" w:eastAsia="宋体" w:cs="Times New Roman"/>
                <w:b/>
                <w:bCs/>
                <w:spacing w:val="-2"/>
                <w:lang w:val="en-US" w:eastAsia="zh-CN"/>
              </w:rPr>
            </w:pPr>
            <w:r>
              <w:rPr>
                <w:rFonts w:hint="default" w:ascii="Times New Roman" w:hAnsi="Times New Roman" w:eastAsia="宋体" w:cs="Times New Roman"/>
                <w:b/>
                <w:bCs/>
                <w:spacing w:val="-2"/>
                <w:lang w:val="en-US" w:eastAsia="zh-CN"/>
              </w:rPr>
              <w:t>5.3危险废物</w:t>
            </w:r>
          </w:p>
          <w:p w14:paraId="2C86B88E">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）废机油</w:t>
            </w:r>
          </w:p>
          <w:p w14:paraId="723571B9">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本项目设备维修过程会产生废机油，根据建设单位提供的资料，废机油产生量</w:t>
            </w:r>
            <w:r>
              <w:rPr>
                <w:rFonts w:hint="default" w:ascii="Times New Roman" w:hAnsi="Times New Roman" w:cs="Times New Roman"/>
                <w:color w:val="auto"/>
                <w:sz w:val="24"/>
                <w:szCs w:val="24"/>
                <w:highlight w:val="none"/>
                <w:lang w:val="en-US" w:eastAsia="zh-CN"/>
              </w:rPr>
              <w:t>为0.5</w:t>
            </w:r>
            <w:r>
              <w:rPr>
                <w:rFonts w:hint="default" w:ascii="Times New Roman" w:hAnsi="Times New Roman" w:eastAsia="宋体" w:cs="Times New Roman"/>
                <w:color w:val="auto"/>
                <w:sz w:val="24"/>
                <w:szCs w:val="24"/>
                <w:highlight w:val="none"/>
              </w:rPr>
              <w:t>t/a。本项目维修过程中产生的废机油属于危险废物（HW08非特定行业900-214-08车辆、轮船及其它机械维修过程中产生的废发动机油、制动器油、自动变速器油、齿轮油等废润滑油）。暂存于危废暂存间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单独分区存放，分类集中收集后交由有危险废物</w:t>
            </w:r>
            <w:r>
              <w:rPr>
                <w:rFonts w:hint="default" w:ascii="Times New Roman" w:hAnsi="Times New Roman" w:eastAsia="宋体" w:cs="Times New Roman"/>
                <w:color w:val="auto"/>
                <w:sz w:val="24"/>
                <w:szCs w:val="24"/>
                <w:highlight w:val="none"/>
                <w:lang w:eastAsia="zh-CN"/>
              </w:rPr>
              <w:t>处置资质</w:t>
            </w:r>
            <w:r>
              <w:rPr>
                <w:rFonts w:hint="default" w:ascii="Times New Roman" w:hAnsi="Times New Roman" w:eastAsia="宋体" w:cs="Times New Roman"/>
                <w:color w:val="auto"/>
                <w:sz w:val="24"/>
                <w:szCs w:val="24"/>
                <w:highlight w:val="none"/>
              </w:rPr>
              <w:t>的单位进行处置</w:t>
            </w:r>
            <w:r>
              <w:rPr>
                <w:rFonts w:hint="default" w:ascii="Times New Roman" w:hAnsi="Times New Roman" w:eastAsia="宋体" w:cs="Times New Roman"/>
                <w:color w:val="auto"/>
                <w:sz w:val="24"/>
                <w:szCs w:val="24"/>
                <w:highlight w:val="none"/>
                <w:lang w:eastAsia="zh-CN"/>
              </w:rPr>
              <w:t>。</w:t>
            </w:r>
          </w:p>
          <w:p w14:paraId="1258FE7F">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废油桶及含油抹布</w:t>
            </w:r>
          </w:p>
          <w:p w14:paraId="0F6DA36E">
            <w:pPr>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32"/>
                <w:highlight w:val="none"/>
                <w:lang w:val="en-US" w:eastAsia="zh-CN"/>
              </w:rPr>
              <w:t>本项目运行期间产生废油桶及</w:t>
            </w:r>
            <w:r>
              <w:rPr>
                <w:rFonts w:hint="default" w:ascii="Times New Roman" w:hAnsi="Times New Roman" w:cs="Times New Roman"/>
                <w:color w:val="auto"/>
                <w:sz w:val="24"/>
                <w:szCs w:val="24"/>
                <w:highlight w:val="none"/>
                <w:lang w:val="en-US" w:eastAsia="zh-CN"/>
              </w:rPr>
              <w:t>含油抹布，危废代码为900-041-49，年最大产生量为0.3t。</w:t>
            </w:r>
            <w:r>
              <w:rPr>
                <w:rFonts w:hint="default" w:ascii="Times New Roman" w:hAnsi="Times New Roman" w:eastAsia="宋体" w:cs="Times New Roman"/>
                <w:color w:val="auto"/>
                <w:sz w:val="24"/>
                <w:szCs w:val="24"/>
                <w:highlight w:val="none"/>
              </w:rPr>
              <w:t>暂存于危废暂存间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单独分区存放，分类集中收集后交由有危险废物</w:t>
            </w:r>
            <w:r>
              <w:rPr>
                <w:rFonts w:hint="default" w:ascii="Times New Roman" w:hAnsi="Times New Roman" w:eastAsia="宋体" w:cs="Times New Roman"/>
                <w:color w:val="auto"/>
                <w:sz w:val="24"/>
                <w:szCs w:val="24"/>
                <w:highlight w:val="none"/>
                <w:lang w:eastAsia="zh-CN"/>
              </w:rPr>
              <w:t>处置资质</w:t>
            </w:r>
            <w:r>
              <w:rPr>
                <w:rFonts w:hint="default" w:ascii="Times New Roman" w:hAnsi="Times New Roman" w:eastAsia="宋体" w:cs="Times New Roman"/>
                <w:color w:val="auto"/>
                <w:sz w:val="24"/>
                <w:szCs w:val="24"/>
                <w:highlight w:val="none"/>
              </w:rPr>
              <w:t>的单位进行处置</w:t>
            </w:r>
            <w:r>
              <w:rPr>
                <w:rFonts w:hint="default" w:ascii="Times New Roman" w:hAnsi="Times New Roman" w:eastAsia="宋体" w:cs="Times New Roman"/>
                <w:color w:val="auto"/>
                <w:sz w:val="24"/>
                <w:szCs w:val="24"/>
                <w:highlight w:val="none"/>
                <w:lang w:eastAsia="zh-CN"/>
              </w:rPr>
              <w:t>。</w:t>
            </w:r>
          </w:p>
          <w:p w14:paraId="7027E389">
            <w:pPr>
              <w:pStyle w:val="74"/>
              <w:spacing w:before="91" w:line="228" w:lineRule="auto"/>
              <w:ind w:left="0" w:leftChars="0" w:firstLine="0" w:firstLineChars="0"/>
              <w:jc w:val="center"/>
              <w:rPr>
                <w:rFonts w:hint="default" w:ascii="Times New Roman" w:hAnsi="Times New Roman" w:cs="Times New Roman"/>
                <w:b/>
                <w:bCs/>
                <w:spacing w:val="5"/>
                <w:sz w:val="20"/>
                <w:szCs w:val="20"/>
                <w:highlight w:val="none"/>
              </w:rPr>
            </w:pPr>
            <w:r>
              <w:rPr>
                <w:rFonts w:hint="default" w:ascii="Times New Roman" w:hAnsi="Times New Roman" w:cs="Times New Roman"/>
                <w:b/>
                <w:bCs/>
                <w:spacing w:val="5"/>
                <w:sz w:val="20"/>
                <w:szCs w:val="20"/>
                <w:highlight w:val="none"/>
              </w:rPr>
              <w:t>表</w:t>
            </w:r>
            <w:r>
              <w:rPr>
                <w:rFonts w:hint="default" w:ascii="Times New Roman" w:hAnsi="Times New Roman" w:eastAsia="Times New Roman" w:cs="Times New Roman"/>
                <w:b/>
                <w:bCs/>
                <w:spacing w:val="5"/>
                <w:sz w:val="20"/>
                <w:szCs w:val="20"/>
                <w:highlight w:val="none"/>
              </w:rPr>
              <w:t>4-</w:t>
            </w:r>
            <w:r>
              <w:rPr>
                <w:rFonts w:hint="default" w:ascii="Times New Roman" w:hAnsi="Times New Roman" w:cs="Times New Roman"/>
                <w:b/>
                <w:bCs/>
                <w:spacing w:val="5"/>
                <w:sz w:val="20"/>
                <w:szCs w:val="20"/>
                <w:highlight w:val="none"/>
                <w:lang w:val="en-US" w:eastAsia="zh-CN"/>
              </w:rPr>
              <w:t>10</w:t>
            </w:r>
            <w:r>
              <w:rPr>
                <w:rFonts w:hint="default" w:ascii="Times New Roman" w:hAnsi="Times New Roman" w:eastAsia="Times New Roman" w:cs="Times New Roman"/>
                <w:b/>
                <w:bCs/>
                <w:spacing w:val="5"/>
                <w:sz w:val="20"/>
                <w:szCs w:val="20"/>
                <w:highlight w:val="none"/>
              </w:rPr>
              <w:t xml:space="preserve">   </w:t>
            </w:r>
            <w:r>
              <w:rPr>
                <w:rFonts w:hint="default" w:ascii="Times New Roman" w:hAnsi="Times New Roman" w:cs="Times New Roman"/>
                <w:b/>
                <w:bCs/>
                <w:spacing w:val="5"/>
                <w:sz w:val="20"/>
                <w:szCs w:val="20"/>
                <w:highlight w:val="none"/>
              </w:rPr>
              <w:t>项目固废产排情况一览表</w:t>
            </w:r>
          </w:p>
          <w:tbl>
            <w:tblPr>
              <w:tblStyle w:val="29"/>
              <w:tblW w:w="825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59"/>
              <w:gridCol w:w="796"/>
              <w:gridCol w:w="840"/>
              <w:gridCol w:w="941"/>
              <w:gridCol w:w="696"/>
              <w:gridCol w:w="695"/>
              <w:gridCol w:w="750"/>
              <w:gridCol w:w="914"/>
              <w:gridCol w:w="1258"/>
            </w:tblGrid>
            <w:tr w14:paraId="7A096F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06" w:type="dxa"/>
                  <w:shd w:val="clear" w:color="auto" w:fill="auto"/>
                  <w:vAlign w:val="center"/>
                </w:tcPr>
                <w:p w14:paraId="705D04A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59" w:type="dxa"/>
                  <w:shd w:val="clear" w:color="auto" w:fill="auto"/>
                  <w:vAlign w:val="center"/>
                </w:tcPr>
                <w:p w14:paraId="7DA8AB17">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796" w:type="dxa"/>
                  <w:shd w:val="clear" w:color="auto" w:fill="auto"/>
                  <w:vAlign w:val="center"/>
                </w:tcPr>
                <w:p w14:paraId="444888D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产生量</w:t>
                  </w:r>
                  <w:r>
                    <w:rPr>
                      <w:rFonts w:hint="default" w:ascii="Times New Roman" w:hAnsi="Times New Roman" w:eastAsia="宋体" w:cs="Times New Roman"/>
                      <w:color w:val="auto"/>
                      <w:sz w:val="21"/>
                      <w:szCs w:val="21"/>
                      <w:highlight w:val="none"/>
                      <w:lang w:val="en-US" w:eastAsia="zh-CN"/>
                    </w:rPr>
                    <w:t>t/a</w:t>
                  </w:r>
                </w:p>
              </w:tc>
              <w:tc>
                <w:tcPr>
                  <w:tcW w:w="840" w:type="dxa"/>
                  <w:shd w:val="clear" w:color="auto" w:fill="auto"/>
                  <w:vAlign w:val="center"/>
                </w:tcPr>
                <w:p w14:paraId="129F9529">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w:t>
                  </w:r>
                </w:p>
              </w:tc>
              <w:tc>
                <w:tcPr>
                  <w:tcW w:w="941" w:type="dxa"/>
                  <w:shd w:val="clear" w:color="auto" w:fill="auto"/>
                  <w:vAlign w:val="center"/>
                </w:tcPr>
                <w:p w14:paraId="552CAA3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危险废物编号</w:t>
                  </w:r>
                </w:p>
              </w:tc>
              <w:tc>
                <w:tcPr>
                  <w:tcW w:w="696" w:type="dxa"/>
                  <w:shd w:val="clear" w:color="auto" w:fill="auto"/>
                  <w:vAlign w:val="center"/>
                </w:tcPr>
                <w:p w14:paraId="513FA6C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物理形态</w:t>
                  </w:r>
                </w:p>
              </w:tc>
              <w:tc>
                <w:tcPr>
                  <w:tcW w:w="695" w:type="dxa"/>
                  <w:shd w:val="clear" w:color="auto" w:fill="auto"/>
                  <w:vAlign w:val="center"/>
                </w:tcPr>
                <w:p w14:paraId="5C97A57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w:t>
                  </w:r>
                </w:p>
              </w:tc>
              <w:tc>
                <w:tcPr>
                  <w:tcW w:w="750" w:type="dxa"/>
                  <w:shd w:val="clear" w:color="auto" w:fill="auto"/>
                  <w:vAlign w:val="center"/>
                </w:tcPr>
                <w:p w14:paraId="3C3945B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贮存方式</w:t>
                  </w:r>
                </w:p>
              </w:tc>
              <w:tc>
                <w:tcPr>
                  <w:tcW w:w="914" w:type="dxa"/>
                  <w:shd w:val="clear" w:color="auto" w:fill="auto"/>
                  <w:vAlign w:val="center"/>
                </w:tcPr>
                <w:p w14:paraId="7B68422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利用处置方式和去向</w:t>
                  </w:r>
                </w:p>
              </w:tc>
              <w:tc>
                <w:tcPr>
                  <w:tcW w:w="1258" w:type="dxa"/>
                  <w:shd w:val="clear" w:color="auto" w:fill="auto"/>
                  <w:vAlign w:val="center"/>
                </w:tcPr>
                <w:p w14:paraId="404D8A5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环境管理要求</w:t>
                  </w:r>
                </w:p>
              </w:tc>
            </w:tr>
            <w:tr w14:paraId="6DD68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06" w:type="dxa"/>
                  <w:shd w:val="clear" w:color="auto" w:fill="auto"/>
                  <w:vAlign w:val="center"/>
                </w:tcPr>
                <w:p w14:paraId="50AA0B69">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59" w:type="dxa"/>
                  <w:shd w:val="clear" w:color="auto" w:fill="auto"/>
                  <w:vAlign w:val="center"/>
                </w:tcPr>
                <w:p w14:paraId="2330CD7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796" w:type="dxa"/>
                  <w:shd w:val="clear" w:color="auto" w:fill="auto"/>
                  <w:vAlign w:val="center"/>
                </w:tcPr>
                <w:p w14:paraId="241E6B86">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840" w:type="dxa"/>
                  <w:shd w:val="clear" w:color="auto" w:fill="auto"/>
                  <w:vAlign w:val="center"/>
                </w:tcPr>
                <w:p w14:paraId="30BB303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41" w:type="dxa"/>
                  <w:shd w:val="clear" w:color="auto" w:fill="auto"/>
                  <w:vAlign w:val="center"/>
                </w:tcPr>
                <w:p w14:paraId="24B9DC27">
                  <w:pPr>
                    <w:pStyle w:val="47"/>
                    <w:rPr>
                      <w:rFonts w:hint="default" w:ascii="Times New Roman" w:hAnsi="Times New Roman" w:eastAsia="宋体" w:cs="Times New Roman"/>
                      <w:color w:val="auto"/>
                      <w:sz w:val="21"/>
                      <w:szCs w:val="21"/>
                      <w:highlight w:val="none"/>
                    </w:rPr>
                  </w:pPr>
                  <w:r>
                    <w:rPr>
                      <w:rFonts w:hint="default" w:ascii="Times New Roman" w:hAnsi="Times New Roman" w:cs="Times New Roman"/>
                      <w:spacing w:val="-6"/>
                      <w:sz w:val="21"/>
                      <w:szCs w:val="21"/>
                      <w:highlight w:val="none"/>
                    </w:rPr>
                    <w:t>900-001-S64</w:t>
                  </w:r>
                </w:p>
              </w:tc>
              <w:tc>
                <w:tcPr>
                  <w:tcW w:w="696" w:type="dxa"/>
                  <w:shd w:val="clear" w:color="auto" w:fill="auto"/>
                  <w:vAlign w:val="center"/>
                </w:tcPr>
                <w:p w14:paraId="56E4BEB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0A9542A6">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750" w:type="dxa"/>
                  <w:vMerge w:val="restart"/>
                  <w:shd w:val="clear" w:color="auto" w:fill="auto"/>
                  <w:vAlign w:val="center"/>
                </w:tcPr>
                <w:p w14:paraId="07B32DF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集中收集</w:t>
                  </w:r>
                </w:p>
              </w:tc>
              <w:tc>
                <w:tcPr>
                  <w:tcW w:w="914" w:type="dxa"/>
                  <w:shd w:val="clear" w:color="auto" w:fill="auto"/>
                  <w:vAlign w:val="center"/>
                </w:tcPr>
                <w:p w14:paraId="015F5D1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交由环卫部门处理</w:t>
                  </w:r>
                </w:p>
              </w:tc>
              <w:tc>
                <w:tcPr>
                  <w:tcW w:w="1258" w:type="dxa"/>
                  <w:vMerge w:val="restart"/>
                  <w:shd w:val="clear" w:color="auto" w:fill="auto"/>
                  <w:vAlign w:val="center"/>
                </w:tcPr>
                <w:p w14:paraId="23B4A74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FFE9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06" w:type="dxa"/>
                  <w:shd w:val="clear" w:color="auto" w:fill="auto"/>
                  <w:vAlign w:val="center"/>
                </w:tcPr>
                <w:p w14:paraId="57003EC7">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59" w:type="dxa"/>
                  <w:shd w:val="clear" w:color="auto" w:fill="auto"/>
                  <w:vAlign w:val="center"/>
                </w:tcPr>
                <w:p w14:paraId="3F5270D6">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废铜</w:t>
                  </w:r>
                </w:p>
              </w:tc>
              <w:tc>
                <w:tcPr>
                  <w:tcW w:w="796" w:type="dxa"/>
                  <w:shd w:val="clear" w:color="auto" w:fill="auto"/>
                  <w:vAlign w:val="center"/>
                </w:tcPr>
                <w:p w14:paraId="49492BE6">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w:t>
                  </w:r>
                </w:p>
              </w:tc>
              <w:tc>
                <w:tcPr>
                  <w:tcW w:w="840" w:type="dxa"/>
                  <w:vMerge w:val="restart"/>
                  <w:shd w:val="clear" w:color="auto" w:fill="auto"/>
                  <w:vAlign w:val="center"/>
                </w:tcPr>
                <w:p w14:paraId="0BDD13E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一般固体废物</w:t>
                  </w:r>
                </w:p>
              </w:tc>
              <w:tc>
                <w:tcPr>
                  <w:tcW w:w="941" w:type="dxa"/>
                  <w:shd w:val="clear" w:color="auto" w:fill="auto"/>
                  <w:vAlign w:val="center"/>
                </w:tcPr>
                <w:p w14:paraId="38003E5A">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900-099-S06</w:t>
                  </w:r>
                </w:p>
              </w:tc>
              <w:tc>
                <w:tcPr>
                  <w:tcW w:w="696" w:type="dxa"/>
                  <w:shd w:val="clear" w:color="auto" w:fill="auto"/>
                  <w:vAlign w:val="center"/>
                </w:tcPr>
                <w:p w14:paraId="3372C30D">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587D0E88">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750" w:type="dxa"/>
                  <w:vMerge w:val="continue"/>
                  <w:vAlign w:val="center"/>
                </w:tcPr>
                <w:p w14:paraId="435945E3">
                  <w:pPr>
                    <w:pStyle w:val="47"/>
                    <w:rPr>
                      <w:rFonts w:hint="default" w:ascii="Times New Roman" w:hAnsi="Times New Roman" w:eastAsia="宋体" w:cs="Times New Roman"/>
                      <w:color w:val="auto"/>
                      <w:sz w:val="21"/>
                      <w:szCs w:val="21"/>
                      <w:highlight w:val="none"/>
                    </w:rPr>
                  </w:pPr>
                </w:p>
              </w:tc>
              <w:tc>
                <w:tcPr>
                  <w:tcW w:w="914" w:type="dxa"/>
                  <w:vMerge w:val="restart"/>
                  <w:shd w:val="clear" w:color="auto" w:fill="auto"/>
                  <w:vAlign w:val="center"/>
                </w:tcPr>
                <w:p w14:paraId="096955CB">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废品回收单位</w:t>
                  </w:r>
                </w:p>
              </w:tc>
              <w:tc>
                <w:tcPr>
                  <w:tcW w:w="1258" w:type="dxa"/>
                  <w:vMerge w:val="continue"/>
                  <w:vAlign w:val="center"/>
                </w:tcPr>
                <w:p w14:paraId="37F98D4E">
                  <w:pPr>
                    <w:pStyle w:val="47"/>
                    <w:rPr>
                      <w:rFonts w:hint="default" w:ascii="Times New Roman" w:hAnsi="Times New Roman" w:eastAsia="宋体" w:cs="Times New Roman"/>
                      <w:color w:val="auto"/>
                      <w:sz w:val="21"/>
                      <w:szCs w:val="21"/>
                      <w:highlight w:val="none"/>
                    </w:rPr>
                  </w:pPr>
                </w:p>
              </w:tc>
            </w:tr>
            <w:tr w14:paraId="6D1384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06" w:type="dxa"/>
                  <w:shd w:val="clear" w:color="auto" w:fill="auto"/>
                  <w:vAlign w:val="center"/>
                </w:tcPr>
                <w:p w14:paraId="20207AB7">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59" w:type="dxa"/>
                  <w:shd w:val="clear" w:color="auto" w:fill="auto"/>
                  <w:vAlign w:val="center"/>
                </w:tcPr>
                <w:p w14:paraId="4B5AC3D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钢渣</w:t>
                  </w:r>
                </w:p>
              </w:tc>
              <w:tc>
                <w:tcPr>
                  <w:tcW w:w="796" w:type="dxa"/>
                  <w:shd w:val="clear" w:color="auto" w:fill="auto"/>
                  <w:vAlign w:val="center"/>
                </w:tcPr>
                <w:p w14:paraId="7C74B2AF">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28800</w:t>
                  </w:r>
                </w:p>
              </w:tc>
              <w:tc>
                <w:tcPr>
                  <w:tcW w:w="840" w:type="dxa"/>
                  <w:vMerge w:val="continue"/>
                  <w:shd w:val="clear" w:color="auto" w:fill="auto"/>
                  <w:vAlign w:val="center"/>
                </w:tcPr>
                <w:p w14:paraId="0E1E00BB">
                  <w:pPr>
                    <w:pStyle w:val="47"/>
                    <w:rPr>
                      <w:rFonts w:hint="default" w:ascii="Times New Roman" w:hAnsi="Times New Roman" w:eastAsia="宋体" w:cs="Times New Roman"/>
                      <w:color w:val="auto"/>
                      <w:sz w:val="21"/>
                      <w:szCs w:val="21"/>
                      <w:highlight w:val="none"/>
                    </w:rPr>
                  </w:pPr>
                </w:p>
              </w:tc>
              <w:tc>
                <w:tcPr>
                  <w:tcW w:w="941" w:type="dxa"/>
                  <w:shd w:val="clear" w:color="auto" w:fill="auto"/>
                  <w:vAlign w:val="center"/>
                </w:tcPr>
                <w:p w14:paraId="097C2B37">
                  <w:pPr>
                    <w:pStyle w:val="47"/>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900-099-S01</w:t>
                  </w:r>
                </w:p>
              </w:tc>
              <w:tc>
                <w:tcPr>
                  <w:tcW w:w="696" w:type="dxa"/>
                  <w:shd w:val="clear" w:color="auto" w:fill="auto"/>
                  <w:vAlign w:val="center"/>
                </w:tcPr>
                <w:p w14:paraId="3E403B8D">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2B559D9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p>
              </w:tc>
              <w:tc>
                <w:tcPr>
                  <w:tcW w:w="750" w:type="dxa"/>
                  <w:vMerge w:val="continue"/>
                  <w:vAlign w:val="center"/>
                </w:tcPr>
                <w:p w14:paraId="37976201">
                  <w:pPr>
                    <w:pStyle w:val="47"/>
                    <w:rPr>
                      <w:rFonts w:hint="default" w:ascii="Times New Roman" w:hAnsi="Times New Roman" w:eastAsia="宋体" w:cs="Times New Roman"/>
                      <w:color w:val="auto"/>
                      <w:sz w:val="21"/>
                      <w:szCs w:val="21"/>
                      <w:highlight w:val="none"/>
                    </w:rPr>
                  </w:pPr>
                </w:p>
              </w:tc>
              <w:tc>
                <w:tcPr>
                  <w:tcW w:w="914" w:type="dxa"/>
                  <w:vMerge w:val="continue"/>
                  <w:shd w:val="clear" w:color="auto" w:fill="auto"/>
                  <w:vAlign w:val="center"/>
                </w:tcPr>
                <w:p w14:paraId="4EACA51D">
                  <w:pPr>
                    <w:pStyle w:val="47"/>
                    <w:rPr>
                      <w:rFonts w:hint="default" w:ascii="Times New Roman" w:hAnsi="Times New Roman" w:eastAsia="宋体" w:cs="Times New Roman"/>
                      <w:color w:val="auto"/>
                      <w:sz w:val="21"/>
                      <w:szCs w:val="21"/>
                      <w:highlight w:val="none"/>
                      <w:lang w:val="en-US" w:eastAsia="zh-CN"/>
                    </w:rPr>
                  </w:pPr>
                </w:p>
              </w:tc>
              <w:tc>
                <w:tcPr>
                  <w:tcW w:w="1258" w:type="dxa"/>
                  <w:vMerge w:val="continue"/>
                  <w:vAlign w:val="center"/>
                </w:tcPr>
                <w:p w14:paraId="23BD2AAE">
                  <w:pPr>
                    <w:pStyle w:val="47"/>
                    <w:rPr>
                      <w:rFonts w:hint="default" w:ascii="Times New Roman" w:hAnsi="Times New Roman" w:eastAsia="宋体" w:cs="Times New Roman"/>
                      <w:color w:val="auto"/>
                      <w:sz w:val="21"/>
                      <w:szCs w:val="21"/>
                      <w:highlight w:val="none"/>
                    </w:rPr>
                  </w:pPr>
                </w:p>
              </w:tc>
            </w:tr>
            <w:tr w14:paraId="7F352D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06" w:type="dxa"/>
                  <w:shd w:val="clear" w:color="auto" w:fill="auto"/>
                  <w:vAlign w:val="center"/>
                </w:tcPr>
                <w:p w14:paraId="6AFB754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859" w:type="dxa"/>
                  <w:shd w:val="clear" w:color="auto" w:fill="auto"/>
                  <w:vAlign w:val="center"/>
                </w:tcPr>
                <w:p w14:paraId="6369A09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废布袋</w:t>
                  </w:r>
                </w:p>
              </w:tc>
              <w:tc>
                <w:tcPr>
                  <w:tcW w:w="796" w:type="dxa"/>
                  <w:shd w:val="clear" w:color="auto" w:fill="auto"/>
                  <w:vAlign w:val="center"/>
                </w:tcPr>
                <w:p w14:paraId="18F8C0A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840" w:type="dxa"/>
                  <w:vMerge w:val="continue"/>
                  <w:shd w:val="clear" w:color="auto" w:fill="auto"/>
                  <w:vAlign w:val="center"/>
                </w:tcPr>
                <w:p w14:paraId="5ADBBC11">
                  <w:pPr>
                    <w:pStyle w:val="47"/>
                    <w:rPr>
                      <w:rFonts w:hint="default" w:ascii="Times New Roman" w:hAnsi="Times New Roman" w:eastAsia="宋体" w:cs="Times New Roman"/>
                      <w:color w:val="auto"/>
                      <w:sz w:val="21"/>
                      <w:szCs w:val="21"/>
                      <w:highlight w:val="none"/>
                    </w:rPr>
                  </w:pPr>
                </w:p>
              </w:tc>
              <w:tc>
                <w:tcPr>
                  <w:tcW w:w="941" w:type="dxa"/>
                  <w:shd w:val="clear" w:color="auto" w:fill="auto"/>
                  <w:vAlign w:val="center"/>
                </w:tcPr>
                <w:p w14:paraId="6F921A0D">
                  <w:pPr>
                    <w:pStyle w:val="47"/>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261-099-S59</w:t>
                  </w:r>
                </w:p>
              </w:tc>
              <w:tc>
                <w:tcPr>
                  <w:tcW w:w="696" w:type="dxa"/>
                  <w:shd w:val="clear" w:color="auto" w:fill="auto"/>
                  <w:vAlign w:val="center"/>
                </w:tcPr>
                <w:p w14:paraId="425B07DC">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4C73FB2E">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p>
              </w:tc>
              <w:tc>
                <w:tcPr>
                  <w:tcW w:w="750" w:type="dxa"/>
                  <w:vMerge w:val="continue"/>
                  <w:vAlign w:val="center"/>
                </w:tcPr>
                <w:p w14:paraId="25633B1B">
                  <w:pPr>
                    <w:pStyle w:val="47"/>
                    <w:rPr>
                      <w:rFonts w:hint="default" w:ascii="Times New Roman" w:hAnsi="Times New Roman" w:eastAsia="宋体" w:cs="Times New Roman"/>
                      <w:color w:val="auto"/>
                      <w:sz w:val="21"/>
                      <w:szCs w:val="21"/>
                      <w:highlight w:val="none"/>
                    </w:rPr>
                  </w:pPr>
                </w:p>
              </w:tc>
              <w:tc>
                <w:tcPr>
                  <w:tcW w:w="914" w:type="dxa"/>
                  <w:vMerge w:val="continue"/>
                  <w:shd w:val="clear" w:color="auto" w:fill="auto"/>
                  <w:vAlign w:val="center"/>
                </w:tcPr>
                <w:p w14:paraId="3FBCE6F2">
                  <w:pPr>
                    <w:pStyle w:val="47"/>
                    <w:rPr>
                      <w:rFonts w:hint="default" w:ascii="Times New Roman" w:hAnsi="Times New Roman" w:eastAsia="宋体" w:cs="Times New Roman"/>
                      <w:color w:val="auto"/>
                      <w:sz w:val="21"/>
                      <w:szCs w:val="21"/>
                      <w:highlight w:val="none"/>
                      <w:lang w:val="en-US" w:eastAsia="zh-CN"/>
                    </w:rPr>
                  </w:pPr>
                </w:p>
              </w:tc>
              <w:tc>
                <w:tcPr>
                  <w:tcW w:w="1258" w:type="dxa"/>
                  <w:vMerge w:val="continue"/>
                  <w:vAlign w:val="center"/>
                </w:tcPr>
                <w:p w14:paraId="1ED5EAB8">
                  <w:pPr>
                    <w:pStyle w:val="47"/>
                    <w:rPr>
                      <w:rFonts w:hint="default" w:ascii="Times New Roman" w:hAnsi="Times New Roman" w:eastAsia="宋体" w:cs="Times New Roman"/>
                      <w:color w:val="auto"/>
                      <w:sz w:val="21"/>
                      <w:szCs w:val="21"/>
                      <w:highlight w:val="none"/>
                    </w:rPr>
                  </w:pPr>
                </w:p>
              </w:tc>
            </w:tr>
            <w:tr w14:paraId="4D7BE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06" w:type="dxa"/>
                  <w:shd w:val="clear" w:color="auto" w:fill="auto"/>
                  <w:vAlign w:val="center"/>
                </w:tcPr>
                <w:p w14:paraId="5663E76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859" w:type="dxa"/>
                  <w:shd w:val="clear" w:color="auto" w:fill="auto"/>
                  <w:vAlign w:val="center"/>
                </w:tcPr>
                <w:p w14:paraId="693F0BD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布袋除尘器收集的粉尘</w:t>
                  </w:r>
                </w:p>
              </w:tc>
              <w:tc>
                <w:tcPr>
                  <w:tcW w:w="796" w:type="dxa"/>
                  <w:shd w:val="clear" w:color="auto" w:fill="auto"/>
                  <w:vAlign w:val="center"/>
                </w:tcPr>
                <w:p w14:paraId="1C3B56A7">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423.99</w:t>
                  </w:r>
                </w:p>
              </w:tc>
              <w:tc>
                <w:tcPr>
                  <w:tcW w:w="840" w:type="dxa"/>
                  <w:vMerge w:val="continue"/>
                  <w:shd w:val="clear" w:color="auto" w:fill="auto"/>
                  <w:vAlign w:val="center"/>
                </w:tcPr>
                <w:p w14:paraId="467075D8">
                  <w:pPr>
                    <w:pStyle w:val="47"/>
                    <w:rPr>
                      <w:rFonts w:hint="default" w:ascii="Times New Roman" w:hAnsi="Times New Roman" w:eastAsia="宋体" w:cs="Times New Roman"/>
                      <w:color w:val="auto"/>
                      <w:sz w:val="21"/>
                      <w:szCs w:val="21"/>
                      <w:highlight w:val="none"/>
                    </w:rPr>
                  </w:pPr>
                </w:p>
              </w:tc>
              <w:tc>
                <w:tcPr>
                  <w:tcW w:w="941" w:type="dxa"/>
                  <w:shd w:val="clear" w:color="auto" w:fill="auto"/>
                  <w:vAlign w:val="center"/>
                </w:tcPr>
                <w:p w14:paraId="4210E597">
                  <w:pPr>
                    <w:pStyle w:val="47"/>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261-099-S01</w:t>
                  </w:r>
                </w:p>
              </w:tc>
              <w:tc>
                <w:tcPr>
                  <w:tcW w:w="696" w:type="dxa"/>
                  <w:shd w:val="clear" w:color="auto" w:fill="auto"/>
                  <w:vAlign w:val="center"/>
                </w:tcPr>
                <w:p w14:paraId="62B0DE0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0D8BEB6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750" w:type="dxa"/>
                  <w:vMerge w:val="continue"/>
                  <w:vAlign w:val="center"/>
                </w:tcPr>
                <w:p w14:paraId="62F6F7E6">
                  <w:pPr>
                    <w:pStyle w:val="47"/>
                    <w:rPr>
                      <w:rFonts w:hint="default" w:ascii="Times New Roman" w:hAnsi="Times New Roman" w:eastAsia="宋体" w:cs="Times New Roman"/>
                      <w:color w:val="auto"/>
                      <w:sz w:val="21"/>
                      <w:szCs w:val="21"/>
                      <w:highlight w:val="none"/>
                    </w:rPr>
                  </w:pPr>
                </w:p>
              </w:tc>
              <w:tc>
                <w:tcPr>
                  <w:tcW w:w="914" w:type="dxa"/>
                  <w:shd w:val="clear" w:color="auto" w:fill="auto"/>
                  <w:vAlign w:val="center"/>
                </w:tcPr>
                <w:p w14:paraId="37CC718A">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回收利用</w:t>
                  </w:r>
                </w:p>
              </w:tc>
              <w:tc>
                <w:tcPr>
                  <w:tcW w:w="1258" w:type="dxa"/>
                  <w:vMerge w:val="continue"/>
                  <w:vAlign w:val="center"/>
                </w:tcPr>
                <w:p w14:paraId="1E201B3B">
                  <w:pPr>
                    <w:pStyle w:val="47"/>
                    <w:rPr>
                      <w:rFonts w:hint="default" w:ascii="Times New Roman" w:hAnsi="Times New Roman" w:eastAsia="宋体" w:cs="Times New Roman"/>
                      <w:color w:val="auto"/>
                      <w:sz w:val="21"/>
                      <w:szCs w:val="21"/>
                      <w:highlight w:val="none"/>
                    </w:rPr>
                  </w:pPr>
                </w:p>
              </w:tc>
            </w:tr>
            <w:tr w14:paraId="5D0956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06" w:type="dxa"/>
                  <w:shd w:val="clear" w:color="auto" w:fill="auto"/>
                  <w:vAlign w:val="center"/>
                </w:tcPr>
                <w:p w14:paraId="382FDF57">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59" w:type="dxa"/>
                  <w:shd w:val="clear" w:color="auto" w:fill="auto"/>
                  <w:vAlign w:val="center"/>
                </w:tcPr>
                <w:p w14:paraId="0D9242F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漆渣</w:t>
                  </w:r>
                </w:p>
              </w:tc>
              <w:tc>
                <w:tcPr>
                  <w:tcW w:w="796" w:type="dxa"/>
                  <w:shd w:val="clear" w:color="auto" w:fill="auto"/>
                  <w:vAlign w:val="center"/>
                </w:tcPr>
                <w:p w14:paraId="26F57EEE">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w:t>
                  </w:r>
                </w:p>
              </w:tc>
              <w:tc>
                <w:tcPr>
                  <w:tcW w:w="840" w:type="dxa"/>
                  <w:vMerge w:val="continue"/>
                  <w:shd w:val="clear" w:color="auto" w:fill="auto"/>
                  <w:vAlign w:val="center"/>
                </w:tcPr>
                <w:p w14:paraId="2566AA59">
                  <w:pPr>
                    <w:pStyle w:val="47"/>
                    <w:rPr>
                      <w:rFonts w:hint="default" w:ascii="Times New Roman" w:hAnsi="Times New Roman" w:eastAsia="宋体" w:cs="Times New Roman"/>
                      <w:color w:val="auto"/>
                      <w:sz w:val="21"/>
                      <w:szCs w:val="21"/>
                      <w:highlight w:val="none"/>
                    </w:rPr>
                  </w:pPr>
                </w:p>
              </w:tc>
              <w:tc>
                <w:tcPr>
                  <w:tcW w:w="941" w:type="dxa"/>
                  <w:shd w:val="clear" w:color="auto" w:fill="auto"/>
                  <w:vAlign w:val="center"/>
                </w:tcPr>
                <w:p w14:paraId="0EC8FC0F">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900-099-S02</w:t>
                  </w:r>
                </w:p>
              </w:tc>
              <w:tc>
                <w:tcPr>
                  <w:tcW w:w="696" w:type="dxa"/>
                  <w:shd w:val="clear" w:color="auto" w:fill="auto"/>
                  <w:vAlign w:val="center"/>
                </w:tcPr>
                <w:p w14:paraId="4CF28E79">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695" w:type="dxa"/>
                  <w:shd w:val="clear" w:color="auto" w:fill="auto"/>
                  <w:vAlign w:val="center"/>
                </w:tcPr>
                <w:p w14:paraId="6CF530B8">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无</w:t>
                  </w:r>
                </w:p>
              </w:tc>
              <w:tc>
                <w:tcPr>
                  <w:tcW w:w="750" w:type="dxa"/>
                  <w:vMerge w:val="continue"/>
                  <w:vAlign w:val="center"/>
                </w:tcPr>
                <w:p w14:paraId="7A463206">
                  <w:pPr>
                    <w:pStyle w:val="47"/>
                    <w:rPr>
                      <w:rFonts w:hint="default" w:ascii="Times New Roman" w:hAnsi="Times New Roman" w:eastAsia="宋体" w:cs="Times New Roman"/>
                      <w:color w:val="auto"/>
                      <w:sz w:val="21"/>
                      <w:szCs w:val="21"/>
                      <w:highlight w:val="none"/>
                    </w:rPr>
                  </w:pPr>
                </w:p>
              </w:tc>
              <w:tc>
                <w:tcPr>
                  <w:tcW w:w="914" w:type="dxa"/>
                  <w:shd w:val="clear" w:color="auto" w:fill="auto"/>
                  <w:vAlign w:val="center"/>
                </w:tcPr>
                <w:p w14:paraId="7738BB27">
                  <w:pPr>
                    <w:pStyle w:val="4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外售</w:t>
                  </w:r>
                </w:p>
              </w:tc>
              <w:tc>
                <w:tcPr>
                  <w:tcW w:w="1258" w:type="dxa"/>
                  <w:vMerge w:val="continue"/>
                  <w:vAlign w:val="center"/>
                </w:tcPr>
                <w:p w14:paraId="76510EA3">
                  <w:pPr>
                    <w:pStyle w:val="47"/>
                    <w:rPr>
                      <w:rFonts w:hint="default" w:ascii="Times New Roman" w:hAnsi="Times New Roman" w:eastAsia="宋体" w:cs="Times New Roman"/>
                      <w:color w:val="auto"/>
                      <w:sz w:val="21"/>
                      <w:szCs w:val="21"/>
                      <w:highlight w:val="none"/>
                    </w:rPr>
                  </w:pPr>
                </w:p>
              </w:tc>
            </w:tr>
            <w:tr w14:paraId="54F80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506" w:type="dxa"/>
                  <w:shd w:val="clear" w:color="auto" w:fill="auto"/>
                  <w:vAlign w:val="center"/>
                </w:tcPr>
                <w:p w14:paraId="0B5CC754">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859" w:type="dxa"/>
                  <w:shd w:val="clear" w:color="auto" w:fill="auto"/>
                  <w:vAlign w:val="center"/>
                </w:tcPr>
                <w:p w14:paraId="721DC899">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废油脂</w:t>
                  </w:r>
                </w:p>
              </w:tc>
              <w:tc>
                <w:tcPr>
                  <w:tcW w:w="796" w:type="dxa"/>
                  <w:shd w:val="clear" w:color="auto" w:fill="auto"/>
                  <w:vAlign w:val="center"/>
                </w:tcPr>
                <w:p w14:paraId="30D7C09B">
                  <w:pPr>
                    <w:pStyle w:val="47"/>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0.013</w:t>
                  </w:r>
                </w:p>
              </w:tc>
              <w:tc>
                <w:tcPr>
                  <w:tcW w:w="840" w:type="dxa"/>
                  <w:vMerge w:val="continue"/>
                  <w:shd w:val="clear" w:color="auto" w:fill="auto"/>
                  <w:vAlign w:val="center"/>
                </w:tcPr>
                <w:p w14:paraId="2131823B">
                  <w:pPr>
                    <w:pStyle w:val="47"/>
                    <w:rPr>
                      <w:rFonts w:hint="default" w:ascii="Times New Roman" w:hAnsi="Times New Roman" w:eastAsia="宋体" w:cs="Times New Roman"/>
                      <w:color w:val="auto"/>
                      <w:sz w:val="21"/>
                      <w:szCs w:val="21"/>
                      <w:highlight w:val="none"/>
                      <w:lang w:val="en-US" w:eastAsia="zh-CN"/>
                    </w:rPr>
                  </w:pPr>
                </w:p>
              </w:tc>
              <w:tc>
                <w:tcPr>
                  <w:tcW w:w="941" w:type="dxa"/>
                  <w:shd w:val="clear" w:color="auto" w:fill="auto"/>
                  <w:vAlign w:val="center"/>
                </w:tcPr>
                <w:p w14:paraId="1B10CE53">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900-002-S61</w:t>
                  </w:r>
                </w:p>
              </w:tc>
              <w:tc>
                <w:tcPr>
                  <w:tcW w:w="696" w:type="dxa"/>
                  <w:shd w:val="clear" w:color="auto" w:fill="auto"/>
                  <w:vAlign w:val="center"/>
                </w:tcPr>
                <w:p w14:paraId="4CA9F5F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95" w:type="dxa"/>
                  <w:vMerge w:val="restart"/>
                  <w:shd w:val="clear" w:color="auto" w:fill="auto"/>
                  <w:vAlign w:val="center"/>
                </w:tcPr>
                <w:p w14:paraId="16D2B048">
                  <w:pPr>
                    <w:pStyle w:val="47"/>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750" w:type="dxa"/>
                  <w:vMerge w:val="continue"/>
                  <w:vAlign w:val="center"/>
                </w:tcPr>
                <w:p w14:paraId="6E6938B0">
                  <w:pPr>
                    <w:pStyle w:val="47"/>
                    <w:rPr>
                      <w:rFonts w:hint="default" w:ascii="Times New Roman" w:hAnsi="Times New Roman" w:eastAsia="宋体" w:cs="Times New Roman"/>
                      <w:color w:val="auto"/>
                      <w:sz w:val="21"/>
                      <w:szCs w:val="21"/>
                      <w:highlight w:val="none"/>
                      <w:lang w:val="en-US" w:eastAsia="zh-CN"/>
                    </w:rPr>
                  </w:pPr>
                </w:p>
              </w:tc>
              <w:tc>
                <w:tcPr>
                  <w:tcW w:w="914" w:type="dxa"/>
                  <w:vMerge w:val="restart"/>
                  <w:shd w:val="clear" w:color="auto" w:fill="auto"/>
                  <w:vAlign w:val="center"/>
                </w:tcPr>
                <w:p w14:paraId="12555CAD">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委托许可单位处置</w:t>
                  </w:r>
                </w:p>
              </w:tc>
              <w:tc>
                <w:tcPr>
                  <w:tcW w:w="1258" w:type="dxa"/>
                  <w:vMerge w:val="continue"/>
                  <w:vAlign w:val="center"/>
                </w:tcPr>
                <w:p w14:paraId="4FBDD55A">
                  <w:pPr>
                    <w:pStyle w:val="47"/>
                    <w:rPr>
                      <w:rFonts w:hint="default" w:ascii="Times New Roman" w:hAnsi="Times New Roman" w:eastAsia="宋体" w:cs="Times New Roman"/>
                      <w:color w:val="auto"/>
                      <w:sz w:val="21"/>
                      <w:szCs w:val="21"/>
                      <w:highlight w:val="none"/>
                    </w:rPr>
                  </w:pPr>
                </w:p>
              </w:tc>
            </w:tr>
            <w:tr w14:paraId="5D831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6" w:type="dxa"/>
                  <w:shd w:val="clear" w:color="auto" w:fill="auto"/>
                  <w:vAlign w:val="center"/>
                </w:tcPr>
                <w:p w14:paraId="797D2723">
                  <w:pPr>
                    <w:pStyle w:val="47"/>
                    <w:ind w:firstLine="0" w:firstLineChars="0"/>
                    <w:rPr>
                      <w:rFonts w:hint="default" w:ascii="Times New Roman" w:hAnsi="Times New Roman" w:eastAsia="宋体" w:cs="Times New Roman"/>
                      <w:bCs/>
                      <w:color w:val="auto"/>
                      <w:spacing w:val="5"/>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p>
              </w:tc>
              <w:tc>
                <w:tcPr>
                  <w:tcW w:w="859" w:type="dxa"/>
                  <w:shd w:val="clear" w:color="auto" w:fill="auto"/>
                  <w:vAlign w:val="center"/>
                </w:tcPr>
                <w:p w14:paraId="3892E166">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p>
              </w:tc>
              <w:tc>
                <w:tcPr>
                  <w:tcW w:w="796" w:type="dxa"/>
                  <w:shd w:val="clear" w:color="auto" w:fill="auto"/>
                  <w:vAlign w:val="center"/>
                </w:tcPr>
                <w:p w14:paraId="289BC29A">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840" w:type="dxa"/>
                  <w:shd w:val="clear" w:color="auto" w:fill="auto"/>
                  <w:vAlign w:val="center"/>
                </w:tcPr>
                <w:p w14:paraId="1129C42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危险废物HW08</w:t>
                  </w:r>
                </w:p>
              </w:tc>
              <w:tc>
                <w:tcPr>
                  <w:tcW w:w="941" w:type="dxa"/>
                  <w:shd w:val="clear" w:color="auto" w:fill="auto"/>
                  <w:vAlign w:val="center"/>
                </w:tcPr>
                <w:p w14:paraId="49E2FE90">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900-214-08</w:t>
                  </w:r>
                </w:p>
              </w:tc>
              <w:tc>
                <w:tcPr>
                  <w:tcW w:w="696" w:type="dxa"/>
                  <w:shd w:val="clear" w:color="auto" w:fill="auto"/>
                  <w:vAlign w:val="center"/>
                </w:tcPr>
                <w:p w14:paraId="2FFC8AB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液态</w:t>
                  </w:r>
                </w:p>
              </w:tc>
              <w:tc>
                <w:tcPr>
                  <w:tcW w:w="695" w:type="dxa"/>
                  <w:shd w:val="clear" w:color="auto" w:fill="auto"/>
                  <w:vAlign w:val="center"/>
                </w:tcPr>
                <w:p w14:paraId="29C91092">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易燃性、毒性</w:t>
                  </w:r>
                </w:p>
              </w:tc>
              <w:tc>
                <w:tcPr>
                  <w:tcW w:w="750" w:type="dxa"/>
                  <w:vMerge w:val="restart"/>
                  <w:shd w:val="clear" w:color="auto" w:fill="auto"/>
                  <w:vAlign w:val="center"/>
                </w:tcPr>
                <w:p w14:paraId="3F62525A">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暂存于</w:t>
                  </w:r>
                  <w:r>
                    <w:rPr>
                      <w:rFonts w:hint="eastAsia" w:ascii="Times New Roman" w:hAnsi="Times New Roman" w:cs="Times New Roman"/>
                      <w:color w:val="auto"/>
                      <w:sz w:val="21"/>
                      <w:szCs w:val="21"/>
                      <w:highlight w:val="none"/>
                      <w:lang w:eastAsia="zh-CN"/>
                    </w:rPr>
                    <w:t>危险废物贮存设施</w:t>
                  </w:r>
                </w:p>
              </w:tc>
              <w:tc>
                <w:tcPr>
                  <w:tcW w:w="914" w:type="dxa"/>
                  <w:vMerge w:val="restart"/>
                  <w:shd w:val="clear" w:color="auto" w:fill="auto"/>
                  <w:vAlign w:val="center"/>
                </w:tcPr>
                <w:p w14:paraId="1BA10D01">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有资质的单位清运处置</w:t>
                  </w:r>
                </w:p>
              </w:tc>
              <w:tc>
                <w:tcPr>
                  <w:tcW w:w="1258" w:type="dxa"/>
                  <w:vMerge w:val="restart"/>
                  <w:shd w:val="clear" w:color="auto" w:fill="auto"/>
                  <w:vAlign w:val="center"/>
                </w:tcPr>
                <w:p w14:paraId="66D44239">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《危险废物贮存污染控制标准》（GB18597-2023）</w:t>
                  </w:r>
                </w:p>
              </w:tc>
            </w:tr>
            <w:tr w14:paraId="0624B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6" w:type="dxa"/>
                  <w:shd w:val="clear" w:color="auto" w:fill="auto"/>
                  <w:vAlign w:val="center"/>
                </w:tcPr>
                <w:p w14:paraId="57ABDAA6">
                  <w:pPr>
                    <w:pStyle w:val="47"/>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859" w:type="dxa"/>
                  <w:shd w:val="clear" w:color="auto" w:fill="auto"/>
                  <w:vAlign w:val="center"/>
                </w:tcPr>
                <w:p w14:paraId="2236F334">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废油桶及含油抹布</w:t>
                  </w:r>
                </w:p>
              </w:tc>
              <w:tc>
                <w:tcPr>
                  <w:tcW w:w="796" w:type="dxa"/>
                  <w:shd w:val="clear" w:color="auto" w:fill="auto"/>
                  <w:vAlign w:val="center"/>
                </w:tcPr>
                <w:p w14:paraId="52AD6FC9">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840" w:type="dxa"/>
                  <w:shd w:val="clear" w:color="auto" w:fill="auto"/>
                  <w:vAlign w:val="center"/>
                </w:tcPr>
                <w:p w14:paraId="2B46CED3">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危险废物HW49</w:t>
                  </w:r>
                </w:p>
              </w:tc>
              <w:tc>
                <w:tcPr>
                  <w:tcW w:w="941" w:type="dxa"/>
                  <w:shd w:val="clear" w:color="auto" w:fill="auto"/>
                  <w:vAlign w:val="center"/>
                </w:tcPr>
                <w:p w14:paraId="7930A24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900-249-08</w:t>
                  </w:r>
                </w:p>
              </w:tc>
              <w:tc>
                <w:tcPr>
                  <w:tcW w:w="696" w:type="dxa"/>
                  <w:shd w:val="clear" w:color="auto" w:fill="auto"/>
                  <w:vAlign w:val="center"/>
                </w:tcPr>
                <w:p w14:paraId="11A6E8F5">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95" w:type="dxa"/>
                  <w:shd w:val="clear" w:color="auto" w:fill="auto"/>
                  <w:vAlign w:val="center"/>
                </w:tcPr>
                <w:p w14:paraId="3C1C9E7B">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易燃性、毒性</w:t>
                  </w:r>
                </w:p>
              </w:tc>
              <w:tc>
                <w:tcPr>
                  <w:tcW w:w="750" w:type="dxa"/>
                  <w:vMerge w:val="continue"/>
                  <w:shd w:val="clear" w:color="auto" w:fill="auto"/>
                  <w:vAlign w:val="center"/>
                </w:tcPr>
                <w:p w14:paraId="233260E8">
                  <w:pPr>
                    <w:pStyle w:val="47"/>
                    <w:rPr>
                      <w:rFonts w:hint="default" w:ascii="Times New Roman" w:hAnsi="Times New Roman" w:eastAsia="宋体" w:cs="Times New Roman"/>
                      <w:color w:val="auto"/>
                      <w:sz w:val="21"/>
                      <w:szCs w:val="21"/>
                      <w:highlight w:val="none"/>
                    </w:rPr>
                  </w:pPr>
                </w:p>
              </w:tc>
              <w:tc>
                <w:tcPr>
                  <w:tcW w:w="914" w:type="dxa"/>
                  <w:vMerge w:val="continue"/>
                  <w:shd w:val="clear" w:color="auto" w:fill="auto"/>
                  <w:vAlign w:val="center"/>
                </w:tcPr>
                <w:p w14:paraId="4FC76575">
                  <w:pPr>
                    <w:pStyle w:val="47"/>
                    <w:rPr>
                      <w:rFonts w:hint="default" w:ascii="Times New Roman" w:hAnsi="Times New Roman" w:eastAsia="宋体" w:cs="Times New Roman"/>
                      <w:color w:val="auto"/>
                      <w:sz w:val="21"/>
                      <w:szCs w:val="21"/>
                      <w:highlight w:val="none"/>
                    </w:rPr>
                  </w:pPr>
                </w:p>
              </w:tc>
              <w:tc>
                <w:tcPr>
                  <w:tcW w:w="1258" w:type="dxa"/>
                  <w:vMerge w:val="continue"/>
                  <w:shd w:val="clear" w:color="auto" w:fill="auto"/>
                  <w:vAlign w:val="center"/>
                </w:tcPr>
                <w:p w14:paraId="5108D71E">
                  <w:pPr>
                    <w:pStyle w:val="47"/>
                    <w:rPr>
                      <w:rFonts w:hint="default" w:ascii="Times New Roman" w:hAnsi="Times New Roman" w:eastAsia="宋体" w:cs="Times New Roman"/>
                      <w:color w:val="auto"/>
                      <w:sz w:val="21"/>
                      <w:szCs w:val="21"/>
                      <w:highlight w:val="none"/>
                    </w:rPr>
                  </w:pPr>
                </w:p>
              </w:tc>
            </w:tr>
          </w:tbl>
          <w:p w14:paraId="60447DD1">
            <w:pPr>
              <w:rPr>
                <w:rFonts w:hint="default" w:ascii="Times New Roman" w:hAnsi="Times New Roman" w:cs="Times New Roman"/>
                <w:b/>
                <w:bCs/>
                <w:spacing w:val="5"/>
                <w:sz w:val="20"/>
                <w:szCs w:val="20"/>
              </w:rPr>
            </w:pPr>
            <w:r>
              <w:rPr>
                <w:rFonts w:hint="default" w:ascii="Times New Roman" w:hAnsi="Times New Roman" w:cs="Times New Roman"/>
                <w:spacing w:val="1"/>
              </w:rPr>
              <w:t>项目营运期员工产生的生活垃圾经收集后定期由环卫部门进行清运处置；废边角料集中收集外售。危险废物暂存于</w:t>
            </w:r>
            <w:r>
              <w:rPr>
                <w:rFonts w:hint="default" w:ascii="Times New Roman" w:hAnsi="Times New Roman" w:cs="Times New Roman"/>
                <w:spacing w:val="1"/>
                <w:lang w:val="en-US" w:eastAsia="zh-CN"/>
              </w:rPr>
              <w:t>危废暂存间</w:t>
            </w:r>
            <w:r>
              <w:rPr>
                <w:rFonts w:hint="default" w:ascii="Times New Roman" w:hAnsi="Times New Roman" w:cs="Times New Roman"/>
                <w:spacing w:val="1"/>
              </w:rPr>
              <w:t>，交由有危险废</w:t>
            </w:r>
            <w:r>
              <w:rPr>
                <w:rFonts w:hint="default" w:ascii="Times New Roman" w:hAnsi="Times New Roman" w:cs="Times New Roman"/>
                <w:spacing w:val="-1"/>
              </w:rPr>
              <w:t>物处置资质的单位处置。</w:t>
            </w:r>
          </w:p>
          <w:p w14:paraId="2240DBBC">
            <w:pPr>
              <w:ind w:left="0" w:leftChars="0" w:firstLine="0" w:firstLineChars="0"/>
              <w:rPr>
                <w:rFonts w:hint="default" w:ascii="Times New Roman" w:hAnsi="Times New Roman" w:eastAsia="宋体"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4.3.2</w:t>
            </w:r>
            <w:r>
              <w:rPr>
                <w:rFonts w:hint="default" w:ascii="Times New Roman" w:hAnsi="Times New Roman" w:eastAsia="宋体" w:cs="Times New Roman"/>
                <w:b/>
                <w:color w:val="auto"/>
                <w:sz w:val="24"/>
                <w:szCs w:val="24"/>
                <w:highlight w:val="none"/>
              </w:rPr>
              <w:t>固体废物治理措施</w:t>
            </w:r>
          </w:p>
          <w:p w14:paraId="2E60E3F3">
            <w:pPr>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本项目在干粉灭火器报废回收车间东南角划分200平方米范围作为一般固废暂存区，于干粉灭火器报废回收车间西北侧建设一间10平方米危废暂存间，最大储存能力为2t/a</w:t>
            </w:r>
            <w:r>
              <w:rPr>
                <w:rFonts w:hint="default" w:ascii="Times New Roman" w:hAnsi="Times New Roman" w:cs="Times New Roman"/>
                <w:color w:val="auto"/>
                <w:sz w:val="24"/>
                <w:szCs w:val="24"/>
                <w:highlight w:val="none"/>
                <w:lang w:val="en-US" w:eastAsia="zh-CN"/>
              </w:rPr>
              <w:t>，采用</w:t>
            </w:r>
            <w:r>
              <w:rPr>
                <w:rFonts w:hint="default" w:ascii="Times New Roman" w:hAnsi="Times New Roman" w:eastAsia="宋体" w:cs="Times New Roman"/>
                <w:color w:val="auto"/>
                <w:sz w:val="24"/>
                <w:szCs w:val="24"/>
                <w:highlight w:val="none"/>
              </w:rPr>
              <w:t>混凝</w:t>
            </w:r>
            <w:r>
              <w:rPr>
                <w:rFonts w:hint="default" w:ascii="Times New Roman" w:hAnsi="Times New Roman" w:eastAsia="宋体" w:cs="Times New Roman"/>
                <w:sz w:val="24"/>
                <w:szCs w:val="24"/>
                <w:lang w:val="en-US" w:eastAsia="zh-CN"/>
              </w:rPr>
              <w:t>土硬化地面并涂刷</w:t>
            </w:r>
            <w:r>
              <w:rPr>
                <w:rFonts w:hint="default" w:ascii="Times New Roman" w:hAnsi="Times New Roman" w:eastAsia="宋体" w:cs="Times New Roman"/>
                <w:color w:val="auto"/>
                <w:sz w:val="24"/>
                <w:szCs w:val="24"/>
                <w:highlight w:val="none"/>
              </w:rPr>
              <w:t>2层防渗胶层防渗，确保防渗性能与6.0m厚黏土层（渗透系数K≤1×10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cm/s）等效。</w:t>
            </w:r>
          </w:p>
          <w:p w14:paraId="6C2A2390">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（1）危险废物贮存要求</w:t>
            </w:r>
          </w:p>
          <w:p w14:paraId="10AED20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依据《危险废物贮存污染控制标准》（GB18597-2023），对危险废物贮存场所应采取以下措施：</w:t>
            </w:r>
          </w:p>
          <w:p w14:paraId="1211741C">
            <w:pPr>
              <w:pStyle w:val="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①危废临时贮存设施基础应防渗，混凝土硬化地面并涂刷2层防渗胶层防渗，确保防渗性能与6.0m厚黏土层（渗透系数K≤1×10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cm/s）等效。</w:t>
            </w:r>
            <w:r>
              <w:rPr>
                <w:rFonts w:hint="default" w:ascii="Times New Roman" w:hAnsi="Times New Roman" w:cs="Times New Roman"/>
                <w:color w:val="auto"/>
                <w:sz w:val="24"/>
                <w:szCs w:val="24"/>
                <w:highlight w:val="none"/>
                <w:lang w:val="en-US" w:eastAsia="zh-CN"/>
              </w:rPr>
              <w:t>危废暂存间拟设置</w:t>
            </w:r>
            <w:r>
              <w:rPr>
                <w:rFonts w:hint="default" w:ascii="Times New Roman" w:hAnsi="Times New Roman" w:eastAsia="宋体" w:cs="Times New Roman"/>
                <w:color w:val="auto"/>
                <w:sz w:val="24"/>
                <w:szCs w:val="24"/>
                <w:highlight w:val="none"/>
                <w:lang w:val="en-US" w:eastAsia="zh-CN"/>
              </w:rPr>
              <w:t>在干粉灭火器报废回收车间西北角</w:t>
            </w:r>
            <w:r>
              <w:rPr>
                <w:rFonts w:hint="default" w:ascii="Times New Roman" w:hAnsi="Times New Roman" w:cs="Times New Roman"/>
                <w:color w:val="auto"/>
                <w:sz w:val="24"/>
                <w:szCs w:val="24"/>
                <w:highlight w:val="none"/>
                <w:lang w:val="en-US" w:eastAsia="zh-CN"/>
              </w:rPr>
              <w:t>面积为10平方米，环评要求危废暂存间地面应采取防渗措施</w:t>
            </w:r>
            <w:r>
              <w:rPr>
                <w:rFonts w:hint="default" w:ascii="Times New Roman" w:hAnsi="Times New Roman" w:eastAsia="宋体" w:cs="Times New Roman"/>
                <w:color w:val="auto"/>
                <w:sz w:val="24"/>
                <w:szCs w:val="24"/>
                <w:highlight w:val="none"/>
              </w:rPr>
              <w:t>，危险废物暂存</w:t>
            </w:r>
            <w:r>
              <w:rPr>
                <w:rFonts w:hint="default" w:ascii="Times New Roman" w:hAnsi="Times New Roman"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rPr>
              <w:t>内盛装危险废物的容器或包装袋下应设置</w:t>
            </w:r>
            <w:r>
              <w:rPr>
                <w:rFonts w:hint="eastAsia" w:cs="Times New Roman"/>
                <w:color w:val="auto"/>
                <w:sz w:val="24"/>
                <w:szCs w:val="24"/>
                <w:highlight w:val="none"/>
                <w:lang w:eastAsia="zh-CN"/>
              </w:rPr>
              <w:t>钢质</w:t>
            </w:r>
            <w:r>
              <w:rPr>
                <w:rFonts w:hint="default" w:ascii="Times New Roman" w:hAnsi="Times New Roman" w:eastAsia="宋体" w:cs="Times New Roman"/>
                <w:color w:val="auto"/>
                <w:sz w:val="24"/>
                <w:szCs w:val="24"/>
                <w:highlight w:val="none"/>
              </w:rPr>
              <w:t>托盘。</w:t>
            </w:r>
          </w:p>
          <w:p w14:paraId="36512557">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②在危废临时贮存场所应设置明显标识，禁止无关人员进入。</w:t>
            </w:r>
          </w:p>
          <w:p w14:paraId="77621C94">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③危废临时贮存场所内要有安全照明设施和观察口。</w:t>
            </w:r>
          </w:p>
          <w:p w14:paraId="62300A83">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④不相容的危险废物必须分开存放，并设有隔离</w:t>
            </w:r>
            <w:r>
              <w:rPr>
                <w:rFonts w:hint="default" w:ascii="Times New Roman" w:hAnsi="Times New Roman" w:cs="Times New Roman"/>
                <w:color w:val="auto"/>
                <w:sz w:val="24"/>
                <w:szCs w:val="24"/>
                <w:highlight w:val="none"/>
                <w:lang w:eastAsia="zh-CN"/>
              </w:rPr>
              <w:t>间隔</w:t>
            </w:r>
            <w:r>
              <w:rPr>
                <w:rFonts w:hint="default" w:ascii="Times New Roman" w:hAnsi="Times New Roman" w:eastAsia="宋体" w:cs="Times New Roman"/>
                <w:color w:val="auto"/>
                <w:sz w:val="24"/>
                <w:szCs w:val="24"/>
                <w:highlight w:val="none"/>
              </w:rPr>
              <w:t>。在常温常压下不水解、不挥发的固体危险废物可在贮存设施内分别堆放。</w:t>
            </w:r>
          </w:p>
          <w:p w14:paraId="292F9860">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⑤应按国家有关危险废物处理处置规范要求，安全处置。根据新疆维吾尔自治区固废</w:t>
            </w:r>
            <w:r>
              <w:rPr>
                <w:rFonts w:hint="default" w:ascii="Times New Roman" w:hAnsi="Times New Roman" w:cs="Times New Roman"/>
                <w:color w:val="auto"/>
                <w:sz w:val="24"/>
                <w:szCs w:val="24"/>
                <w:highlight w:val="none"/>
                <w:lang w:eastAsia="zh-CN"/>
              </w:rPr>
              <w:t>管理信息系统</w:t>
            </w:r>
            <w:r>
              <w:rPr>
                <w:rFonts w:hint="default" w:ascii="Times New Roman" w:hAnsi="Times New Roman" w:eastAsia="宋体" w:cs="Times New Roman"/>
                <w:color w:val="auto"/>
                <w:sz w:val="24"/>
                <w:szCs w:val="24"/>
                <w:highlight w:val="none"/>
              </w:rPr>
              <w:t>的要求，转运时要办理危险废物转移电子联单，做好贮存、交接、外运等方面的登记工作，严禁就地填埋。</w:t>
            </w:r>
          </w:p>
          <w:p w14:paraId="1D34F31C">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本项目要求建设单位在厂区设置</w:t>
            </w:r>
            <w:r>
              <w:rPr>
                <w:rFonts w:hint="default" w:ascii="Times New Roman" w:hAnsi="Times New Roman" w:cs="Times New Roman"/>
                <w:color w:val="auto"/>
                <w:sz w:val="24"/>
                <w:szCs w:val="24"/>
                <w:highlight w:val="none"/>
                <w:lang w:val="en-US" w:eastAsia="zh-CN"/>
              </w:rPr>
              <w:t>防渗</w:t>
            </w:r>
            <w:r>
              <w:rPr>
                <w:rFonts w:hint="default" w:ascii="Times New Roman" w:hAnsi="Times New Roman" w:eastAsia="宋体" w:cs="Times New Roman"/>
                <w:color w:val="auto"/>
                <w:sz w:val="24"/>
                <w:szCs w:val="24"/>
                <w:highlight w:val="none"/>
              </w:rPr>
              <w:t>危险废物暂存库（建筑面积约</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），建设单位在生产过程中必须做好危险废物的暂存工作，暂存场所必须做好防渗、防漏等措施，并在危废临时贮存间设置明显标志牌。</w:t>
            </w:r>
          </w:p>
          <w:p w14:paraId="24E98392">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（2）危险废物管理要求</w:t>
            </w:r>
          </w:p>
          <w:p w14:paraId="041F23BE">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①建立危险废物管理台账，如实记录危险废物的种类、产生量、流向、贮存、利用、处置等有关信息；</w:t>
            </w:r>
          </w:p>
          <w:p w14:paraId="6C668608">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②通过国家危险废物信息管理系统向所在巴州生态环境局备案危险废物管理计划，申报危险废物有关资料；</w:t>
            </w:r>
          </w:p>
          <w:p w14:paraId="067E381A">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③产生危险废物的单位应当按照实际情况填写记录有关内容，并对内容的真实性、准确性和完整性负责；</w:t>
            </w:r>
          </w:p>
          <w:p w14:paraId="4BFE93E3">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④产生危险废物的单位应建立危险废物管理台账，落实危险废物管理台账记录的责任人，明确工作职责，并对危险废物管理台账的真实性、准确性和完整性负法律责任。</w:t>
            </w:r>
          </w:p>
          <w:p w14:paraId="36AD672F">
            <w:pPr>
              <w:ind w:firstLine="48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危险废物</w:t>
            </w:r>
            <w:r>
              <w:rPr>
                <w:rFonts w:hint="default" w:ascii="Times New Roman" w:hAnsi="Times New Roman" w:eastAsia="宋体" w:cs="Times New Roman"/>
                <w:color w:val="auto"/>
                <w:sz w:val="24"/>
                <w:szCs w:val="24"/>
                <w:highlight w:val="none"/>
                <w:lang w:val="en-US" w:eastAsia="zh-CN"/>
              </w:rPr>
              <w:t>转移要求</w:t>
            </w:r>
          </w:p>
          <w:p w14:paraId="67549FDF">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根据《国家危险废物名录》（202</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年版）危险废物拟委托有危废处置资质的专业公司进行安全处置。在危险废物转移过程中移交人应当履行以下义务：</w:t>
            </w:r>
          </w:p>
          <w:p w14:paraId="1DF78DF1">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①对承运人或者接受人的主体资格和技术能力进行核实，依法签订书面合同，并在合同中约定运输、贮存、利用、处置危险废物的污染防治要求及相关责任；</w:t>
            </w:r>
          </w:p>
          <w:p w14:paraId="7DF0A0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②</w:t>
            </w:r>
            <w:r>
              <w:rPr>
                <w:rFonts w:hint="default" w:ascii="Times New Roman" w:hAnsi="Times New Roman" w:eastAsia="宋体" w:cs="Times New Roman"/>
                <w:color w:val="auto"/>
                <w:sz w:val="24"/>
                <w:szCs w:val="24"/>
                <w:highlight w:val="none"/>
                <w:lang w:val="en-US" w:eastAsia="zh-CN"/>
              </w:rPr>
              <w:t>制定危险废物管理计划，明确拟转移危险废物的种类、重量（数量）和流向等信息；</w:t>
            </w:r>
          </w:p>
          <w:p w14:paraId="1E2DF93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③</w:t>
            </w:r>
            <w:r>
              <w:rPr>
                <w:rFonts w:hint="default" w:ascii="Times New Roman" w:hAnsi="Times New Roman" w:eastAsia="宋体" w:cs="Times New Roman"/>
                <w:color w:val="auto"/>
                <w:sz w:val="24"/>
                <w:szCs w:val="24"/>
                <w:highlight w:val="none"/>
                <w:lang w:val="en-US" w:eastAsia="zh-CN"/>
              </w:rPr>
              <w:t>建立危险废物管理台账，对转移的危险废物进行计量称重，如实记录、妥善保管转移危险废物的种类、重量（数量）和</w:t>
            </w:r>
            <w:r>
              <w:rPr>
                <w:rFonts w:hint="default" w:ascii="Times New Roman" w:hAnsi="Times New Roman" w:cs="Times New Roman"/>
                <w:color w:val="auto"/>
                <w:sz w:val="24"/>
                <w:szCs w:val="24"/>
                <w:highlight w:val="none"/>
                <w:lang w:val="en-US" w:eastAsia="zh-CN"/>
              </w:rPr>
              <w:t>接收</w:t>
            </w:r>
            <w:r>
              <w:rPr>
                <w:rFonts w:hint="default" w:ascii="Times New Roman" w:hAnsi="Times New Roman" w:eastAsia="宋体" w:cs="Times New Roman"/>
                <w:color w:val="auto"/>
                <w:sz w:val="24"/>
                <w:szCs w:val="24"/>
                <w:highlight w:val="none"/>
                <w:lang w:val="en-US" w:eastAsia="zh-CN"/>
              </w:rPr>
              <w:t>人等相关信息；</w:t>
            </w:r>
          </w:p>
          <w:p w14:paraId="1526134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④</w:t>
            </w:r>
            <w:r>
              <w:rPr>
                <w:rFonts w:hint="default" w:ascii="Times New Roman" w:hAnsi="Times New Roman" w:eastAsia="宋体" w:cs="Times New Roman"/>
                <w:color w:val="auto"/>
                <w:sz w:val="24"/>
                <w:szCs w:val="24"/>
                <w:highlight w:val="none"/>
                <w:lang w:val="en-US" w:eastAsia="zh-CN"/>
              </w:rPr>
              <w:t>填写、运行危险废物转移联单，在危险废物转移联单中如实填写移出人、承运人、</w:t>
            </w:r>
            <w:r>
              <w:rPr>
                <w:rFonts w:hint="default" w:ascii="Times New Roman" w:hAnsi="Times New Roman" w:cs="Times New Roman"/>
                <w:color w:val="auto"/>
                <w:sz w:val="24"/>
                <w:szCs w:val="24"/>
                <w:highlight w:val="none"/>
                <w:lang w:val="en-US" w:eastAsia="zh-CN"/>
              </w:rPr>
              <w:t>接收</w:t>
            </w:r>
            <w:r>
              <w:rPr>
                <w:rFonts w:hint="default" w:ascii="Times New Roman" w:hAnsi="Times New Roman" w:eastAsia="宋体" w:cs="Times New Roman"/>
                <w:color w:val="auto"/>
                <w:sz w:val="24"/>
                <w:szCs w:val="24"/>
                <w:highlight w:val="none"/>
                <w:lang w:val="en-US" w:eastAsia="zh-CN"/>
              </w:rPr>
              <w:t>人信息，转移危险废物的种类、重量（数量）、危险特性等信息，以及突发环境事件的防范措施等；</w:t>
            </w:r>
          </w:p>
          <w:p w14:paraId="65DC39EA">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5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及时核实</w:t>
            </w:r>
            <w:r>
              <w:rPr>
                <w:rFonts w:hint="default" w:ascii="Times New Roman" w:hAnsi="Times New Roman" w:cs="Times New Roman"/>
                <w:color w:val="auto"/>
                <w:sz w:val="24"/>
                <w:szCs w:val="24"/>
                <w:highlight w:val="none"/>
                <w:lang w:val="en-US" w:eastAsia="zh-CN"/>
              </w:rPr>
              <w:t>接收</w:t>
            </w:r>
            <w:r>
              <w:rPr>
                <w:rFonts w:hint="default" w:ascii="Times New Roman" w:hAnsi="Times New Roman" w:eastAsia="宋体" w:cs="Times New Roman"/>
                <w:color w:val="auto"/>
                <w:sz w:val="24"/>
                <w:szCs w:val="24"/>
                <w:highlight w:val="none"/>
                <w:lang w:val="en-US" w:eastAsia="zh-CN"/>
              </w:rPr>
              <w:t>人贮存、利用或者处置相关危险废物情况；</w:t>
            </w:r>
          </w:p>
          <w:p w14:paraId="6CEC52A0">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6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法律法规规定的其他义务。</w:t>
            </w:r>
          </w:p>
          <w:p w14:paraId="6830C801">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因此，项目运营后产生的固体废物种类明确，各类固体废物处置去向明确，切实可行，不会造成二次污染。</w:t>
            </w:r>
          </w:p>
          <w:p w14:paraId="66935DA1">
            <w:pPr>
              <w:pStyle w:val="7"/>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一般固体废物管理要求</w:t>
            </w:r>
          </w:p>
          <w:p w14:paraId="0EC472B9">
            <w:pPr>
              <w:pStyle w:val="59"/>
              <w:numPr>
                <w:ilvl w:val="0"/>
                <w:numId w:val="0"/>
              </w:numPr>
              <w:ind w:left="480" w:leftChars="0"/>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一般固体废物需集中收集，并建立一般固体废物管理台账。</w:t>
            </w:r>
          </w:p>
          <w:p w14:paraId="62035334">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综上所述，本项目固体废物均有明确合理的处置去向，不会对环境构成制约因素。</w:t>
            </w:r>
          </w:p>
          <w:p w14:paraId="408D2B4C">
            <w:pPr>
              <w:ind w:firstLine="0" w:firstLineChars="0"/>
              <w:jc w:val="left"/>
              <w:rPr>
                <w:rFonts w:hint="default" w:ascii="Times New Roman" w:hAnsi="Times New Roman"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4.</w:t>
            </w:r>
            <w:r>
              <w:rPr>
                <w:rFonts w:hint="default" w:ascii="Times New Roman" w:hAnsi="Times New Roman"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地下水</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lang w:val="en-US" w:eastAsia="zh-CN"/>
              </w:rPr>
              <w:t>土壤</w:t>
            </w:r>
          </w:p>
          <w:p w14:paraId="081E8C0C">
            <w:pPr>
              <w:autoSpaceDE w:val="0"/>
              <w:autoSpaceDN w:val="0"/>
              <w:ind w:firstLine="482"/>
              <w:textAlignment w:val="baseline"/>
              <w:rPr>
                <w:rFonts w:hint="default" w:ascii="Times New Roman" w:hAnsi="Times New Roman" w:cs="Times New Roman"/>
                <w:b w:val="0"/>
                <w:bCs/>
              </w:rPr>
            </w:pPr>
            <w:r>
              <w:rPr>
                <w:rFonts w:hint="default" w:ascii="Times New Roman" w:hAnsi="Times New Roman" w:cs="Times New Roman"/>
                <w:b w:val="0"/>
                <w:bCs/>
                <w:snapToGrid w:val="0"/>
                <w:lang w:eastAsia="zh-CN"/>
              </w:rPr>
              <w:t>（</w:t>
            </w:r>
            <w:r>
              <w:rPr>
                <w:rFonts w:hint="default" w:ascii="Times New Roman" w:hAnsi="Times New Roman" w:cs="Times New Roman"/>
                <w:b w:val="0"/>
                <w:bCs/>
                <w:snapToGrid w:val="0"/>
                <w:lang w:val="en-US" w:eastAsia="zh-CN"/>
              </w:rPr>
              <w:t>1</w:t>
            </w:r>
            <w:r>
              <w:rPr>
                <w:rFonts w:hint="default" w:ascii="Times New Roman" w:hAnsi="Times New Roman" w:cs="Times New Roman"/>
                <w:b w:val="0"/>
                <w:bCs/>
                <w:snapToGrid w:val="0"/>
                <w:lang w:eastAsia="zh-CN"/>
              </w:rPr>
              <w:t>）</w:t>
            </w:r>
            <w:r>
              <w:rPr>
                <w:rFonts w:hint="default" w:ascii="Times New Roman" w:hAnsi="Times New Roman" w:cs="Times New Roman"/>
                <w:b w:val="0"/>
                <w:bCs/>
                <w:snapToGrid w:val="0"/>
              </w:rPr>
              <w:t>地下水及土壤污染途径识别</w:t>
            </w:r>
          </w:p>
          <w:p w14:paraId="1CA07918">
            <w:pPr>
              <w:adjustRightInd/>
              <w:snapToGrid/>
              <w:ind w:firstLine="480"/>
              <w:rPr>
                <w:rFonts w:hint="default" w:ascii="Times New Roman" w:hAnsi="Times New Roman" w:cs="Times New Roman"/>
              </w:rPr>
            </w:pPr>
            <w:r>
              <w:rPr>
                <w:rFonts w:hint="default" w:ascii="Times New Roman" w:hAnsi="Times New Roman" w:cs="Times New Roman"/>
                <w:lang w:val="en-US" w:eastAsia="zh-CN"/>
              </w:rPr>
              <w:t>本项目无生产废水</w:t>
            </w:r>
            <w:r>
              <w:rPr>
                <w:rFonts w:hint="default" w:ascii="Times New Roman" w:hAnsi="Times New Roman" w:cs="Times New Roman"/>
              </w:rPr>
              <w:t>，生活污水经市政管网</w:t>
            </w:r>
            <w:r>
              <w:rPr>
                <w:rFonts w:hint="default" w:ascii="Times New Roman" w:hAnsi="Times New Roman" w:cs="Times New Roman"/>
                <w:lang w:eastAsia="zh-CN"/>
              </w:rPr>
              <w:t>排入</w:t>
            </w:r>
            <w:r>
              <w:rPr>
                <w:rFonts w:hint="default" w:ascii="Times New Roman" w:hAnsi="Times New Roman" w:cs="Times New Roman"/>
                <w:lang w:val="en-US" w:eastAsia="zh-CN"/>
              </w:rPr>
              <w:t>园区</w:t>
            </w:r>
            <w:r>
              <w:rPr>
                <w:rFonts w:hint="default" w:ascii="Times New Roman" w:hAnsi="Times New Roman" w:cs="Times New Roman"/>
              </w:rPr>
              <w:t>污水处理厂处理，正常情况下无地下水及土壤污染途径。</w:t>
            </w:r>
          </w:p>
          <w:p w14:paraId="204D648A">
            <w:pPr>
              <w:adjustRightInd/>
              <w:snapToGrid/>
              <w:ind w:firstLine="480"/>
              <w:rPr>
                <w:rFonts w:hint="default" w:ascii="Times New Roman" w:hAnsi="Times New Roman" w:cs="Times New Roman"/>
              </w:rPr>
            </w:pPr>
            <w:r>
              <w:rPr>
                <w:rFonts w:hint="default" w:ascii="Times New Roman" w:hAnsi="Times New Roman" w:cs="Times New Roman"/>
              </w:rPr>
              <w:t>根据本项目特点，对土壤、地下水可能产生的影响主要来源于危废暂存间存储的废机油垂直入渗。</w:t>
            </w:r>
          </w:p>
          <w:p w14:paraId="16AC455E">
            <w:pPr>
              <w:adjustRightInd/>
              <w:snapToGrid/>
              <w:ind w:firstLine="480"/>
              <w:rPr>
                <w:rFonts w:hint="default" w:ascii="Times New Roman" w:hAnsi="Times New Roman" w:cs="Times New Roman"/>
              </w:rPr>
            </w:pPr>
            <w:r>
              <w:rPr>
                <w:rFonts w:hint="default" w:ascii="Times New Roman" w:hAnsi="Times New Roman" w:cs="Times New Roman"/>
              </w:rPr>
              <w:t>废机油通过垂直渗透进入包气带，进入包气带的废机油在物理、化学和生物作用下经吸附、转化、迁移和分解后最终输入地下水，造成地下水水质恶化。项目危废暂存间地面做防渗处理，且设置事故收集装置。正常情况下不会造成土壤、地下水污染本次环评仅针对危险废物废机油泄漏提出地下水、土壤的污染防控措施</w:t>
            </w:r>
            <w:r>
              <w:rPr>
                <w:rFonts w:hint="default" w:ascii="Times New Roman" w:hAnsi="Times New Roman" w:cs="Times New Roman"/>
                <w:b w:val="0"/>
                <w:bCs w:val="0"/>
                <w:color w:val="auto"/>
                <w:sz w:val="24"/>
                <w:szCs w:val="24"/>
                <w:highlight w:val="none"/>
              </w:rPr>
              <w:t>。</w:t>
            </w:r>
          </w:p>
          <w:p w14:paraId="1022F685">
            <w:pPr>
              <w:numPr>
                <w:ilvl w:val="0"/>
                <w:numId w:val="0"/>
              </w:numPr>
              <w:adjustRightInd/>
              <w:snapToGrid/>
              <w:ind w:firstLine="480" w:firstLineChars="200"/>
              <w:rPr>
                <w:rFonts w:hint="default" w:ascii="Times New Roman" w:hAnsi="Times New Roman" w:cs="Times New Roman"/>
                <w:b w:val="0"/>
                <w:bCs/>
                <w:snapToGrid w:val="0"/>
              </w:rPr>
            </w:pPr>
            <w:r>
              <w:rPr>
                <w:rFonts w:hint="default" w:ascii="Times New Roman" w:hAnsi="Times New Roman" w:eastAsia="宋体" w:cs="Times New Roman"/>
                <w:b w:val="0"/>
                <w:bCs/>
                <w:snapToGrid w:val="0"/>
                <w:kern w:val="2"/>
                <w:sz w:val="24"/>
                <w:szCs w:val="24"/>
                <w:lang w:val="en-US" w:eastAsia="zh-CN" w:bidi="ar-SA"/>
              </w:rPr>
              <w:t>（2）</w:t>
            </w:r>
            <w:r>
              <w:rPr>
                <w:rFonts w:hint="default" w:ascii="Times New Roman" w:hAnsi="Times New Roman" w:cs="Times New Roman"/>
                <w:b w:val="0"/>
                <w:bCs/>
                <w:snapToGrid w:val="0"/>
              </w:rPr>
              <w:t>预防措施</w:t>
            </w:r>
          </w:p>
          <w:p w14:paraId="720405D8">
            <w:pPr>
              <w:adjustRightInd/>
              <w:snapToGrid/>
              <w:ind w:firstLine="480"/>
              <w:rPr>
                <w:rFonts w:hint="default" w:ascii="Times New Roman" w:hAnsi="Times New Roman" w:cs="Times New Roman"/>
              </w:rPr>
            </w:pPr>
            <w:r>
              <w:rPr>
                <w:rFonts w:hint="default" w:ascii="Times New Roman" w:hAnsi="Times New Roman" w:cs="Times New Roman"/>
              </w:rPr>
              <w:t>地下水、土壤污染防治主要是以预防为主，防治结合。</w:t>
            </w:r>
          </w:p>
          <w:p w14:paraId="7A2EB385">
            <w:pPr>
              <w:adjustRightInd/>
              <w:snapToGrid/>
              <w:ind w:firstLine="480"/>
              <w:rPr>
                <w:rFonts w:hint="default" w:ascii="Times New Roman" w:hAnsi="Times New Roman" w:cs="Times New Roman"/>
              </w:rPr>
            </w:pPr>
            <w:r>
              <w:rPr>
                <w:rFonts w:hint="default" w:ascii="Times New Roman" w:hAnsi="Times New Roman" w:cs="Times New Roman"/>
              </w:rPr>
              <w:t>渗透污染是导致地下水、土壤污染的普遍和主要方式，可能来源于事故排放和工程防渗透措施不规范。针对厂区各工作区特点和岩土层情况，进行分区防渗。</w:t>
            </w:r>
          </w:p>
          <w:p w14:paraId="5F264632">
            <w:pPr>
              <w:adjustRightInd/>
              <w:snapToGrid/>
              <w:ind w:firstLine="480"/>
              <w:rPr>
                <w:rFonts w:hint="default" w:ascii="Times New Roman" w:hAnsi="Times New Roman" w:cs="Times New Roman"/>
              </w:rPr>
            </w:pPr>
            <w:r>
              <w:rPr>
                <w:rFonts w:hint="default" w:ascii="Times New Roman" w:hAnsi="Times New Roman" w:cs="Times New Roman"/>
              </w:rPr>
              <w:t>本工程的地下水防控应以水平防渗为主，防控措施应满足相关规范。按照《环境影响评价技术导则 地下水环境》（HJ610-2016）将对危废暂存间做重点防渗处理；对其他生产区做简单防渗处理。</w:t>
            </w:r>
          </w:p>
          <w:p w14:paraId="3C9C7FAE">
            <w:pPr>
              <w:adjustRightInd/>
              <w:snapToGrid/>
              <w:ind w:firstLine="480"/>
              <w:rPr>
                <w:rFonts w:hint="default" w:ascii="Times New Roman" w:hAnsi="Times New Roman" w:cs="Times New Roman"/>
              </w:rPr>
            </w:pPr>
            <w:r>
              <w:rPr>
                <w:rFonts w:hint="default" w:ascii="Times New Roman" w:hAnsi="Times New Roman" w:cs="Times New Roman"/>
              </w:rPr>
              <w:t>针对本项目可能对地下水和土壤造成的污染情况，依据相关要求，本报告建议建设单位拟采取防止地下水及土壤污染的分区防渗措施如下：</w:t>
            </w:r>
          </w:p>
          <w:p w14:paraId="22A0B6E7">
            <w:pPr>
              <w:adjustRightInd/>
              <w:snapToGrid/>
              <w:ind w:firstLine="480"/>
              <w:rPr>
                <w:rFonts w:hint="default" w:ascii="Times New Roman" w:hAnsi="Times New Roman" w:cs="Times New Roman"/>
              </w:rPr>
            </w:pPr>
            <w:r>
              <w:rPr>
                <w:rFonts w:hint="default" w:ascii="Times New Roman" w:hAnsi="Times New Roman" w:cs="Times New Roman"/>
              </w:rPr>
              <w:t>重点防渗区：危废暂存间</w:t>
            </w:r>
            <w:r>
              <w:rPr>
                <w:rFonts w:hint="eastAsia" w:cs="Times New Roman"/>
                <w:lang w:eastAsia="zh-CN"/>
              </w:rPr>
              <w:t>、</w:t>
            </w:r>
            <w:r>
              <w:rPr>
                <w:rFonts w:hint="eastAsia"/>
                <w:lang w:eastAsia="zh-CN"/>
              </w:rPr>
              <w:t>磷酸二铵溶液储罐区</w:t>
            </w:r>
            <w:r>
              <w:rPr>
                <w:rFonts w:hint="default" w:ascii="Times New Roman" w:hAnsi="Times New Roman" w:cs="Times New Roman"/>
              </w:rPr>
              <w:t>，采用</w:t>
            </w:r>
            <w:r>
              <w:rPr>
                <w:rFonts w:hint="default" w:ascii="Times New Roman" w:hAnsi="Times New Roman" w:eastAsia="宋体" w:cs="Times New Roman"/>
              </w:rPr>
              <w:t>混凝土硬化地面并涂刷2层防渗胶层防渗，确保防渗性能与6.0m厚黏土层（渗透系数K≤1×10</w:t>
            </w:r>
            <w:r>
              <w:rPr>
                <w:rFonts w:hint="default" w:ascii="Times New Roman" w:hAnsi="Times New Roman" w:eastAsia="宋体" w:cs="Times New Roman"/>
                <w:vertAlign w:val="superscript"/>
              </w:rPr>
              <w:t>-7</w:t>
            </w:r>
            <w:r>
              <w:rPr>
                <w:rFonts w:hint="default" w:ascii="Times New Roman" w:hAnsi="Times New Roman" w:eastAsia="宋体" w:cs="Times New Roman"/>
              </w:rPr>
              <w:t>cm/s）等效</w:t>
            </w:r>
            <w:r>
              <w:rPr>
                <w:rFonts w:hint="eastAsia" w:cs="Times New Roman"/>
                <w:lang w:eastAsia="zh-CN"/>
              </w:rPr>
              <w:t>。</w:t>
            </w:r>
          </w:p>
          <w:p w14:paraId="49BDA528">
            <w:pPr>
              <w:adjustRightInd/>
              <w:snapToGrid/>
              <w:ind w:firstLine="480"/>
              <w:rPr>
                <w:rFonts w:hint="default" w:ascii="Times New Roman" w:hAnsi="Times New Roman" w:cs="Times New Roman"/>
              </w:rPr>
            </w:pPr>
            <w:r>
              <w:rPr>
                <w:rFonts w:hint="default" w:ascii="Times New Roman" w:hAnsi="Times New Roman" w:cs="Times New Roman"/>
              </w:rPr>
              <w:t>一般防渗区：生产厂房，采用防渗混凝土防渗，等效黏土防渗层Mb≥1.5m，K≤1×10</w:t>
            </w:r>
            <w:r>
              <w:rPr>
                <w:rFonts w:hint="default" w:ascii="Times New Roman" w:hAnsi="Times New Roman" w:cs="Times New Roman"/>
                <w:vertAlign w:val="superscript"/>
              </w:rPr>
              <w:t>-7</w:t>
            </w:r>
            <w:r>
              <w:rPr>
                <w:rFonts w:hint="default" w:ascii="Times New Roman" w:hAnsi="Times New Roman" w:cs="Times New Roman"/>
              </w:rPr>
              <w:t>cm/s；</w:t>
            </w:r>
          </w:p>
          <w:p w14:paraId="1256B0DB">
            <w:pPr>
              <w:adjustRightInd/>
              <w:snapToGrid/>
              <w:ind w:firstLine="480"/>
              <w:rPr>
                <w:rFonts w:hint="default" w:ascii="Times New Roman" w:hAnsi="Times New Roman" w:cs="Times New Roman"/>
              </w:rPr>
            </w:pPr>
            <w:r>
              <w:rPr>
                <w:rFonts w:hint="default" w:ascii="Times New Roman" w:hAnsi="Times New Roman" w:cs="Times New Roman"/>
              </w:rPr>
              <w:t>简单防渗区：生活区、道路等除重点防渗及一般防渗区外的区域，采用铺砌地坪或一般混凝土地面；</w:t>
            </w:r>
          </w:p>
          <w:p w14:paraId="568CBA48">
            <w:pPr>
              <w:adjustRightInd/>
              <w:snapToGrid/>
              <w:ind w:firstLine="480"/>
              <w:rPr>
                <w:rFonts w:hint="default" w:ascii="Times New Roman" w:hAnsi="Times New Roman" w:cs="Times New Roman"/>
              </w:rPr>
            </w:pPr>
            <w:r>
              <w:rPr>
                <w:rFonts w:hint="default" w:ascii="Times New Roman" w:hAnsi="Times New Roman" w:cs="Times New Roman"/>
              </w:rPr>
              <w:t>综上所述，企业在加强管理，强化防渗措施，做好水工构件</w:t>
            </w:r>
            <w:r>
              <w:rPr>
                <w:rFonts w:hint="default" w:ascii="Times New Roman" w:hAnsi="Times New Roman" w:cs="Times New Roman"/>
                <w:spacing w:val="-6"/>
              </w:rPr>
              <w:t>的防渗，在落实各项环保措施的条件下，本项目不会对区域内地下水及土壤产生影响，治理措施可行。</w:t>
            </w:r>
          </w:p>
          <w:p w14:paraId="64CB4A0B">
            <w:pPr>
              <w:pStyle w:val="54"/>
              <w:jc w:val="left"/>
              <w:outlineLvl w:val="9"/>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val="0"/>
                <w:color w:val="auto"/>
                <w:sz w:val="24"/>
                <w:szCs w:val="24"/>
                <w:highlight w:val="none"/>
              </w:rPr>
              <w:t>4.6土壤环境影响分析及污染防治措施</w:t>
            </w:r>
          </w:p>
          <w:p w14:paraId="223465F5">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根据《环境影响评价技术导则土壤环境（试行）》（HJ964-2018）的规定，对项目土壤环境按评价工作分级判据进行分级，本项目属于</w:t>
            </w:r>
            <w:r>
              <w:rPr>
                <w:rFonts w:hint="default" w:ascii="Times New Roman" w:hAnsi="Times New Roman" w:cs="Times New Roman"/>
                <w:color w:val="auto"/>
                <w:sz w:val="24"/>
                <w:szCs w:val="24"/>
                <w:highlight w:val="none"/>
                <w:lang w:eastAsia="zh-CN"/>
              </w:rPr>
              <w:t>Ⅳ类</w:t>
            </w:r>
            <w:r>
              <w:rPr>
                <w:rFonts w:hint="default" w:ascii="Times New Roman" w:hAnsi="Times New Roman" w:eastAsia="宋体" w:cs="Times New Roman"/>
                <w:color w:val="auto"/>
                <w:sz w:val="24"/>
                <w:szCs w:val="24"/>
                <w:highlight w:val="none"/>
              </w:rPr>
              <w:t>项目。</w:t>
            </w:r>
          </w:p>
          <w:p w14:paraId="3EF79B4F">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4.6.1污染源及污染途径</w:t>
            </w:r>
          </w:p>
          <w:p w14:paraId="230F8E12">
            <w:pPr>
              <w:pStyle w:val="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项目运营期地下水及土壤的污染源主要为生活</w:t>
            </w:r>
            <w:r>
              <w:rPr>
                <w:rFonts w:hint="default" w:ascii="Times New Roman" w:hAnsi="Times New Roman" w:eastAsia="宋体"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水，本工程对地下水的主要污染途径为下渗：①项目危险废物暂存过程，盛装容器发生破裂，液体下渗污染地下水及土壤；②项目区内防渗</w:t>
            </w:r>
            <w:r>
              <w:rPr>
                <w:rFonts w:hint="default" w:ascii="Times New Roman" w:hAnsi="Times New Roman"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rPr>
              <w:t>破裂造成污水下渗污染地下水及土壤。</w:t>
            </w:r>
          </w:p>
          <w:p w14:paraId="66D65981">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4.6.2防控措施</w:t>
            </w:r>
          </w:p>
          <w:p w14:paraId="4DBC3B04">
            <w:pPr>
              <w:pStyle w:val="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（1）预防措施</w:t>
            </w:r>
          </w:p>
          <w:p w14:paraId="182A5A57">
            <w:pPr>
              <w:pStyle w:val="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防措施主要是在本项目工程设计、施工时，应严把设计、施工质量关，杜绝因材质、制管、防腐涂层、焊接缺陷及运行失误造成的管线泄漏，生产运行过程中，必须严格控制生产装置的无组织泄漏，强化监控手段，定期检查，杜绝厂区存在长期事故排放点源的现象保护厂址区域地下水资源。</w:t>
            </w:r>
          </w:p>
          <w:p w14:paraId="3FAB825F">
            <w:pPr>
              <w:pStyle w:val="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（2）防渗分区措施</w:t>
            </w:r>
          </w:p>
          <w:p w14:paraId="1C77FE71">
            <w:pPr>
              <w:pStyle w:val="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为有效预防地下水污染，本项目采取分区防渗措施。本项目按重点防渗区和简单防渗区分区域进行防渗处理。</w:t>
            </w:r>
          </w:p>
          <w:p w14:paraId="11317BFC">
            <w:pPr>
              <w:pStyle w:val="60"/>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重点防渗区包括危废暂存间。其他生产生活设施为简单防渗区，仅做一般地面硬化。</w:t>
            </w:r>
          </w:p>
          <w:p w14:paraId="35541598">
            <w:pPr>
              <w:pStyle w:val="60"/>
              <w:adjustRightInd w:val="0"/>
              <w:snapToGrid w:val="0"/>
              <w:spacing w:line="240" w:lineRule="auto"/>
              <w:ind w:firstLine="42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kern w:val="0"/>
                <w:sz w:val="21"/>
                <w:szCs w:val="21"/>
                <w:highlight w:val="none"/>
              </w:rPr>
              <w:t>表4-1</w:t>
            </w:r>
            <w:r>
              <w:rPr>
                <w:rFonts w:hint="default" w:ascii="Times New Roman" w:hAnsi="Times New Roman" w:cs="Times New Roman"/>
                <w:b/>
                <w:bCs w:val="0"/>
                <w:color w:val="auto"/>
                <w:kern w:val="0"/>
                <w:sz w:val="21"/>
                <w:szCs w:val="21"/>
                <w:highlight w:val="none"/>
                <w:lang w:val="en-US" w:eastAsia="zh-CN"/>
              </w:rPr>
              <w:t>1</w:t>
            </w:r>
            <w:r>
              <w:rPr>
                <w:rFonts w:hint="default" w:ascii="Times New Roman" w:hAnsi="Times New Roman" w:eastAsia="宋体" w:cs="Times New Roman"/>
                <w:b/>
                <w:bCs w:val="0"/>
                <w:color w:val="auto"/>
                <w:kern w:val="0"/>
                <w:sz w:val="21"/>
                <w:szCs w:val="21"/>
                <w:highlight w:val="none"/>
              </w:rPr>
              <w:t xml:space="preserve">   项目污染地下水途径及防治措施一览表</w:t>
            </w:r>
          </w:p>
          <w:tbl>
            <w:tblPr>
              <w:tblStyle w:val="29"/>
              <w:tblW w:w="8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500"/>
              <w:gridCol w:w="1975"/>
              <w:gridCol w:w="4049"/>
            </w:tblGrid>
            <w:tr w14:paraId="704CBF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80" w:type="dxa"/>
                  <w:tcBorders>
                    <w:tl2br w:val="nil"/>
                    <w:tr2bl w:val="nil"/>
                  </w:tcBorders>
                  <w:vAlign w:val="center"/>
                </w:tcPr>
                <w:p w14:paraId="776FFD6D">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00" w:type="dxa"/>
                  <w:tcBorders>
                    <w:tl2br w:val="nil"/>
                    <w:tr2bl w:val="nil"/>
                  </w:tcBorders>
                  <w:vAlign w:val="center"/>
                </w:tcPr>
                <w:p w14:paraId="469312A6">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975" w:type="dxa"/>
                  <w:tcBorders>
                    <w:tl2br w:val="nil"/>
                    <w:tr2bl w:val="nil"/>
                  </w:tcBorders>
                  <w:vAlign w:val="center"/>
                </w:tcPr>
                <w:p w14:paraId="4553469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4049" w:type="dxa"/>
                  <w:tcBorders>
                    <w:tl2br w:val="nil"/>
                    <w:tr2bl w:val="nil"/>
                  </w:tcBorders>
                  <w:vAlign w:val="center"/>
                </w:tcPr>
                <w:p w14:paraId="6780FC40">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保护措施</w:t>
                  </w:r>
                </w:p>
              </w:tc>
            </w:tr>
            <w:tr w14:paraId="41EF5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l2br w:val="nil"/>
                    <w:tr2bl w:val="nil"/>
                  </w:tcBorders>
                  <w:vAlign w:val="center"/>
                </w:tcPr>
                <w:p w14:paraId="01C8935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00" w:type="dxa"/>
                  <w:tcBorders>
                    <w:tl2br w:val="nil"/>
                    <w:tr2bl w:val="nil"/>
                  </w:tcBorders>
                  <w:vAlign w:val="center"/>
                </w:tcPr>
                <w:p w14:paraId="68840B0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1975" w:type="dxa"/>
                  <w:tcBorders>
                    <w:tl2br w:val="nil"/>
                    <w:tr2bl w:val="nil"/>
                  </w:tcBorders>
                  <w:vAlign w:val="center"/>
                </w:tcPr>
                <w:p w14:paraId="4C26FDFD">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危废暂存间、</w:t>
                  </w:r>
                  <w:r>
                    <w:rPr>
                      <w:rFonts w:hint="default" w:ascii="Times New Roman" w:hAnsi="Times New Roman" w:cs="Times New Roman"/>
                      <w:color w:val="auto"/>
                      <w:sz w:val="21"/>
                      <w:szCs w:val="21"/>
                      <w:highlight w:val="none"/>
                      <w:lang w:val="en-US" w:eastAsia="zh-CN"/>
                    </w:rPr>
                    <w:t>隔油池、</w:t>
                  </w:r>
                  <w:r>
                    <w:rPr>
                      <w:rFonts w:hint="default" w:ascii="Times New Roman" w:hAnsi="Times New Roman" w:cs="Times New Roman"/>
                      <w:color w:val="auto"/>
                      <w:sz w:val="21"/>
                      <w:highlight w:val="none"/>
                      <w:lang w:eastAsia="zh-CN"/>
                    </w:rPr>
                    <w:t>磷酸二铵储罐</w:t>
                  </w:r>
                </w:p>
              </w:tc>
              <w:tc>
                <w:tcPr>
                  <w:tcW w:w="4049" w:type="dxa"/>
                  <w:tcBorders>
                    <w:tl2br w:val="nil"/>
                    <w:tr2bl w:val="nil"/>
                  </w:tcBorders>
                  <w:vAlign w:val="center"/>
                </w:tcPr>
                <w:p w14:paraId="44D680A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混凝土硬化地面并涂刷2层防渗胶层防渗，确保防渗性能与6.0m厚黏土层（渗透系数K≤1×10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cm/s）等效。</w:t>
                  </w:r>
                </w:p>
              </w:tc>
            </w:tr>
            <w:tr w14:paraId="0193A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dxa"/>
                  <w:tcBorders>
                    <w:tl2br w:val="nil"/>
                    <w:tr2bl w:val="nil"/>
                  </w:tcBorders>
                  <w:vAlign w:val="center"/>
                </w:tcPr>
                <w:p w14:paraId="08F6070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00" w:type="dxa"/>
                  <w:tcBorders>
                    <w:tl2br w:val="nil"/>
                    <w:tr2bl w:val="nil"/>
                  </w:tcBorders>
                  <w:vAlign w:val="center"/>
                </w:tcPr>
                <w:p w14:paraId="4DF7144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1975" w:type="dxa"/>
                  <w:tcBorders>
                    <w:tl2br w:val="nil"/>
                    <w:tr2bl w:val="nil"/>
                  </w:tcBorders>
                  <w:vAlign w:val="center"/>
                </w:tcPr>
                <w:p w14:paraId="7D6A7130">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其他生产生活设施</w:t>
                  </w:r>
                </w:p>
              </w:tc>
              <w:tc>
                <w:tcPr>
                  <w:tcW w:w="4049" w:type="dxa"/>
                  <w:tcBorders>
                    <w:tl2br w:val="nil"/>
                    <w:tr2bl w:val="nil"/>
                  </w:tcBorders>
                  <w:vAlign w:val="center"/>
                </w:tcPr>
                <w:p w14:paraId="0A6B5DA8">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地面硬化</w:t>
                  </w:r>
                </w:p>
              </w:tc>
            </w:tr>
          </w:tbl>
          <w:p w14:paraId="3FD83C3D">
            <w:pPr>
              <w:pStyle w:val="54"/>
              <w:jc w:val="left"/>
              <w:outlineLvl w:val="9"/>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val="0"/>
                <w:color w:val="auto"/>
                <w:sz w:val="24"/>
                <w:szCs w:val="24"/>
                <w:highlight w:val="none"/>
              </w:rPr>
              <w:t>4.</w:t>
            </w:r>
            <w:bookmarkStart w:id="15" w:name="_Toc483733166"/>
            <w:bookmarkStart w:id="16" w:name="_Toc492549901"/>
            <w:bookmarkStart w:id="17" w:name="_Toc485196111"/>
            <w:bookmarkStart w:id="18" w:name="_Toc433814561"/>
            <w:bookmarkStart w:id="19" w:name="_Toc8184"/>
            <w:bookmarkStart w:id="20" w:name="_Toc477542421"/>
            <w:bookmarkStart w:id="21" w:name="_Toc448920647"/>
            <w:bookmarkStart w:id="22" w:name="_Toc398849229"/>
            <w:bookmarkStart w:id="23" w:name="_Toc15867"/>
            <w:bookmarkStart w:id="24" w:name="_Toc26045"/>
            <w:bookmarkStart w:id="25" w:name="_Toc13822"/>
            <w:bookmarkStart w:id="26" w:name="_Toc11536"/>
            <w:r>
              <w:rPr>
                <w:rFonts w:hint="default" w:ascii="Times New Roman" w:hAnsi="Times New Roman" w:eastAsia="宋体" w:cs="Times New Roman"/>
                <w:bCs w:val="0"/>
                <w:color w:val="auto"/>
                <w:sz w:val="24"/>
                <w:szCs w:val="24"/>
                <w:highlight w:val="none"/>
              </w:rPr>
              <w:t>7环境风险分析</w:t>
            </w:r>
            <w:bookmarkEnd w:id="15"/>
            <w:bookmarkEnd w:id="16"/>
            <w:bookmarkEnd w:id="17"/>
            <w:bookmarkStart w:id="27" w:name="_Toc485196112"/>
            <w:bookmarkStart w:id="28" w:name="_Toc483733167"/>
          </w:p>
          <w:p w14:paraId="20B9CDC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环境风险评价的目的是根据国家环境保护部（环发〔2012〕77号）</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关于进一步加强环境影响评价管理防范环境风险的通知</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的文件精神，按照《建设项目环境风险评价技术导则》（HJ169-2018）要求，对建设项目建设和运行期间发生的可预</w:t>
            </w:r>
            <w:r>
              <w:rPr>
                <w:rFonts w:hint="default" w:ascii="Times New Roman" w:hAnsi="Times New Roman" w:cs="Times New Roman"/>
                <w:color w:val="auto"/>
                <w:sz w:val="24"/>
                <w:szCs w:val="24"/>
                <w:highlight w:val="none"/>
                <w:lang w:eastAsia="zh-CN"/>
              </w:rPr>
              <w:t>测的</w:t>
            </w:r>
            <w:r>
              <w:rPr>
                <w:rFonts w:hint="default" w:ascii="Times New Roman" w:hAnsi="Times New Roman" w:eastAsia="宋体" w:cs="Times New Roman"/>
                <w:color w:val="auto"/>
                <w:sz w:val="24"/>
                <w:szCs w:val="24"/>
                <w:highlight w:val="none"/>
              </w:rPr>
              <w:t>突然性事件或事故，引起有毒有害、易燃易爆等物质泄漏或突发事件产生的新的有毒有害物质，所造成对人身安全与环境的影响和损害程度进行评估，进而提出可行的防范、应急与减缓措施。</w:t>
            </w:r>
          </w:p>
          <w:p w14:paraId="41EE9981">
            <w:pPr>
              <w:ind w:firstLine="0" w:firstLineChars="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4.7.1风险识别</w:t>
            </w:r>
          </w:p>
          <w:bookmarkEnd w:id="18"/>
          <w:bookmarkEnd w:id="19"/>
          <w:bookmarkEnd w:id="20"/>
          <w:bookmarkEnd w:id="21"/>
          <w:bookmarkEnd w:id="22"/>
          <w:bookmarkEnd w:id="23"/>
          <w:bookmarkEnd w:id="24"/>
          <w:bookmarkEnd w:id="25"/>
          <w:bookmarkEnd w:id="26"/>
          <w:bookmarkEnd w:id="27"/>
          <w:bookmarkEnd w:id="28"/>
          <w:p w14:paraId="3D5CF50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工程分析中项目所涉及的物质，筛选出生产、加工、运输及储存过程中涉及的危险物质，结合《建设项目环境风险评价技术导则》（HJ169-2018）附录B及《危险化学品重大危险源辨识》（GB18218-2018）相关物质进行对比，判定如下：</w:t>
            </w:r>
          </w:p>
          <w:p w14:paraId="123B261E">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本项目涉及的危险物质为废机油。废机油最大储存量为0.</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t，项目所处区域为非敏感地区，风险物质数量与其临界量比值（Q）见表4-1</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4B178A26">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表4-1</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 xml:space="preserve">   本项目危险化学品重大危险源辨识</w:t>
            </w:r>
          </w:p>
          <w:tbl>
            <w:tblPr>
              <w:tblStyle w:val="29"/>
              <w:tblW w:w="47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910"/>
              <w:gridCol w:w="1650"/>
              <w:gridCol w:w="1666"/>
              <w:gridCol w:w="1137"/>
            </w:tblGrid>
            <w:tr w14:paraId="62AB5A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37" w:type="dxa"/>
                  <w:tcMar>
                    <w:top w:w="28" w:type="dxa"/>
                    <w:left w:w="108" w:type="dxa"/>
                    <w:bottom w:w="28" w:type="dxa"/>
                    <w:right w:w="108" w:type="dxa"/>
                  </w:tcMar>
                  <w:vAlign w:val="center"/>
                </w:tcPr>
                <w:p w14:paraId="5FB86A36">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功能单元</w:t>
                  </w:r>
                </w:p>
              </w:tc>
              <w:tc>
                <w:tcPr>
                  <w:tcW w:w="1910" w:type="dxa"/>
                  <w:tcMar>
                    <w:top w:w="28" w:type="dxa"/>
                    <w:left w:w="108" w:type="dxa"/>
                    <w:bottom w:w="28" w:type="dxa"/>
                    <w:right w:w="108" w:type="dxa"/>
                  </w:tcMar>
                  <w:vAlign w:val="center"/>
                </w:tcPr>
                <w:p w14:paraId="00258B0B">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物质名称</w:t>
                  </w:r>
                </w:p>
              </w:tc>
              <w:tc>
                <w:tcPr>
                  <w:tcW w:w="1650" w:type="dxa"/>
                  <w:tcMar>
                    <w:top w:w="28" w:type="dxa"/>
                    <w:left w:w="108" w:type="dxa"/>
                    <w:bottom w:w="28" w:type="dxa"/>
                    <w:right w:w="108" w:type="dxa"/>
                  </w:tcMar>
                  <w:vAlign w:val="center"/>
                </w:tcPr>
                <w:p w14:paraId="7AD4D8A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临界量（Qn）t</w:t>
                  </w:r>
                </w:p>
              </w:tc>
              <w:tc>
                <w:tcPr>
                  <w:tcW w:w="1666" w:type="dxa"/>
                  <w:tcMar>
                    <w:top w:w="28" w:type="dxa"/>
                    <w:left w:w="108" w:type="dxa"/>
                    <w:bottom w:w="28" w:type="dxa"/>
                    <w:right w:w="108" w:type="dxa"/>
                  </w:tcMar>
                  <w:vAlign w:val="center"/>
                </w:tcPr>
                <w:p w14:paraId="4E277263">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实际量（qn）t</w:t>
                  </w:r>
                </w:p>
              </w:tc>
              <w:tc>
                <w:tcPr>
                  <w:tcW w:w="1137" w:type="dxa"/>
                  <w:tcMar>
                    <w:top w:w="28" w:type="dxa"/>
                    <w:left w:w="108" w:type="dxa"/>
                    <w:bottom w:w="28" w:type="dxa"/>
                    <w:right w:w="108" w:type="dxa"/>
                  </w:tcMar>
                  <w:vAlign w:val="center"/>
                </w:tcPr>
                <w:p w14:paraId="42F864F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Q值</w:t>
                  </w:r>
                </w:p>
              </w:tc>
            </w:tr>
            <w:tr w14:paraId="64743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37" w:type="dxa"/>
                  <w:tcMar>
                    <w:top w:w="28" w:type="dxa"/>
                    <w:left w:w="108" w:type="dxa"/>
                    <w:bottom w:w="28" w:type="dxa"/>
                    <w:right w:w="108" w:type="dxa"/>
                  </w:tcMar>
                  <w:vAlign w:val="center"/>
                </w:tcPr>
                <w:p w14:paraId="446A3A2E">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危险废物暂存间</w:t>
                  </w:r>
                </w:p>
              </w:tc>
              <w:tc>
                <w:tcPr>
                  <w:tcW w:w="1910" w:type="dxa"/>
                  <w:tcMar>
                    <w:top w:w="28" w:type="dxa"/>
                    <w:left w:w="108" w:type="dxa"/>
                    <w:bottom w:w="28" w:type="dxa"/>
                    <w:right w:w="108" w:type="dxa"/>
                  </w:tcMar>
                  <w:vAlign w:val="center"/>
                </w:tcPr>
                <w:p w14:paraId="3DE35EE7">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1650" w:type="dxa"/>
                  <w:tcMar>
                    <w:top w:w="28" w:type="dxa"/>
                    <w:left w:w="108" w:type="dxa"/>
                    <w:bottom w:w="28" w:type="dxa"/>
                    <w:right w:w="108" w:type="dxa"/>
                  </w:tcMar>
                  <w:vAlign w:val="center"/>
                </w:tcPr>
                <w:p w14:paraId="68FA3D11">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666" w:type="dxa"/>
                  <w:tcMar>
                    <w:top w:w="28" w:type="dxa"/>
                    <w:left w:w="108" w:type="dxa"/>
                    <w:bottom w:w="28" w:type="dxa"/>
                    <w:right w:w="108" w:type="dxa"/>
                  </w:tcMar>
                  <w:vAlign w:val="center"/>
                </w:tcPr>
                <w:p w14:paraId="778F5EDC">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1137" w:type="dxa"/>
                  <w:tcMar>
                    <w:top w:w="28" w:type="dxa"/>
                    <w:left w:w="108" w:type="dxa"/>
                    <w:bottom w:w="28" w:type="dxa"/>
                    <w:right w:w="108" w:type="dxa"/>
                  </w:tcMar>
                  <w:vAlign w:val="center"/>
                </w:tcPr>
                <w:p w14:paraId="14FF3FCE">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w:t>
                  </w:r>
                </w:p>
              </w:tc>
            </w:tr>
            <w:tr w14:paraId="36550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763" w:type="dxa"/>
                  <w:gridSpan w:val="4"/>
                  <w:tcMar>
                    <w:top w:w="28" w:type="dxa"/>
                    <w:left w:w="108" w:type="dxa"/>
                    <w:bottom w:w="28" w:type="dxa"/>
                    <w:right w:w="108" w:type="dxa"/>
                  </w:tcMar>
                  <w:vAlign w:val="center"/>
                </w:tcPr>
                <w:p w14:paraId="1BB4CE10">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137" w:type="dxa"/>
                  <w:tcMar>
                    <w:top w:w="28" w:type="dxa"/>
                    <w:left w:w="108" w:type="dxa"/>
                    <w:bottom w:w="28" w:type="dxa"/>
                    <w:right w:w="108" w:type="dxa"/>
                  </w:tcMar>
                  <w:vAlign w:val="center"/>
                </w:tcPr>
                <w:p w14:paraId="2B20342D">
                  <w:pPr>
                    <w:pStyle w:val="4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0.0002</w:t>
                  </w:r>
                </w:p>
              </w:tc>
            </w:tr>
          </w:tbl>
          <w:p w14:paraId="433BF67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由以上数据可知，Q=qi/Qi=0.000</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w:t>
            </w:r>
          </w:p>
          <w:p w14:paraId="4062CA8D">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（2）重大危险源辨识</w:t>
            </w:r>
          </w:p>
          <w:p w14:paraId="3074F2FE">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重大危险源的辨识主要是依据物质的危险特性及其数量，本项目不构成重大危险源。</w:t>
            </w:r>
          </w:p>
          <w:p w14:paraId="5F15B525">
            <w:pPr>
              <w:ind w:firstLine="480"/>
              <w:jc w:val="left"/>
              <w:rPr>
                <w:rFonts w:hint="default" w:ascii="Times New Roman" w:hAnsi="Times New Roman" w:eastAsia="宋体" w:cs="Times New Roman"/>
                <w:color w:val="auto"/>
                <w:sz w:val="24"/>
                <w:szCs w:val="24"/>
                <w:highlight w:val="none"/>
              </w:rPr>
            </w:pPr>
            <w:bookmarkStart w:id="29" w:name="_Toc368063488"/>
            <w:bookmarkStart w:id="30" w:name="_Toc27960"/>
            <w:bookmarkStart w:id="31" w:name="_Toc319228437"/>
            <w:bookmarkStart w:id="32" w:name="_Toc485196115"/>
            <w:bookmarkStart w:id="33" w:name="_Toc357066938"/>
            <w:bookmarkStart w:id="34" w:name="_Toc10026"/>
            <w:bookmarkStart w:id="35" w:name="_Toc332103757"/>
            <w:bookmarkStart w:id="36" w:name="_Toc23075"/>
            <w:bookmarkStart w:id="37" w:name="_Toc2149"/>
            <w:bookmarkStart w:id="38" w:name="_Toc448920650"/>
            <w:bookmarkStart w:id="39" w:name="_Toc483733170"/>
            <w:bookmarkStart w:id="40" w:name="_Toc32542"/>
            <w:bookmarkStart w:id="41" w:name="_Toc433814563"/>
            <w:bookmarkStart w:id="42" w:name="_Toc346113480"/>
            <w:bookmarkStart w:id="43" w:name="_Toc22789"/>
            <w:bookmarkStart w:id="44" w:name="_Toc332103657"/>
            <w:bookmarkStart w:id="45" w:name="_Toc11337"/>
            <w:r>
              <w:rPr>
                <w:rFonts w:hint="default" w:ascii="Times New Roman" w:hAnsi="Times New Roman" w:eastAsia="宋体" w:cs="Times New Roman"/>
                <w:color w:val="auto"/>
                <w:sz w:val="24"/>
                <w:szCs w:val="24"/>
                <w:highlight w:val="none"/>
              </w:rPr>
              <w:t>（3）评价工作等级</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CDCA491">
            <w:pPr>
              <w:ind w:firstLine="480"/>
              <w:jc w:val="left"/>
              <w:rPr>
                <w:rFonts w:hint="default" w:ascii="Times New Roman" w:hAnsi="Times New Roman" w:eastAsia="宋体" w:cs="Times New Roman"/>
                <w:color w:val="auto"/>
                <w:sz w:val="24"/>
                <w:szCs w:val="24"/>
                <w:highlight w:val="none"/>
              </w:rPr>
            </w:pPr>
            <w:bookmarkStart w:id="46" w:name="_Toc9281"/>
            <w:bookmarkStart w:id="47" w:name="_Toc357066942"/>
            <w:bookmarkStart w:id="48" w:name="_Toc319228441"/>
            <w:bookmarkStart w:id="49" w:name="_Toc5740"/>
            <w:bookmarkStart w:id="50" w:name="_Toc483733171"/>
            <w:bookmarkStart w:id="51" w:name="_Toc249693727"/>
            <w:bookmarkStart w:id="52" w:name="_Toc2545"/>
            <w:bookmarkStart w:id="53" w:name="_Toc15285"/>
            <w:bookmarkStart w:id="54" w:name="_Toc332103761"/>
            <w:bookmarkStart w:id="55" w:name="_Toc433814564"/>
            <w:bookmarkStart w:id="56" w:name="_Toc477542425"/>
            <w:bookmarkStart w:id="57" w:name="_Toc332103661"/>
            <w:bookmarkStart w:id="58" w:name="_Toc19418"/>
            <w:bookmarkStart w:id="59" w:name="_Toc346113484"/>
            <w:bookmarkStart w:id="60" w:name="_Toc32458"/>
            <w:bookmarkStart w:id="61" w:name="_Toc368063492"/>
            <w:bookmarkStart w:id="62" w:name="_Toc485196116"/>
            <w:bookmarkStart w:id="63" w:name="_Toc5430"/>
            <w:bookmarkStart w:id="64" w:name="_Toc448920651"/>
            <w:r>
              <w:rPr>
                <w:rFonts w:hint="default" w:ascii="Times New Roman" w:hAnsi="Times New Roman" w:eastAsia="宋体" w:cs="Times New Roman"/>
                <w:color w:val="auto"/>
                <w:sz w:val="24"/>
                <w:szCs w:val="24"/>
                <w:highlight w:val="none"/>
              </w:rPr>
              <w:t>依据《建设项目环境风险评价技术导则》（HJ169-2018），根据项目涉及的物质及工艺系统危险性和所在地的敏感性确定环境风险潜势。</w:t>
            </w:r>
          </w:p>
          <w:p w14:paraId="53B4FD0B">
            <w:pPr>
              <w:ind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本项目不涉及危险化学品。则项目Q＜1，环境风险潜势为I，根据导则要求应进行简单分析。</w:t>
            </w:r>
          </w:p>
          <w:p w14:paraId="4D7F132D">
            <w:pPr>
              <w:pStyle w:val="55"/>
              <w:ind w:firstLine="44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表4-1</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建设项目环境风险简单分析内容表</w:t>
            </w:r>
          </w:p>
          <w:tbl>
            <w:tblPr>
              <w:tblStyle w:val="29"/>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110"/>
              <w:gridCol w:w="2274"/>
              <w:gridCol w:w="942"/>
              <w:gridCol w:w="2361"/>
            </w:tblGrid>
            <w:tr w14:paraId="22A933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519" w:type="dxa"/>
                  <w:tcBorders>
                    <w:top w:val="single" w:color="auto" w:sz="4" w:space="0"/>
                    <w:bottom w:val="single" w:color="auto" w:sz="4" w:space="0"/>
                    <w:right w:val="single" w:color="auto" w:sz="4" w:space="0"/>
                  </w:tcBorders>
                  <w:vAlign w:val="center"/>
                </w:tcPr>
                <w:p w14:paraId="4F3FD6CD">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6947" w:type="dxa"/>
                  <w:gridSpan w:val="4"/>
                  <w:tcBorders>
                    <w:top w:val="single" w:color="auto" w:sz="4" w:space="0"/>
                    <w:left w:val="single" w:color="auto" w:sz="4" w:space="0"/>
                    <w:bottom w:val="single" w:color="auto" w:sz="4" w:space="0"/>
                  </w:tcBorders>
                  <w:vAlign w:val="center"/>
                </w:tcPr>
                <w:p w14:paraId="723ABE0E">
                  <w:pPr>
                    <w:pStyle w:val="47"/>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新疆众革资源循环科技有限公司年产4万吨/年干粉灭火器报废回收循环利用示范化项目</w:t>
                  </w:r>
                </w:p>
              </w:tc>
            </w:tr>
            <w:tr w14:paraId="46820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519" w:type="dxa"/>
                  <w:tcBorders>
                    <w:top w:val="single" w:color="auto" w:sz="4" w:space="0"/>
                    <w:bottom w:val="single" w:color="auto" w:sz="4" w:space="0"/>
                    <w:right w:val="single" w:color="auto" w:sz="4" w:space="0"/>
                  </w:tcBorders>
                  <w:vAlign w:val="center"/>
                </w:tcPr>
                <w:p w14:paraId="225D4D07">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6947" w:type="dxa"/>
                  <w:gridSpan w:val="4"/>
                  <w:tcBorders>
                    <w:top w:val="single" w:color="auto" w:sz="4" w:space="0"/>
                    <w:left w:val="single" w:color="auto" w:sz="4" w:space="0"/>
                    <w:bottom w:val="single" w:color="auto" w:sz="4" w:space="0"/>
                  </w:tcBorders>
                  <w:vAlign w:val="center"/>
                </w:tcPr>
                <w:p w14:paraId="202A0482">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新疆生产建设兵团第二师铁门关市铁门关经济技术开发区经济工业园腾飞路和兴业街交汇处</w:t>
                  </w:r>
                </w:p>
                <w:p w14:paraId="16B1C581">
                  <w:pPr>
                    <w:pStyle w:val="47"/>
                    <w:rPr>
                      <w:rFonts w:hint="default" w:ascii="Times New Roman" w:hAnsi="Times New Roman" w:eastAsia="宋体" w:cs="Times New Roman"/>
                      <w:color w:val="auto"/>
                      <w:sz w:val="21"/>
                      <w:szCs w:val="21"/>
                      <w:highlight w:val="none"/>
                    </w:rPr>
                  </w:pPr>
                </w:p>
              </w:tc>
            </w:tr>
            <w:tr w14:paraId="2EA09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9" w:type="dxa"/>
                  <w:tcBorders>
                    <w:top w:val="single" w:color="auto" w:sz="4" w:space="0"/>
                    <w:bottom w:val="single" w:color="auto" w:sz="4" w:space="0"/>
                    <w:right w:val="single" w:color="auto" w:sz="4" w:space="0"/>
                  </w:tcBorders>
                  <w:vAlign w:val="center"/>
                </w:tcPr>
                <w:p w14:paraId="176D47D6">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1150" w:type="dxa"/>
                  <w:tcBorders>
                    <w:top w:val="single" w:color="auto" w:sz="4" w:space="0"/>
                    <w:left w:val="single" w:color="auto" w:sz="4" w:space="0"/>
                    <w:bottom w:val="single" w:color="auto" w:sz="4" w:space="0"/>
                    <w:right w:val="single" w:color="auto" w:sz="4" w:space="0"/>
                  </w:tcBorders>
                  <w:vAlign w:val="center"/>
                </w:tcPr>
                <w:p w14:paraId="57E4C7B2">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2366" w:type="dxa"/>
                  <w:tcBorders>
                    <w:top w:val="single" w:color="auto" w:sz="4" w:space="0"/>
                    <w:left w:val="single" w:color="auto" w:sz="4" w:space="0"/>
                    <w:bottom w:val="single" w:color="auto" w:sz="4" w:space="0"/>
                    <w:right w:val="single" w:color="auto" w:sz="4" w:space="0"/>
                  </w:tcBorders>
                  <w:vAlign w:val="center"/>
                </w:tcPr>
                <w:p w14:paraId="7D1148AB">
                  <w:pPr>
                    <w:pStyle w:val="47"/>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85°</w:t>
                  </w:r>
                  <w:r>
                    <w:rPr>
                      <w:rFonts w:hint="default" w:ascii="Times New Roman" w:hAnsi="Times New Roman" w:eastAsia="宋体"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55.028</w:t>
                  </w:r>
                  <w:r>
                    <w:rPr>
                      <w:rFonts w:hint="default" w:ascii="Times New Roman" w:hAnsi="Times New Roman" w:eastAsia="宋体" w:cs="Times New Roman"/>
                      <w:color w:val="auto"/>
                      <w:sz w:val="21"/>
                      <w:szCs w:val="21"/>
                      <w:highlight w:val="none"/>
                    </w:rPr>
                    <w:t>″</w:t>
                  </w:r>
                </w:p>
              </w:tc>
              <w:tc>
                <w:tcPr>
                  <w:tcW w:w="974" w:type="dxa"/>
                  <w:tcBorders>
                    <w:top w:val="single" w:color="auto" w:sz="4" w:space="0"/>
                    <w:left w:val="single" w:color="auto" w:sz="4" w:space="0"/>
                    <w:bottom w:val="single" w:color="auto" w:sz="4" w:space="0"/>
                    <w:right w:val="single" w:color="auto" w:sz="4" w:space="0"/>
                  </w:tcBorders>
                  <w:vAlign w:val="center"/>
                </w:tcPr>
                <w:p w14:paraId="43E09299">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2457" w:type="dxa"/>
                  <w:tcBorders>
                    <w:top w:val="single" w:color="auto" w:sz="4" w:space="0"/>
                    <w:left w:val="single" w:color="auto" w:sz="4" w:space="0"/>
                    <w:bottom w:val="single" w:color="auto" w:sz="4" w:space="0"/>
                  </w:tcBorders>
                  <w:vAlign w:val="center"/>
                </w:tcPr>
                <w:p w14:paraId="39AAF1E2">
                  <w:pPr>
                    <w:pStyle w:val="47"/>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41°</w:t>
                  </w:r>
                  <w:r>
                    <w:rPr>
                      <w:rFonts w:hint="default" w:ascii="Times New Roman" w:hAnsi="Times New Roman" w:eastAsia="宋体"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19.239</w:t>
                  </w:r>
                  <w:r>
                    <w:rPr>
                      <w:rFonts w:hint="default" w:ascii="Times New Roman" w:hAnsi="Times New Roman" w:eastAsia="宋体" w:cs="Times New Roman"/>
                      <w:color w:val="auto"/>
                      <w:sz w:val="21"/>
                      <w:szCs w:val="21"/>
                      <w:highlight w:val="none"/>
                    </w:rPr>
                    <w:t>″</w:t>
                  </w:r>
                </w:p>
              </w:tc>
            </w:tr>
            <w:tr w14:paraId="168B8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519" w:type="dxa"/>
                  <w:tcBorders>
                    <w:top w:val="single" w:color="auto" w:sz="4" w:space="0"/>
                    <w:bottom w:val="single" w:color="auto" w:sz="4" w:space="0"/>
                    <w:right w:val="single" w:color="auto" w:sz="4" w:space="0"/>
                  </w:tcBorders>
                  <w:vAlign w:val="center"/>
                </w:tcPr>
                <w:p w14:paraId="18E6B9B5">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6947" w:type="dxa"/>
                  <w:gridSpan w:val="4"/>
                  <w:tcBorders>
                    <w:top w:val="single" w:color="auto" w:sz="4" w:space="0"/>
                    <w:left w:val="single" w:color="auto" w:sz="4" w:space="0"/>
                    <w:bottom w:val="single" w:color="auto" w:sz="4" w:space="0"/>
                  </w:tcBorders>
                  <w:vAlign w:val="center"/>
                </w:tcPr>
                <w:p w14:paraId="2D9E71A4">
                  <w:pPr>
                    <w:pStyle w:val="47"/>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本项目主要环境风险为：</w:t>
                  </w:r>
                </w:p>
                <w:p w14:paraId="555C9CE6">
                  <w:pPr>
                    <w:pStyle w:val="47"/>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原料及产品</w:t>
                  </w:r>
                  <w:r>
                    <w:rPr>
                      <w:rFonts w:hint="default" w:ascii="Times New Roman" w:hAnsi="Times New Roman" w:cs="Times New Roman"/>
                      <w:color w:val="auto"/>
                      <w:sz w:val="21"/>
                      <w:szCs w:val="21"/>
                      <w:highlight w:val="none"/>
                      <w:lang w:eastAsia="zh-CN"/>
                    </w:rPr>
                    <w:t>易发生</w:t>
                  </w:r>
                  <w:r>
                    <w:rPr>
                      <w:rFonts w:hint="default" w:ascii="Times New Roman" w:hAnsi="Times New Roman" w:eastAsia="宋体" w:cs="Times New Roman"/>
                      <w:color w:val="auto"/>
                      <w:sz w:val="21"/>
                      <w:szCs w:val="21"/>
                      <w:highlight w:val="none"/>
                    </w:rPr>
                    <w:t>火灾，分布于生产车间、原料库房以及成品库房中</w:t>
                  </w:r>
                  <w:r>
                    <w:rPr>
                      <w:rFonts w:hint="default" w:ascii="Times New Roman" w:hAnsi="Times New Roman" w:eastAsia="宋体" w:cs="Times New Roman"/>
                      <w:color w:val="auto"/>
                      <w:sz w:val="21"/>
                      <w:szCs w:val="21"/>
                      <w:highlight w:val="none"/>
                      <w:lang w:eastAsia="zh-CN"/>
                    </w:rPr>
                    <w:t>；</w:t>
                  </w:r>
                </w:p>
                <w:p w14:paraId="765EC963">
                  <w:pPr>
                    <w:pStyle w:val="47"/>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废机油位于危险废物贮存间</w:t>
                  </w:r>
                </w:p>
              </w:tc>
            </w:tr>
            <w:tr w14:paraId="56BAE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19" w:type="dxa"/>
                  <w:tcBorders>
                    <w:top w:val="single" w:color="auto" w:sz="4" w:space="0"/>
                    <w:bottom w:val="single" w:color="auto" w:sz="4" w:space="0"/>
                    <w:right w:val="single" w:color="auto" w:sz="4" w:space="0"/>
                  </w:tcBorders>
                  <w:vAlign w:val="center"/>
                </w:tcPr>
                <w:p w14:paraId="5106DF1F">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环境影响途径及危害后果（大气、地表水、地下水等）</w:t>
                  </w:r>
                </w:p>
              </w:tc>
              <w:tc>
                <w:tcPr>
                  <w:tcW w:w="6947" w:type="dxa"/>
                  <w:gridSpan w:val="4"/>
                  <w:tcBorders>
                    <w:top w:val="single" w:color="auto" w:sz="4" w:space="0"/>
                    <w:left w:val="single" w:color="auto" w:sz="4" w:space="0"/>
                    <w:bottom w:val="single" w:color="auto" w:sz="4" w:space="0"/>
                  </w:tcBorders>
                  <w:vAlign w:val="center"/>
                </w:tcPr>
                <w:p w14:paraId="36B2F470">
                  <w:pPr>
                    <w:pStyle w:val="47"/>
                    <w:ind w:firstLine="44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转移至危险暂存间途中，可能因员工操作不当或意外碰撞，造成废机油的泄漏，进入下水管道、土壤，并挥发进入大气，对环境空气、土壤和水体造成污染；保存不当或者泄漏遇到明火、高热时出现火灾事故，对厂区职工造成财产损失和人身伤害，并产生废气对大气造成污染。</w:t>
                  </w:r>
                </w:p>
              </w:tc>
            </w:tr>
            <w:tr w14:paraId="5F692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19" w:type="dxa"/>
                  <w:tcBorders>
                    <w:top w:val="single" w:color="auto" w:sz="4" w:space="0"/>
                    <w:bottom w:val="single" w:color="auto" w:sz="4" w:space="0"/>
                    <w:right w:val="single" w:color="auto" w:sz="4" w:space="0"/>
                  </w:tcBorders>
                  <w:vAlign w:val="center"/>
                </w:tcPr>
                <w:p w14:paraId="1D9C16C0">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6947" w:type="dxa"/>
                  <w:gridSpan w:val="4"/>
                  <w:tcBorders>
                    <w:top w:val="single" w:color="auto" w:sz="4" w:space="0"/>
                    <w:left w:val="single" w:color="auto" w:sz="4" w:space="0"/>
                    <w:bottom w:val="single" w:color="auto" w:sz="4" w:space="0"/>
                  </w:tcBorders>
                  <w:vAlign w:val="center"/>
                </w:tcPr>
                <w:p w14:paraId="5720D91F">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根据环境风险分析，对项目要求做好以下环境防范措施：</w:t>
                  </w:r>
                </w:p>
                <w:p w14:paraId="512A2E11">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a.完善危险物质贮存设施，加强对物料储存、使用的安全管理和检查，避免物料出现泄漏。</w:t>
                  </w:r>
                </w:p>
                <w:p w14:paraId="0777A542">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b.落实安全检查制度，定期检查，排除火灾隐患；加强厂区消防检查和管理，在厂区按照消防要求设置灭火器材。</w:t>
                  </w:r>
                </w:p>
                <w:p w14:paraId="00FEE684">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c.要加强对各岗位员工进行风险意识、风险知识、安全技能、规章制度、应变能力等素质等各方面的培训和教育。</w:t>
                  </w:r>
                </w:p>
                <w:p w14:paraId="446BA4CD">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d.企业应当按照安全监督管理部门和消防部</w:t>
                  </w:r>
                  <w:r>
                    <w:rPr>
                      <w:rFonts w:hint="default" w:ascii="Times New Roman" w:hAnsi="Times New Roman" w:cs="Times New Roman"/>
                      <w:color w:val="auto"/>
                      <w:sz w:val="21"/>
                      <w:szCs w:val="21"/>
                      <w:highlight w:val="none"/>
                      <w:lang w:eastAsia="zh-CN"/>
                    </w:rPr>
                    <w:t>门的</w:t>
                  </w:r>
                  <w:r>
                    <w:rPr>
                      <w:rFonts w:hint="default" w:ascii="Times New Roman" w:hAnsi="Times New Roman" w:eastAsia="宋体" w:cs="Times New Roman"/>
                      <w:color w:val="auto"/>
                      <w:sz w:val="21"/>
                      <w:szCs w:val="21"/>
                      <w:highlight w:val="none"/>
                    </w:rPr>
                    <w:t>要求，严格执行相关风险控制措施。</w:t>
                  </w:r>
                </w:p>
                <w:p w14:paraId="64ABE29E">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e.企业编制突发环境事件应急预案，配备应急器材，在发生泄漏、火灾和爆炸等事故时控制泄漏物和消防废水进入下水道。</w:t>
                  </w:r>
                </w:p>
                <w:p w14:paraId="658C5DF1">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f.做好总图布置和建筑物安全防范措施。</w:t>
                  </w:r>
                </w:p>
                <w:p w14:paraId="3E603BE7">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g.准备各项应急救援物资。</w:t>
                  </w:r>
                </w:p>
                <w:p w14:paraId="303E0B3B">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h.仓库区禁止吸烟，远离火源、热源、电源，无产生火花的条件，禁止明火作业；设置醒目易燃品标志。</w:t>
                  </w:r>
                </w:p>
                <w:p w14:paraId="0D76B161">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i.严格执行排污许可证制度，排污口按规范设置标识标牌。</w:t>
                  </w:r>
                </w:p>
              </w:tc>
            </w:tr>
            <w:tr w14:paraId="743F6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19" w:type="dxa"/>
                  <w:tcBorders>
                    <w:top w:val="single" w:color="auto" w:sz="4" w:space="0"/>
                    <w:bottom w:val="single" w:color="auto" w:sz="4" w:space="0"/>
                    <w:right w:val="single" w:color="auto" w:sz="4" w:space="0"/>
                  </w:tcBorders>
                  <w:vAlign w:val="center"/>
                </w:tcPr>
                <w:p w14:paraId="77348094">
                  <w:pPr>
                    <w:pStyle w:val="4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填表说明</w:t>
                  </w:r>
                </w:p>
              </w:tc>
              <w:tc>
                <w:tcPr>
                  <w:tcW w:w="6947" w:type="dxa"/>
                  <w:gridSpan w:val="4"/>
                  <w:tcBorders>
                    <w:top w:val="single" w:color="auto" w:sz="4" w:space="0"/>
                    <w:left w:val="single" w:color="auto" w:sz="4" w:space="0"/>
                    <w:bottom w:val="single" w:color="auto" w:sz="4" w:space="0"/>
                  </w:tcBorders>
                  <w:vAlign w:val="center"/>
                </w:tcPr>
                <w:p w14:paraId="4258AD9A">
                  <w:pPr>
                    <w:pStyle w:val="47"/>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tbl>
          <w:p w14:paraId="18B6F57D">
            <w:pPr>
              <w:ind w:firstLine="0" w:firstLineChars="0"/>
              <w:jc w:val="left"/>
              <w:rPr>
                <w:rFonts w:hint="default" w:ascii="Times New Roman" w:hAnsi="Times New Roman" w:eastAsia="宋体" w:cs="Times New Roman"/>
                <w:b/>
                <w:color w:val="auto"/>
                <w:sz w:val="24"/>
                <w:szCs w:val="24"/>
                <w:highlight w:val="none"/>
              </w:rPr>
            </w:pPr>
            <w:bookmarkStart w:id="65" w:name="_Toc483733180"/>
            <w:bookmarkStart w:id="66" w:name="_Toc485196118"/>
            <w:r>
              <w:rPr>
                <w:rFonts w:hint="default" w:ascii="Times New Roman" w:hAnsi="Times New Roman" w:eastAsia="宋体" w:cs="Times New Roman"/>
                <w:b/>
                <w:color w:val="auto"/>
                <w:sz w:val="24"/>
                <w:szCs w:val="24"/>
                <w:highlight w:val="none"/>
              </w:rPr>
              <w:t>4.7.2风险管理应急预案</w:t>
            </w:r>
            <w:bookmarkEnd w:id="65"/>
            <w:bookmarkEnd w:id="66"/>
          </w:p>
          <w:p w14:paraId="0A2A34C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根据国家有关规定，企业制定应急预案，应包括以下方面的内容：</w:t>
            </w:r>
          </w:p>
          <w:p w14:paraId="386E2299">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①制定应急计划</w:t>
            </w:r>
          </w:p>
          <w:p w14:paraId="01C90920">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a.</w:t>
            </w:r>
            <w:r>
              <w:rPr>
                <w:rFonts w:hint="default" w:ascii="Times New Roman" w:hAnsi="Times New Roman" w:eastAsia="宋体" w:cs="Times New Roman"/>
                <w:color w:val="auto"/>
                <w:sz w:val="24"/>
                <w:szCs w:val="24"/>
                <w:highlight w:val="none"/>
              </w:rPr>
              <w:t>确定项目区的危险目标，包括生产区及环境保护目标。</w:t>
            </w:r>
          </w:p>
          <w:p w14:paraId="59687FE0">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b.</w:t>
            </w:r>
            <w:r>
              <w:rPr>
                <w:rFonts w:hint="default" w:ascii="Times New Roman" w:hAnsi="Times New Roman" w:eastAsia="宋体" w:cs="Times New Roman"/>
                <w:color w:val="auto"/>
                <w:sz w:val="24"/>
                <w:szCs w:val="24"/>
                <w:highlight w:val="none"/>
              </w:rPr>
              <w:t>规定项目区应急预案的级别及分级响应的程序，即根据确定的不同级别，规定不同级别的响应程序，以便应对可能出现的应急事故。</w:t>
            </w:r>
          </w:p>
          <w:p w14:paraId="0D4E5D48">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②成立应急组织机构</w:t>
            </w:r>
          </w:p>
          <w:p w14:paraId="1A5158D9">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成立应急指挥机构，包括各基层单位的应急组织机构，落实相应的工作人员。</w:t>
            </w:r>
          </w:p>
          <w:p w14:paraId="6C3DAB0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③建立应急救援保障系统</w:t>
            </w:r>
          </w:p>
          <w:p w14:paraId="08EA39DE">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包括应急救援设施、应急救援设备与所需的各类器材，确定应急救援保障管理部门，明确职责，保障物资储备。</w:t>
            </w:r>
          </w:p>
          <w:p w14:paraId="13A17070">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④规定应急联络方式</w:t>
            </w:r>
          </w:p>
          <w:p w14:paraId="17A01591">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主要是规定应急状态下与有关方面的报警通讯方式、通知方式和交通保障及交通管制，确保应急救援工作顺利进行。</w:t>
            </w:r>
          </w:p>
          <w:p w14:paraId="641100D1">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⑤规定应急救援控制措施</w:t>
            </w:r>
          </w:p>
          <w:p w14:paraId="58BF1594">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应急救援控制措施包括环境监测、抢险、救援及现场控制。实施应急救援应由专业队伍负责对事故现场进行侦察监测，对事故性质、参数与后果进行评估，为指挥部门提供决策依据。</w:t>
            </w:r>
          </w:p>
          <w:p w14:paraId="4429C62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⑥规定事故现场控制措施</w:t>
            </w:r>
          </w:p>
          <w:p w14:paraId="6C0CC229">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包括事故现场的应急检测、防护措施、清除泄漏污染物的措施和所需的器材。要根据事故预案的级别，规定事故现场、邻近区域的范围、控制防火区域的大小，控制和清除污染的措施及所需要的设备。</w:t>
            </w:r>
          </w:p>
          <w:p w14:paraId="1686627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⑦制定事故现场应急组织计划</w:t>
            </w:r>
          </w:p>
          <w:p w14:paraId="0607F48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括事故现场人员的撤离、疏散，应急剂量控制、撤离组织计划。对事故现场、事故现场邻近区域、受事故影响区域人员及公众依据毒物性质，制定毒物应急剂量控制规定，制定撤离组织计划及救护计划，规定医疗救护与公众健康方案。</w:t>
            </w:r>
          </w:p>
          <w:p w14:paraId="3419EA9E">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⑧规定应急事故解除程序</w:t>
            </w:r>
          </w:p>
          <w:p w14:paraId="0217C9C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包括事故应急救援关闭程序与恢复措施。内容有：</w:t>
            </w:r>
          </w:p>
          <w:p w14:paraId="7A83853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a.</w:t>
            </w:r>
            <w:r>
              <w:rPr>
                <w:rFonts w:hint="default" w:ascii="Times New Roman" w:hAnsi="Times New Roman" w:eastAsia="宋体" w:cs="Times New Roman"/>
                <w:color w:val="auto"/>
                <w:sz w:val="24"/>
                <w:szCs w:val="24"/>
                <w:highlight w:val="none"/>
              </w:rPr>
              <w:t>规定应急状态终止程序；</w:t>
            </w:r>
          </w:p>
          <w:p w14:paraId="410B11A3">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b.</w:t>
            </w:r>
            <w:r>
              <w:rPr>
                <w:rFonts w:hint="default" w:ascii="Times New Roman" w:hAnsi="Times New Roman" w:eastAsia="宋体" w:cs="Times New Roman"/>
                <w:color w:val="auto"/>
                <w:sz w:val="24"/>
                <w:szCs w:val="24"/>
                <w:highlight w:val="none"/>
              </w:rPr>
              <w:t>规定事故现场善后处理措施和恢复措施；</w:t>
            </w:r>
          </w:p>
          <w:p w14:paraId="1FEDD0F8">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c.</w:t>
            </w:r>
            <w:r>
              <w:rPr>
                <w:rFonts w:hint="default" w:ascii="Times New Roman" w:hAnsi="Times New Roman" w:eastAsia="宋体" w:cs="Times New Roman"/>
                <w:color w:val="auto"/>
                <w:sz w:val="24"/>
                <w:szCs w:val="24"/>
                <w:highlight w:val="none"/>
              </w:rPr>
              <w:t>解除邻近区域事故警戒及善后恢复措施。</w:t>
            </w:r>
          </w:p>
          <w:p w14:paraId="2A2BE4E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⑨制定应急培训计划</w:t>
            </w:r>
          </w:p>
          <w:p w14:paraId="29BB461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应急培训计划是在应急预案制定落实期间，</w:t>
            </w:r>
            <w:r>
              <w:rPr>
                <w:rFonts w:hint="eastAsia" w:cs="Times New Roman"/>
                <w:color w:val="auto"/>
                <w:sz w:val="24"/>
                <w:szCs w:val="24"/>
                <w:highlight w:val="none"/>
                <w:lang w:eastAsia="zh-CN"/>
              </w:rPr>
              <w:t>增强</w:t>
            </w:r>
            <w:r>
              <w:rPr>
                <w:rFonts w:hint="default" w:ascii="Times New Roman" w:hAnsi="Times New Roman" w:eastAsia="宋体" w:cs="Times New Roman"/>
                <w:color w:val="auto"/>
                <w:sz w:val="24"/>
                <w:szCs w:val="24"/>
                <w:highlight w:val="none"/>
              </w:rPr>
              <w:t>人员应急意识的一项措施。在应急计划制定后，应在平时组织安排人员进行应急培训与应急演练。</w:t>
            </w:r>
          </w:p>
          <w:p w14:paraId="7EDC0F56">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⑩进行公众教育和发布有关信息</w:t>
            </w:r>
          </w:p>
          <w:p w14:paraId="11F7F8D4">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应在平时组织对邻近地区公众开展教育，有必要时应对公众进行应急培训，并发布有关的信息。</w:t>
            </w:r>
          </w:p>
          <w:p w14:paraId="2AA13853">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风险评价目的是分析和预测建设项目存在的潜在危险和有害因素，建设项目运营期间可能发生的突发性事件或事故（一般不包括人为破坏及自然灾害），引起有毒有害、易燃易爆等物质的泄漏、爆炸和火灾，评估所造成的人身安全与环境影响和损害程度，提出合理可行的防范、应急与减缓措施，使建设项目事故率达到可接受水平，损失和环境影响达到最小。</w:t>
            </w:r>
          </w:p>
          <w:p w14:paraId="681E1FA2">
            <w:pPr>
              <w:ind w:firstLine="0" w:firstLineChars="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4.8排污口规范化</w:t>
            </w:r>
          </w:p>
          <w:p w14:paraId="6F819852">
            <w:pPr>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厂区内各排污口按照环境管理要求，必须进行规范化建设，厂区废气排放源、噪声排放源、固体废物暂存区均设立规范的环境保护图形标志，按照《环境保护图形标志——排放口（源）》（GB15562.1-1995）、《环境保护图形标志—固体废物贮存（处置）场》（GB15562.2-1995）及修改单执行，以利于企业管理和公众监督。</w:t>
            </w:r>
          </w:p>
          <w:p w14:paraId="6A4E9357">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环境保护图形标志详见表4-1</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5A439754">
            <w:pPr>
              <w:pStyle w:val="3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szCs w:val="21"/>
                <w:highlight w:val="none"/>
              </w:rPr>
              <w:t>表4-1</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 xml:space="preserve">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环境保护图形标志一览表</w:t>
            </w:r>
          </w:p>
          <w:tbl>
            <w:tblPr>
              <w:tblStyle w:val="29"/>
              <w:tblW w:w="8307" w:type="dxa"/>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2424"/>
              <w:gridCol w:w="2269"/>
              <w:gridCol w:w="2520"/>
            </w:tblGrid>
            <w:tr w14:paraId="6D7F6D84">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4" w:type="dxa"/>
                  <w:tcBorders>
                    <w:top w:val="single" w:color="auto" w:sz="2" w:space="0"/>
                    <w:bottom w:val="single" w:color="auto" w:sz="6" w:space="0"/>
                    <w:right w:val="single" w:color="auto" w:sz="6" w:space="0"/>
                  </w:tcBorders>
                  <w:vAlign w:val="center"/>
                </w:tcPr>
                <w:p w14:paraId="07CAF980">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424" w:type="dxa"/>
                  <w:tcBorders>
                    <w:top w:val="single" w:color="auto" w:sz="2" w:space="0"/>
                    <w:left w:val="single" w:color="auto" w:sz="6" w:space="0"/>
                    <w:bottom w:val="single" w:color="auto" w:sz="6" w:space="0"/>
                    <w:right w:val="single" w:color="auto" w:sz="6" w:space="0"/>
                  </w:tcBorders>
                  <w:vAlign w:val="center"/>
                </w:tcPr>
                <w:p w14:paraId="03834E9C">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提示图形标志</w:t>
                  </w:r>
                </w:p>
              </w:tc>
              <w:tc>
                <w:tcPr>
                  <w:tcW w:w="2269" w:type="dxa"/>
                  <w:tcBorders>
                    <w:top w:val="single" w:color="auto" w:sz="2" w:space="0"/>
                    <w:left w:val="single" w:color="auto" w:sz="6" w:space="0"/>
                    <w:bottom w:val="single" w:color="auto" w:sz="6" w:space="0"/>
                    <w:right w:val="single" w:color="auto" w:sz="6" w:space="0"/>
                  </w:tcBorders>
                  <w:vAlign w:val="center"/>
                </w:tcPr>
                <w:p w14:paraId="59A8926A">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警告图形符号</w:t>
                  </w:r>
                </w:p>
              </w:tc>
              <w:tc>
                <w:tcPr>
                  <w:tcW w:w="2520" w:type="dxa"/>
                  <w:tcBorders>
                    <w:top w:val="single" w:color="auto" w:sz="2" w:space="0"/>
                    <w:left w:val="single" w:color="auto" w:sz="6" w:space="0"/>
                    <w:bottom w:val="single" w:color="auto" w:sz="6" w:space="0"/>
                  </w:tcBorders>
                  <w:vAlign w:val="center"/>
                </w:tcPr>
                <w:p w14:paraId="0822573B">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名称</w:t>
                  </w:r>
                </w:p>
              </w:tc>
            </w:tr>
            <w:tr w14:paraId="5E7B7D85">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4" w:type="dxa"/>
                  <w:tcBorders>
                    <w:top w:val="single" w:color="auto" w:sz="6" w:space="0"/>
                    <w:bottom w:val="single" w:color="auto" w:sz="6" w:space="0"/>
                    <w:right w:val="single" w:color="auto" w:sz="6" w:space="0"/>
                  </w:tcBorders>
                  <w:vAlign w:val="center"/>
                </w:tcPr>
                <w:p w14:paraId="70F9B38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w:t>
                  </w:r>
                </w:p>
              </w:tc>
              <w:tc>
                <w:tcPr>
                  <w:tcW w:w="2424" w:type="dxa"/>
                  <w:tcBorders>
                    <w:top w:val="single" w:color="auto" w:sz="6" w:space="0"/>
                    <w:left w:val="single" w:color="auto" w:sz="6" w:space="0"/>
                    <w:bottom w:val="single" w:color="auto" w:sz="6" w:space="0"/>
                    <w:right w:val="single" w:color="auto" w:sz="6" w:space="0"/>
                  </w:tcBorders>
                  <w:vAlign w:val="center"/>
                </w:tcPr>
                <w:p w14:paraId="04578226">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23925" cy="866775"/>
                        <wp:effectExtent l="0" t="0" r="9525" b="9525"/>
                        <wp:docPr id="56" name="图片 56" descr="C:\Users\LY\AppData\Local\Temp\ksohtml324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LY\AppData\Local\Temp\ksohtml3248\wp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23925" cy="866775"/>
                                </a:xfrm>
                                <a:prstGeom prst="rect">
                                  <a:avLst/>
                                </a:prstGeom>
                                <a:noFill/>
                                <a:ln>
                                  <a:noFill/>
                                </a:ln>
                              </pic:spPr>
                            </pic:pic>
                          </a:graphicData>
                        </a:graphic>
                      </wp:inline>
                    </w:drawing>
                  </w:r>
                </w:p>
              </w:tc>
              <w:tc>
                <w:tcPr>
                  <w:tcW w:w="2269" w:type="dxa"/>
                  <w:tcBorders>
                    <w:top w:val="single" w:color="auto" w:sz="6" w:space="0"/>
                    <w:left w:val="single" w:color="auto" w:sz="6" w:space="0"/>
                    <w:bottom w:val="single" w:color="auto" w:sz="6" w:space="0"/>
                    <w:right w:val="single" w:color="auto" w:sz="6" w:space="0"/>
                  </w:tcBorders>
                  <w:vAlign w:val="center"/>
                </w:tcPr>
                <w:p w14:paraId="4EA839D8">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52500" cy="904875"/>
                        <wp:effectExtent l="0" t="0" r="0" b="9525"/>
                        <wp:docPr id="52" name="图片 52" descr="C:\Users\LY\AppData\Local\Temp\ksohtml324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LY\AppData\Local\Temp\ksohtml3248\wp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2500" cy="904875"/>
                                </a:xfrm>
                                <a:prstGeom prst="rect">
                                  <a:avLst/>
                                </a:prstGeom>
                                <a:noFill/>
                                <a:ln>
                                  <a:noFill/>
                                </a:ln>
                              </pic:spPr>
                            </pic:pic>
                          </a:graphicData>
                        </a:graphic>
                      </wp:inline>
                    </w:drawing>
                  </w:r>
                </w:p>
              </w:tc>
              <w:tc>
                <w:tcPr>
                  <w:tcW w:w="2520" w:type="dxa"/>
                  <w:tcBorders>
                    <w:top w:val="single" w:color="auto" w:sz="6" w:space="0"/>
                    <w:left w:val="single" w:color="auto" w:sz="6" w:space="0"/>
                    <w:bottom w:val="single" w:color="auto" w:sz="6" w:space="0"/>
                  </w:tcBorders>
                  <w:vAlign w:val="center"/>
                </w:tcPr>
                <w:p w14:paraId="01CF944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废气排放口</w:t>
                  </w:r>
                </w:p>
              </w:tc>
            </w:tr>
            <w:tr w14:paraId="3B6C419C">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4" w:type="dxa"/>
                  <w:tcBorders>
                    <w:top w:val="single" w:color="auto" w:sz="6" w:space="0"/>
                    <w:bottom w:val="single" w:color="auto" w:sz="6" w:space="0"/>
                    <w:right w:val="single" w:color="auto" w:sz="6" w:space="0"/>
                  </w:tcBorders>
                  <w:vAlign w:val="center"/>
                </w:tcPr>
                <w:p w14:paraId="4EF22E04">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w:t>
                  </w:r>
                </w:p>
              </w:tc>
              <w:tc>
                <w:tcPr>
                  <w:tcW w:w="2424" w:type="dxa"/>
                  <w:tcBorders>
                    <w:top w:val="single" w:color="auto" w:sz="6" w:space="0"/>
                    <w:left w:val="single" w:color="auto" w:sz="6" w:space="0"/>
                    <w:bottom w:val="single" w:color="auto" w:sz="6" w:space="0"/>
                    <w:right w:val="single" w:color="auto" w:sz="6" w:space="0"/>
                  </w:tcBorders>
                  <w:vAlign w:val="center"/>
                </w:tcPr>
                <w:p w14:paraId="7BA786CC">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62025" cy="923925"/>
                        <wp:effectExtent l="0" t="0" r="9525" b="9525"/>
                        <wp:docPr id="48" name="图片 48" descr="C:\Users\LY\AppData\Local\Temp\ksohtml324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Y\AppData\Local\Temp\ksohtml3248\wps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62025" cy="923925"/>
                                </a:xfrm>
                                <a:prstGeom prst="rect">
                                  <a:avLst/>
                                </a:prstGeom>
                                <a:noFill/>
                                <a:ln>
                                  <a:noFill/>
                                </a:ln>
                              </pic:spPr>
                            </pic:pic>
                          </a:graphicData>
                        </a:graphic>
                      </wp:inline>
                    </w:drawing>
                  </w:r>
                </w:p>
              </w:tc>
              <w:tc>
                <w:tcPr>
                  <w:tcW w:w="2269" w:type="dxa"/>
                  <w:tcBorders>
                    <w:top w:val="single" w:color="auto" w:sz="6" w:space="0"/>
                    <w:left w:val="single" w:color="auto" w:sz="6" w:space="0"/>
                    <w:bottom w:val="single" w:color="auto" w:sz="6" w:space="0"/>
                    <w:right w:val="single" w:color="auto" w:sz="6" w:space="0"/>
                  </w:tcBorders>
                  <w:vAlign w:val="center"/>
                </w:tcPr>
                <w:p w14:paraId="79225617">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71550" cy="781050"/>
                        <wp:effectExtent l="0" t="0" r="0" b="0"/>
                        <wp:docPr id="34" name="图片 34" descr="C:\Users\LY\AppData\Local\Temp\ksohtml324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Y\AppData\Local\Temp\ksohtml3248\wps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971550" cy="781050"/>
                                </a:xfrm>
                                <a:prstGeom prst="rect">
                                  <a:avLst/>
                                </a:prstGeom>
                                <a:noFill/>
                                <a:ln>
                                  <a:noFill/>
                                </a:ln>
                              </pic:spPr>
                            </pic:pic>
                          </a:graphicData>
                        </a:graphic>
                      </wp:inline>
                    </w:drawing>
                  </w:r>
                </w:p>
              </w:tc>
              <w:tc>
                <w:tcPr>
                  <w:tcW w:w="2520" w:type="dxa"/>
                  <w:tcBorders>
                    <w:top w:val="single" w:color="auto" w:sz="6" w:space="0"/>
                    <w:left w:val="single" w:color="auto" w:sz="6" w:space="0"/>
                    <w:bottom w:val="single" w:color="auto" w:sz="6" w:space="0"/>
                  </w:tcBorders>
                  <w:vAlign w:val="center"/>
                </w:tcPr>
                <w:p w14:paraId="6E09E58E">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噪声排放源</w:t>
                  </w:r>
                </w:p>
              </w:tc>
            </w:tr>
            <w:tr w14:paraId="2B86AE8E">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4" w:type="dxa"/>
                  <w:tcBorders>
                    <w:top w:val="single" w:color="auto" w:sz="6" w:space="0"/>
                    <w:bottom w:val="single" w:color="auto" w:sz="6" w:space="0"/>
                    <w:right w:val="single" w:color="auto" w:sz="6" w:space="0"/>
                  </w:tcBorders>
                  <w:vAlign w:val="center"/>
                </w:tcPr>
                <w:p w14:paraId="74869C95">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w:t>
                  </w:r>
                </w:p>
              </w:tc>
              <w:tc>
                <w:tcPr>
                  <w:tcW w:w="2424" w:type="dxa"/>
                  <w:tcBorders>
                    <w:top w:val="single" w:color="auto" w:sz="6" w:space="0"/>
                    <w:left w:val="single" w:color="auto" w:sz="6" w:space="0"/>
                    <w:bottom w:val="single" w:color="auto" w:sz="6" w:space="0"/>
                    <w:right w:val="single" w:color="auto" w:sz="6" w:space="0"/>
                  </w:tcBorders>
                  <w:vAlign w:val="center"/>
                </w:tcPr>
                <w:p w14:paraId="652BECA1">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62025" cy="914400"/>
                        <wp:effectExtent l="0" t="0" r="9525" b="0"/>
                        <wp:docPr id="31" name="图片 31" descr="C:\Users\LY\AppData\Local\Temp\ksohtml324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Y\AppData\Local\Temp\ksohtml3248\wps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62025" cy="914400"/>
                                </a:xfrm>
                                <a:prstGeom prst="rect">
                                  <a:avLst/>
                                </a:prstGeom>
                                <a:noFill/>
                                <a:ln>
                                  <a:noFill/>
                                </a:ln>
                              </pic:spPr>
                            </pic:pic>
                          </a:graphicData>
                        </a:graphic>
                      </wp:inline>
                    </w:drawing>
                  </w:r>
                </w:p>
              </w:tc>
              <w:tc>
                <w:tcPr>
                  <w:tcW w:w="2269" w:type="dxa"/>
                  <w:tcBorders>
                    <w:top w:val="single" w:color="auto" w:sz="6" w:space="0"/>
                    <w:left w:val="single" w:color="auto" w:sz="6" w:space="0"/>
                    <w:bottom w:val="single" w:color="auto" w:sz="6" w:space="0"/>
                    <w:right w:val="single" w:color="auto" w:sz="6" w:space="0"/>
                  </w:tcBorders>
                  <w:vAlign w:val="center"/>
                </w:tcPr>
                <w:p w14:paraId="79A480C6">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962025" cy="828675"/>
                        <wp:effectExtent l="0" t="0" r="9525" b="9525"/>
                        <wp:docPr id="30" name="图片 30" descr="C:\Users\LY\AppData\Local\Temp\ksohtml324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Y\AppData\Local\Temp\ksohtml3248\wps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62025" cy="828675"/>
                                </a:xfrm>
                                <a:prstGeom prst="rect">
                                  <a:avLst/>
                                </a:prstGeom>
                                <a:noFill/>
                                <a:ln>
                                  <a:noFill/>
                                </a:ln>
                              </pic:spPr>
                            </pic:pic>
                          </a:graphicData>
                        </a:graphic>
                      </wp:inline>
                    </w:drawing>
                  </w:r>
                </w:p>
              </w:tc>
              <w:tc>
                <w:tcPr>
                  <w:tcW w:w="2520" w:type="dxa"/>
                  <w:tcBorders>
                    <w:top w:val="single" w:color="auto" w:sz="6" w:space="0"/>
                    <w:left w:val="single" w:color="auto" w:sz="6" w:space="0"/>
                    <w:bottom w:val="single" w:color="auto" w:sz="6" w:space="0"/>
                  </w:tcBorders>
                  <w:vAlign w:val="center"/>
                </w:tcPr>
                <w:p w14:paraId="7AAFC0E3">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一般固体废物暂存区</w:t>
                  </w:r>
                </w:p>
              </w:tc>
            </w:tr>
            <w:tr w14:paraId="4A7E9FA6">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78" w:hRule="atLeast"/>
                <w:jc w:val="center"/>
              </w:trPr>
              <w:tc>
                <w:tcPr>
                  <w:tcW w:w="1094" w:type="dxa"/>
                  <w:tcBorders>
                    <w:top w:val="single" w:color="auto" w:sz="6" w:space="0"/>
                    <w:bottom w:val="single" w:color="auto" w:sz="2" w:space="0"/>
                    <w:right w:val="single" w:color="auto" w:sz="6" w:space="0"/>
                  </w:tcBorders>
                  <w:vAlign w:val="center"/>
                </w:tcPr>
                <w:p w14:paraId="2DB309E5">
                  <w:pPr>
                    <w:widowControl/>
                    <w:adjustRightInd w:val="0"/>
                    <w:snapToGrid w:val="0"/>
                    <w:spacing w:line="240" w:lineRule="auto"/>
                    <w:ind w:firstLine="0" w:firstLineChars="0"/>
                    <w:jc w:val="center"/>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4</w:t>
                  </w:r>
                </w:p>
              </w:tc>
              <w:tc>
                <w:tcPr>
                  <w:tcW w:w="2424" w:type="dxa"/>
                  <w:tcBorders>
                    <w:top w:val="single" w:color="auto" w:sz="6" w:space="0"/>
                    <w:left w:val="single" w:color="auto" w:sz="6" w:space="0"/>
                    <w:bottom w:val="single" w:color="auto" w:sz="2" w:space="0"/>
                    <w:right w:val="single" w:color="auto" w:sz="6" w:space="0"/>
                  </w:tcBorders>
                  <w:vAlign w:val="center"/>
                </w:tcPr>
                <w:p w14:paraId="04374F48">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bCs/>
                      <w:color w:val="auto"/>
                      <w:kern w:val="0"/>
                      <w:sz w:val="21"/>
                      <w:szCs w:val="18"/>
                    </w:rPr>
                    <w:drawing>
                      <wp:inline distT="0" distB="0" distL="114300" distR="114300">
                        <wp:extent cx="1078230" cy="982980"/>
                        <wp:effectExtent l="0" t="0" r="7620" b="7620"/>
                        <wp:docPr id="8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6"/>
                                <pic:cNvPicPr>
                                  <a:picLocks noChangeAspect="1"/>
                                </pic:cNvPicPr>
                              </pic:nvPicPr>
                              <pic:blipFill>
                                <a:blip r:embed="rId33"/>
                                <a:stretch>
                                  <a:fillRect/>
                                </a:stretch>
                              </pic:blipFill>
                              <pic:spPr>
                                <a:xfrm>
                                  <a:off x="0" y="0"/>
                                  <a:ext cx="1078230" cy="982980"/>
                                </a:xfrm>
                                <a:prstGeom prst="rect">
                                  <a:avLst/>
                                </a:prstGeom>
                                <a:noFill/>
                                <a:ln>
                                  <a:noFill/>
                                </a:ln>
                              </pic:spPr>
                            </pic:pic>
                          </a:graphicData>
                        </a:graphic>
                      </wp:inline>
                    </w:drawing>
                  </w:r>
                </w:p>
              </w:tc>
              <w:tc>
                <w:tcPr>
                  <w:tcW w:w="2269" w:type="dxa"/>
                  <w:tcBorders>
                    <w:top w:val="single" w:color="auto" w:sz="6" w:space="0"/>
                    <w:left w:val="single" w:color="auto" w:sz="6" w:space="0"/>
                    <w:bottom w:val="single" w:color="auto" w:sz="2" w:space="0"/>
                    <w:right w:val="single" w:color="auto" w:sz="6" w:space="0"/>
                  </w:tcBorders>
                  <w:vAlign w:val="center"/>
                </w:tcPr>
                <w:p w14:paraId="145C1C1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bCs/>
                      <w:color w:val="auto"/>
                      <w:kern w:val="0"/>
                      <w:sz w:val="21"/>
                      <w:szCs w:val="18"/>
                    </w:rPr>
                    <w:drawing>
                      <wp:inline distT="0" distB="0" distL="114300" distR="114300">
                        <wp:extent cx="1165225" cy="1007110"/>
                        <wp:effectExtent l="0" t="0" r="15875" b="2540"/>
                        <wp:docPr id="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pic:cNvPicPr>
                                  <a:picLocks noChangeAspect="1"/>
                                </pic:cNvPicPr>
                              </pic:nvPicPr>
                              <pic:blipFill>
                                <a:blip r:embed="rId34"/>
                                <a:stretch>
                                  <a:fillRect/>
                                </a:stretch>
                              </pic:blipFill>
                              <pic:spPr>
                                <a:xfrm>
                                  <a:off x="0" y="0"/>
                                  <a:ext cx="1165225" cy="1007110"/>
                                </a:xfrm>
                                <a:prstGeom prst="rect">
                                  <a:avLst/>
                                </a:prstGeom>
                                <a:noFill/>
                                <a:ln>
                                  <a:noFill/>
                                </a:ln>
                              </pic:spPr>
                            </pic:pic>
                          </a:graphicData>
                        </a:graphic>
                      </wp:inline>
                    </w:drawing>
                  </w:r>
                </w:p>
              </w:tc>
              <w:tc>
                <w:tcPr>
                  <w:tcW w:w="2520" w:type="dxa"/>
                  <w:tcBorders>
                    <w:top w:val="single" w:color="auto" w:sz="6" w:space="0"/>
                    <w:left w:val="single" w:color="auto" w:sz="6" w:space="0"/>
                    <w:bottom w:val="single" w:color="auto" w:sz="2" w:space="0"/>
                  </w:tcBorders>
                  <w:vAlign w:val="center"/>
                </w:tcPr>
                <w:p w14:paraId="4603A30F">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污水排放口</w:t>
                  </w:r>
                </w:p>
              </w:tc>
            </w:tr>
            <w:tr w14:paraId="6797CD15">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15" w:hRule="atLeast"/>
                <w:jc w:val="center"/>
              </w:trPr>
              <w:tc>
                <w:tcPr>
                  <w:tcW w:w="1094" w:type="dxa"/>
                  <w:tcBorders>
                    <w:top w:val="single" w:color="auto" w:sz="6" w:space="0"/>
                    <w:bottom w:val="single" w:color="auto" w:sz="2" w:space="0"/>
                    <w:right w:val="single" w:color="auto" w:sz="6" w:space="0"/>
                  </w:tcBorders>
                  <w:vAlign w:val="center"/>
                </w:tcPr>
                <w:p w14:paraId="204A9E49">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5</w:t>
                  </w:r>
                </w:p>
              </w:tc>
              <w:tc>
                <w:tcPr>
                  <w:tcW w:w="2424" w:type="dxa"/>
                  <w:tcBorders>
                    <w:top w:val="single" w:color="auto" w:sz="6" w:space="0"/>
                    <w:left w:val="single" w:color="auto" w:sz="6" w:space="0"/>
                    <w:bottom w:val="single" w:color="auto" w:sz="2" w:space="0"/>
                    <w:right w:val="single" w:color="auto" w:sz="6" w:space="0"/>
                  </w:tcBorders>
                  <w:vAlign w:val="center"/>
                </w:tcPr>
                <w:p w14:paraId="67E59C3E">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p>
              </w:tc>
              <w:tc>
                <w:tcPr>
                  <w:tcW w:w="2269" w:type="dxa"/>
                  <w:tcBorders>
                    <w:top w:val="single" w:color="auto" w:sz="6" w:space="0"/>
                    <w:left w:val="single" w:color="auto" w:sz="6" w:space="0"/>
                    <w:bottom w:val="single" w:color="auto" w:sz="2" w:space="0"/>
                    <w:right w:val="single" w:color="auto" w:sz="6" w:space="0"/>
                  </w:tcBorders>
                  <w:vAlign w:val="center"/>
                </w:tcPr>
                <w:p w14:paraId="709A9B77">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drawing>
                      <wp:inline distT="0" distB="0" distL="0" distR="0">
                        <wp:extent cx="1170305" cy="876300"/>
                        <wp:effectExtent l="0" t="0" r="10795" b="0"/>
                        <wp:docPr id="29" name="图片 29" descr="C:\Users\LY\AppData\Local\Temp\ksohtml32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Y\AppData\Local\Temp\ksohtml3248\wps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70305" cy="876300"/>
                                </a:xfrm>
                                <a:prstGeom prst="rect">
                                  <a:avLst/>
                                </a:prstGeom>
                                <a:noFill/>
                                <a:ln>
                                  <a:noFill/>
                                </a:ln>
                              </pic:spPr>
                            </pic:pic>
                          </a:graphicData>
                        </a:graphic>
                      </wp:inline>
                    </w:drawing>
                  </w:r>
                </w:p>
              </w:tc>
              <w:tc>
                <w:tcPr>
                  <w:tcW w:w="2520" w:type="dxa"/>
                  <w:tcBorders>
                    <w:top w:val="single" w:color="auto" w:sz="6" w:space="0"/>
                    <w:left w:val="single" w:color="auto" w:sz="6" w:space="0"/>
                    <w:bottom w:val="single" w:color="auto" w:sz="2" w:space="0"/>
                  </w:tcBorders>
                  <w:vAlign w:val="center"/>
                </w:tcPr>
                <w:p w14:paraId="03913484">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危险废物暂存间</w:t>
                  </w:r>
                </w:p>
              </w:tc>
            </w:tr>
          </w:tbl>
          <w:p w14:paraId="49CA717B">
            <w:pPr>
              <w:ind w:firstLine="0" w:firstLineChars="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4.9环保投资</w:t>
            </w:r>
          </w:p>
          <w:p w14:paraId="169CFBC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项目总投资</w:t>
            </w:r>
            <w:r>
              <w:rPr>
                <w:rFonts w:hint="default" w:ascii="Times New Roman" w:hAnsi="Times New Roman" w:cs="Times New Roman"/>
                <w:color w:val="auto"/>
                <w:sz w:val="24"/>
                <w:szCs w:val="24"/>
                <w:highlight w:val="none"/>
                <w:lang w:val="en-US" w:eastAsia="zh-CN"/>
              </w:rPr>
              <w:t>11976</w:t>
            </w:r>
            <w:r>
              <w:rPr>
                <w:rFonts w:hint="default" w:ascii="Times New Roman" w:hAnsi="Times New Roman" w:eastAsia="宋体" w:cs="Times New Roman"/>
                <w:color w:val="auto"/>
                <w:sz w:val="24"/>
                <w:szCs w:val="24"/>
                <w:highlight w:val="none"/>
              </w:rPr>
              <w:t>万元，其中环保投资为</w:t>
            </w:r>
            <w:r>
              <w:rPr>
                <w:rFonts w:hint="default" w:ascii="Times New Roman" w:hAnsi="Times New Roman"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rPr>
              <w:t>万元，占总投资的</w:t>
            </w:r>
            <w:r>
              <w:rPr>
                <w:rFonts w:hint="default" w:ascii="Times New Roman" w:hAnsi="Times New Roman"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%，环保投资明细见表4-</w:t>
            </w:r>
            <w:r>
              <w:rPr>
                <w:rFonts w:hint="default" w:ascii="Times New Roman" w:hAnsi="Times New Roman"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w:t>
            </w:r>
          </w:p>
          <w:p w14:paraId="45F6B6DC">
            <w:pPr>
              <w:pStyle w:val="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 xml:space="preserve">   环保设施投资估算表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8"/>
              <w:gridCol w:w="1159"/>
              <w:gridCol w:w="5387"/>
              <w:gridCol w:w="989"/>
            </w:tblGrid>
            <w:tr w14:paraId="37910E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noWrap w:val="0"/>
                  <w:vAlign w:val="center"/>
                </w:tcPr>
                <w:p w14:paraId="6A47518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时段</w:t>
                  </w:r>
                </w:p>
              </w:tc>
              <w:tc>
                <w:tcPr>
                  <w:tcW w:w="1159" w:type="dxa"/>
                  <w:noWrap w:val="0"/>
                  <w:vAlign w:val="center"/>
                </w:tcPr>
                <w:p w14:paraId="4AD1B08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5387" w:type="dxa"/>
                  <w:noWrap w:val="0"/>
                  <w:vAlign w:val="center"/>
                </w:tcPr>
                <w:p w14:paraId="1E02899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主要环保措施</w:t>
                  </w:r>
                </w:p>
              </w:tc>
              <w:tc>
                <w:tcPr>
                  <w:tcW w:w="989" w:type="dxa"/>
                  <w:noWrap w:val="0"/>
                  <w:vAlign w:val="center"/>
                </w:tcPr>
                <w:p w14:paraId="4CBFEEE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投资（万元）</w:t>
                  </w:r>
                </w:p>
              </w:tc>
            </w:tr>
            <w:tr w14:paraId="44D86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restart"/>
                  <w:noWrap w:val="0"/>
                  <w:vAlign w:val="center"/>
                </w:tcPr>
                <w:p w14:paraId="5EAD2F7F">
                  <w:pPr>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w:t>
                  </w:r>
                </w:p>
                <w:p w14:paraId="3AECB43E">
                  <w:pPr>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w:t>
                  </w:r>
                </w:p>
                <w:p w14:paraId="5424AFE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期</w:t>
                  </w:r>
                </w:p>
              </w:tc>
              <w:tc>
                <w:tcPr>
                  <w:tcW w:w="1159" w:type="dxa"/>
                  <w:noWrap w:val="0"/>
                  <w:vAlign w:val="center"/>
                </w:tcPr>
                <w:p w14:paraId="3D5A831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废气治理</w:t>
                  </w:r>
                </w:p>
              </w:tc>
              <w:tc>
                <w:tcPr>
                  <w:tcW w:w="5387" w:type="dxa"/>
                  <w:noWrap w:val="0"/>
                  <w:vAlign w:val="center"/>
                </w:tcPr>
                <w:p w14:paraId="6F38A08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设置施工围挡、洒水等措施</w:t>
                  </w:r>
                </w:p>
              </w:tc>
              <w:tc>
                <w:tcPr>
                  <w:tcW w:w="989" w:type="dxa"/>
                  <w:noWrap w:val="0"/>
                  <w:vAlign w:val="center"/>
                </w:tcPr>
                <w:p w14:paraId="24C3DC95">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4</w:t>
                  </w:r>
                </w:p>
              </w:tc>
            </w:tr>
            <w:tr w14:paraId="39C203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0324DD7E">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6C56819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废水治理</w:t>
                  </w:r>
                </w:p>
              </w:tc>
              <w:tc>
                <w:tcPr>
                  <w:tcW w:w="5387" w:type="dxa"/>
                  <w:noWrap w:val="0"/>
                  <w:vAlign w:val="center"/>
                </w:tcPr>
                <w:p w14:paraId="3B94B80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施工废水经隔油、沉淀处理后用作施工现场降尘用水；生活污水排入</w:t>
                  </w:r>
                  <w:r>
                    <w:rPr>
                      <w:rFonts w:hint="default" w:ascii="Times New Roman" w:hAnsi="Times New Roman" w:cs="Times New Roman"/>
                      <w:color w:val="auto"/>
                      <w:kern w:val="0"/>
                      <w:sz w:val="21"/>
                      <w:szCs w:val="21"/>
                      <w:highlight w:val="none"/>
                      <w:lang w:val="en-US" w:eastAsia="zh-CN"/>
                    </w:rPr>
                    <w:t>防渗隔油池。</w:t>
                  </w:r>
                </w:p>
              </w:tc>
              <w:tc>
                <w:tcPr>
                  <w:tcW w:w="989" w:type="dxa"/>
                  <w:noWrap w:val="0"/>
                  <w:vAlign w:val="center"/>
                </w:tcPr>
                <w:p w14:paraId="7D6C20E8">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4</w:t>
                  </w:r>
                </w:p>
              </w:tc>
            </w:tr>
            <w:tr w14:paraId="6EE825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8" w:type="dxa"/>
                  <w:vMerge w:val="continue"/>
                  <w:noWrap w:val="0"/>
                  <w:vAlign w:val="center"/>
                </w:tcPr>
                <w:p w14:paraId="3D4985D6">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75B918D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噪声治理</w:t>
                  </w:r>
                </w:p>
              </w:tc>
              <w:tc>
                <w:tcPr>
                  <w:tcW w:w="5387" w:type="dxa"/>
                  <w:noWrap w:val="0"/>
                  <w:vAlign w:val="center"/>
                </w:tcPr>
                <w:p w14:paraId="0DBE38D1">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修建临时隔声棚等</w:t>
                  </w:r>
                </w:p>
              </w:tc>
              <w:tc>
                <w:tcPr>
                  <w:tcW w:w="989" w:type="dxa"/>
                  <w:noWrap w:val="0"/>
                  <w:vAlign w:val="center"/>
                </w:tcPr>
                <w:p w14:paraId="4E21F358">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4</w:t>
                  </w:r>
                </w:p>
              </w:tc>
            </w:tr>
            <w:tr w14:paraId="70E401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22056644">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0EA87C0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固废治理</w:t>
                  </w:r>
                </w:p>
              </w:tc>
              <w:tc>
                <w:tcPr>
                  <w:tcW w:w="5387" w:type="dxa"/>
                  <w:noWrap w:val="0"/>
                  <w:vAlign w:val="center"/>
                </w:tcPr>
                <w:p w14:paraId="735763E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建筑垃圾按照《城市建筑垃圾管理规定》，向城市市容卫生管理部门申报，妥善弃置消纳；生活垃圾集中收集后交由环卫部门处理</w:t>
                  </w:r>
                </w:p>
              </w:tc>
              <w:tc>
                <w:tcPr>
                  <w:tcW w:w="989" w:type="dxa"/>
                  <w:noWrap w:val="0"/>
                  <w:vAlign w:val="center"/>
                </w:tcPr>
                <w:p w14:paraId="78E269A0">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4</w:t>
                  </w:r>
                </w:p>
              </w:tc>
            </w:tr>
            <w:tr w14:paraId="32EA77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79311232">
                  <w:pPr>
                    <w:spacing w:line="240" w:lineRule="auto"/>
                    <w:ind w:firstLine="0" w:firstLineChars="0"/>
                    <w:jc w:val="center"/>
                    <w:rPr>
                      <w:rFonts w:hint="default" w:ascii="Times New Roman" w:hAnsi="Times New Roman" w:cs="Times New Roman"/>
                      <w:color w:val="auto"/>
                      <w:sz w:val="21"/>
                      <w:szCs w:val="21"/>
                      <w:highlight w:val="none"/>
                    </w:rPr>
                  </w:pPr>
                </w:p>
              </w:tc>
              <w:tc>
                <w:tcPr>
                  <w:tcW w:w="6546" w:type="dxa"/>
                  <w:gridSpan w:val="2"/>
                  <w:noWrap w:val="0"/>
                  <w:vAlign w:val="center"/>
                </w:tcPr>
                <w:p w14:paraId="30E6E20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小计</w:t>
                  </w:r>
                </w:p>
              </w:tc>
              <w:tc>
                <w:tcPr>
                  <w:tcW w:w="989" w:type="dxa"/>
                  <w:noWrap w:val="0"/>
                  <w:vAlign w:val="center"/>
                </w:tcPr>
                <w:p w14:paraId="25C4E071">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w:t>
                  </w:r>
                </w:p>
              </w:tc>
            </w:tr>
            <w:tr w14:paraId="2E5517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778" w:type="dxa"/>
                  <w:vMerge w:val="restart"/>
                  <w:noWrap w:val="0"/>
                  <w:vAlign w:val="center"/>
                </w:tcPr>
                <w:p w14:paraId="5B576CA4">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w:t>
                  </w:r>
                </w:p>
                <w:p w14:paraId="143F756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w:t>
                  </w:r>
                </w:p>
                <w:p w14:paraId="5F35A9B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w:t>
                  </w:r>
                </w:p>
              </w:tc>
              <w:tc>
                <w:tcPr>
                  <w:tcW w:w="1159" w:type="dxa"/>
                  <w:vMerge w:val="restart"/>
                  <w:noWrap w:val="0"/>
                  <w:vAlign w:val="center"/>
                </w:tcPr>
                <w:p w14:paraId="7DC1E50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有组织</w:t>
                  </w:r>
                  <w:r>
                    <w:rPr>
                      <w:rFonts w:hint="default" w:ascii="Times New Roman" w:hAnsi="Times New Roman" w:cs="Times New Roman"/>
                      <w:color w:val="auto"/>
                      <w:sz w:val="21"/>
                      <w:szCs w:val="21"/>
                      <w:highlight w:val="none"/>
                    </w:rPr>
                    <w:t>废气治理</w:t>
                  </w:r>
                </w:p>
              </w:tc>
              <w:tc>
                <w:tcPr>
                  <w:tcW w:w="5387" w:type="dxa"/>
                  <w:noWrap w:val="0"/>
                  <w:vAlign w:val="center"/>
                </w:tcPr>
                <w:p w14:paraId="794A166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分解工序设置</w:t>
                  </w:r>
                  <w:r>
                    <w:rPr>
                      <w:rFonts w:hint="default" w:ascii="Times New Roman" w:hAnsi="Times New Roman" w:eastAsia="宋体" w:cs="Times New Roman"/>
                      <w:color w:val="auto"/>
                      <w:kern w:val="2"/>
                      <w:sz w:val="21"/>
                      <w:szCs w:val="21"/>
                      <w:highlight w:val="none"/>
                      <w:lang w:val="en-US" w:bidi="ar-SA"/>
                    </w:rPr>
                    <w:t>集气罩</w:t>
                  </w:r>
                  <w:r>
                    <w:rPr>
                      <w:rFonts w:hint="default" w:ascii="Times New Roman" w:hAnsi="Times New Roman" w:cs="Times New Roman"/>
                      <w:color w:val="auto"/>
                      <w:kern w:val="2"/>
                      <w:sz w:val="21"/>
                      <w:szCs w:val="21"/>
                      <w:highlight w:val="none"/>
                      <w:lang w:val="en-US" w:eastAsia="zh-CN" w:bidi="ar-SA"/>
                    </w:rPr>
                    <w:t>+布袋除尘器</w:t>
                  </w:r>
                  <w:r>
                    <w:rPr>
                      <w:rFonts w:hint="default" w:ascii="Times New Roman" w:hAnsi="Times New Roman" w:eastAsia="宋体" w:cs="Times New Roman"/>
                      <w:color w:val="auto"/>
                      <w:kern w:val="2"/>
                      <w:sz w:val="21"/>
                      <w:szCs w:val="21"/>
                      <w:highlight w:val="none"/>
                      <w:lang w:val="en-US" w:bidi="ar-SA"/>
                    </w:rPr>
                    <w:t>+</w:t>
                  </w:r>
                  <w:r>
                    <w:rPr>
                      <w:rFonts w:hint="default" w:ascii="Times New Roman" w:hAnsi="Times New Roman" w:eastAsia="宋体"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bidi="ar-SA"/>
                    </w:rPr>
                    <w:t>m高排气筒</w:t>
                  </w:r>
                </w:p>
              </w:tc>
              <w:tc>
                <w:tcPr>
                  <w:tcW w:w="989" w:type="dxa"/>
                  <w:noWrap w:val="0"/>
                  <w:vAlign w:val="center"/>
                </w:tcPr>
                <w:p w14:paraId="6A40455F">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r>
            <w:tr w14:paraId="7656DB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78" w:type="dxa"/>
                  <w:vMerge w:val="continue"/>
                  <w:noWrap w:val="0"/>
                  <w:vAlign w:val="center"/>
                </w:tcPr>
                <w:p w14:paraId="24E9AD7F">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1D9E8DC5">
                  <w:pPr>
                    <w:spacing w:line="240" w:lineRule="auto"/>
                    <w:ind w:firstLine="0" w:firstLineChars="0"/>
                    <w:jc w:val="center"/>
                    <w:rPr>
                      <w:rFonts w:hint="default" w:ascii="Times New Roman" w:hAnsi="Times New Roman" w:cs="Times New Roman"/>
                      <w:color w:val="auto"/>
                      <w:sz w:val="21"/>
                      <w:szCs w:val="21"/>
                      <w:highlight w:val="none"/>
                    </w:rPr>
                  </w:pPr>
                </w:p>
              </w:tc>
              <w:tc>
                <w:tcPr>
                  <w:tcW w:w="5387" w:type="dxa"/>
                  <w:noWrap w:val="0"/>
                  <w:vAlign w:val="center"/>
                </w:tcPr>
                <w:p w14:paraId="3C7ED24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破碎工序设置集气罩+布袋除尘器+15m高排气筒</w:t>
                  </w:r>
                </w:p>
              </w:tc>
              <w:tc>
                <w:tcPr>
                  <w:tcW w:w="989" w:type="dxa"/>
                  <w:noWrap w:val="0"/>
                  <w:vAlign w:val="center"/>
                </w:tcPr>
                <w:p w14:paraId="2BA05E6D">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w:t>
                  </w:r>
                </w:p>
              </w:tc>
            </w:tr>
            <w:tr w14:paraId="091F91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78" w:type="dxa"/>
                  <w:vMerge w:val="continue"/>
                  <w:noWrap w:val="0"/>
                  <w:vAlign w:val="center"/>
                </w:tcPr>
                <w:p w14:paraId="7EB399B3">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7EC95679">
                  <w:pPr>
                    <w:spacing w:line="240" w:lineRule="auto"/>
                    <w:ind w:firstLine="0" w:firstLineChars="0"/>
                    <w:jc w:val="center"/>
                    <w:rPr>
                      <w:rFonts w:hint="default" w:ascii="Times New Roman" w:hAnsi="Times New Roman" w:cs="Times New Roman"/>
                      <w:color w:val="auto"/>
                      <w:sz w:val="21"/>
                      <w:szCs w:val="21"/>
                      <w:highlight w:val="none"/>
                    </w:rPr>
                  </w:pPr>
                </w:p>
              </w:tc>
              <w:tc>
                <w:tcPr>
                  <w:tcW w:w="5387" w:type="dxa"/>
                  <w:noWrap w:val="0"/>
                  <w:vAlign w:val="center"/>
                </w:tcPr>
                <w:p w14:paraId="74A47C34">
                  <w:pPr>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干燥、包装工序集气罩+布袋除尘器+15m高排气筒</w:t>
                  </w:r>
                </w:p>
              </w:tc>
              <w:tc>
                <w:tcPr>
                  <w:tcW w:w="989" w:type="dxa"/>
                  <w:noWrap w:val="0"/>
                  <w:vAlign w:val="center"/>
                </w:tcPr>
                <w:p w14:paraId="34BDF805">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w:t>
                  </w:r>
                </w:p>
              </w:tc>
            </w:tr>
            <w:tr w14:paraId="3F731F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78" w:type="dxa"/>
                  <w:vMerge w:val="continue"/>
                  <w:noWrap w:val="0"/>
                  <w:vAlign w:val="center"/>
                </w:tcPr>
                <w:p w14:paraId="03C0C44E">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6A34D803">
                  <w:pPr>
                    <w:spacing w:line="240" w:lineRule="auto"/>
                    <w:ind w:firstLine="0" w:firstLineChars="0"/>
                    <w:jc w:val="center"/>
                    <w:rPr>
                      <w:rFonts w:hint="default" w:ascii="Times New Roman" w:hAnsi="Times New Roman" w:cs="Times New Roman"/>
                      <w:color w:val="auto"/>
                      <w:sz w:val="21"/>
                      <w:szCs w:val="21"/>
                      <w:highlight w:val="none"/>
                    </w:rPr>
                  </w:pPr>
                </w:p>
              </w:tc>
              <w:tc>
                <w:tcPr>
                  <w:tcW w:w="5387" w:type="dxa"/>
                  <w:noWrap w:val="0"/>
                  <w:vAlign w:val="center"/>
                </w:tcPr>
                <w:p w14:paraId="058F63D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厨房油烟经净化效率不小于75%</w:t>
                  </w:r>
                  <w:r>
                    <w:rPr>
                      <w:rFonts w:hint="default" w:ascii="Times New Roman" w:hAnsi="Times New Roman" w:eastAsia="宋体" w:cs="Times New Roman"/>
                      <w:bCs/>
                      <w:color w:val="auto"/>
                      <w:sz w:val="21"/>
                      <w:szCs w:val="21"/>
                      <w:highlight w:val="none"/>
                    </w:rPr>
                    <w:t>油烟净化器</w:t>
                  </w:r>
                  <w:r>
                    <w:rPr>
                      <w:rFonts w:hint="default" w:ascii="Times New Roman" w:hAnsi="Times New Roman" w:eastAsia="宋体" w:cs="Times New Roman"/>
                      <w:bCs/>
                      <w:color w:val="auto"/>
                      <w:sz w:val="21"/>
                      <w:szCs w:val="21"/>
                      <w:highlight w:val="none"/>
                      <w:lang w:val="en-US" w:eastAsia="zh-CN"/>
                    </w:rPr>
                    <w:t>处理后排放。</w:t>
                  </w:r>
                </w:p>
              </w:tc>
              <w:tc>
                <w:tcPr>
                  <w:tcW w:w="989" w:type="dxa"/>
                  <w:noWrap w:val="0"/>
                  <w:vAlign w:val="center"/>
                </w:tcPr>
                <w:p w14:paraId="34CAEC64">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r>
            <w:tr w14:paraId="3A9E30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78" w:type="dxa"/>
                  <w:vMerge w:val="continue"/>
                  <w:noWrap w:val="0"/>
                  <w:vAlign w:val="center"/>
                </w:tcPr>
                <w:p w14:paraId="2E3FE148">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676B79CA">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无组织废气治理</w:t>
                  </w:r>
                </w:p>
              </w:tc>
              <w:tc>
                <w:tcPr>
                  <w:tcW w:w="5387" w:type="dxa"/>
                  <w:noWrap w:val="0"/>
                  <w:vAlign w:val="center"/>
                </w:tcPr>
                <w:p w14:paraId="6165352E">
                  <w:pPr>
                    <w:spacing w:line="240" w:lineRule="auto"/>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洒水降</w:t>
                  </w:r>
                  <w:r>
                    <w:rPr>
                      <w:rFonts w:hint="default" w:ascii="Times New Roman" w:hAnsi="Times New Roman" w:eastAsia="宋体" w:cs="Times New Roman"/>
                      <w:bCs/>
                      <w:color w:val="auto"/>
                      <w:sz w:val="21"/>
                      <w:szCs w:val="21"/>
                      <w:highlight w:val="none"/>
                      <w:lang w:val="en-US" w:eastAsia="zh-CN"/>
                    </w:rPr>
                    <w:t>尘、溶解釜采用机械密闭搅拌器，釜盖与筒体连接处加装充气式密闭垫圈，氨气易泄漏的管道接口采用焊接连接代替法兰连接，生产车间采用“上送下排”通风系统，顶部安装新风送风口，底部四周设排风口。</w:t>
                  </w:r>
                </w:p>
              </w:tc>
              <w:tc>
                <w:tcPr>
                  <w:tcW w:w="989" w:type="dxa"/>
                  <w:noWrap w:val="0"/>
                  <w:vAlign w:val="center"/>
                </w:tcPr>
                <w:p w14:paraId="32FD27DF">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65DAF3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7E0D591F">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11B9420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5387" w:type="dxa"/>
                  <w:noWrap w:val="0"/>
                  <w:vAlign w:val="center"/>
                </w:tcPr>
                <w:p w14:paraId="65C8CDF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沉淀池、防渗</w:t>
                  </w:r>
                  <w:r>
                    <w:rPr>
                      <w:rFonts w:hint="default" w:ascii="Times New Roman" w:hAnsi="Times New Roman" w:cs="Times New Roman"/>
                      <w:color w:val="auto"/>
                      <w:sz w:val="21"/>
                      <w:szCs w:val="21"/>
                      <w:highlight w:val="none"/>
                    </w:rPr>
                    <w:t>隔油池</w:t>
                  </w:r>
                </w:p>
              </w:tc>
              <w:tc>
                <w:tcPr>
                  <w:tcW w:w="989" w:type="dxa"/>
                  <w:noWrap w:val="0"/>
                  <w:vAlign w:val="center"/>
                </w:tcPr>
                <w:p w14:paraId="1ED4403F">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5</w:t>
                  </w:r>
                </w:p>
              </w:tc>
            </w:tr>
            <w:tr w14:paraId="13346A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0D387D02">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65FA63B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5387" w:type="dxa"/>
                  <w:noWrap w:val="0"/>
                  <w:vAlign w:val="center"/>
                </w:tcPr>
                <w:p w14:paraId="1DFB0D0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合理布局、</w:t>
                  </w:r>
                  <w:r>
                    <w:rPr>
                      <w:rFonts w:hint="default" w:ascii="Times New Roman" w:hAnsi="Times New Roman" w:cs="Times New Roman"/>
                      <w:color w:val="auto"/>
                      <w:sz w:val="21"/>
                      <w:szCs w:val="21"/>
                      <w:highlight w:val="none"/>
                    </w:rPr>
                    <w:t>安装减振基础、减振垫、消声器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绿化</w:t>
                  </w:r>
                  <w:r>
                    <w:rPr>
                      <w:rFonts w:hint="default" w:ascii="Times New Roman" w:hAnsi="Times New Roman" w:cs="Times New Roman"/>
                      <w:color w:val="auto"/>
                      <w:sz w:val="21"/>
                      <w:szCs w:val="21"/>
                      <w:highlight w:val="none"/>
                    </w:rPr>
                    <w:t>等</w:t>
                  </w:r>
                </w:p>
              </w:tc>
              <w:tc>
                <w:tcPr>
                  <w:tcW w:w="989" w:type="dxa"/>
                  <w:noWrap w:val="0"/>
                  <w:vAlign w:val="center"/>
                </w:tcPr>
                <w:p w14:paraId="0B242083">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04C66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12B8AC13">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vMerge w:val="restart"/>
                  <w:noWrap w:val="0"/>
                  <w:vAlign w:val="center"/>
                </w:tcPr>
                <w:p w14:paraId="6AC4851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固废治理</w:t>
                  </w:r>
                </w:p>
              </w:tc>
              <w:tc>
                <w:tcPr>
                  <w:tcW w:w="5387" w:type="dxa"/>
                  <w:noWrap w:val="0"/>
                  <w:vAlign w:val="center"/>
                </w:tcPr>
                <w:p w14:paraId="32FA1CC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生产及生活固废收集设施</w:t>
                  </w:r>
                </w:p>
              </w:tc>
              <w:tc>
                <w:tcPr>
                  <w:tcW w:w="989" w:type="dxa"/>
                  <w:noWrap w:val="0"/>
                  <w:vAlign w:val="center"/>
                </w:tcPr>
                <w:p w14:paraId="5C78AE1E">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rPr>
                    <w:t>5</w:t>
                  </w:r>
                </w:p>
              </w:tc>
            </w:tr>
            <w:tr w14:paraId="79DD6D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44210453">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vMerge w:val="continue"/>
                  <w:noWrap w:val="0"/>
                  <w:vAlign w:val="center"/>
                </w:tcPr>
                <w:p w14:paraId="269DA672">
                  <w:pPr>
                    <w:spacing w:line="240" w:lineRule="auto"/>
                    <w:ind w:firstLine="0" w:firstLineChars="0"/>
                    <w:jc w:val="center"/>
                    <w:rPr>
                      <w:rFonts w:hint="default" w:ascii="Times New Roman" w:hAnsi="Times New Roman" w:cs="Times New Roman"/>
                      <w:color w:val="auto"/>
                      <w:sz w:val="21"/>
                      <w:szCs w:val="21"/>
                      <w:highlight w:val="none"/>
                    </w:rPr>
                  </w:pPr>
                </w:p>
              </w:tc>
              <w:tc>
                <w:tcPr>
                  <w:tcW w:w="5387" w:type="dxa"/>
                  <w:noWrap w:val="0"/>
                  <w:vAlign w:val="center"/>
                </w:tcPr>
                <w:p w14:paraId="7E36830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危废暂存间按照《危险废物贮存污染控制标准》（GB18957-2023）中有关规定设置</w:t>
                  </w:r>
                  <w:r>
                    <w:rPr>
                      <w:rFonts w:hint="eastAsia" w:cs="Times New Roman"/>
                      <w:color w:val="auto"/>
                      <w:sz w:val="21"/>
                      <w:szCs w:val="21"/>
                      <w:highlight w:val="none"/>
                      <w:lang w:eastAsia="zh-CN"/>
                    </w:rPr>
                    <w:t>危险废物贮存设施</w:t>
                  </w:r>
                </w:p>
              </w:tc>
              <w:tc>
                <w:tcPr>
                  <w:tcW w:w="989" w:type="dxa"/>
                  <w:noWrap w:val="0"/>
                  <w:vAlign w:val="center"/>
                </w:tcPr>
                <w:p w14:paraId="226D34DC">
                  <w:pPr>
                    <w:widowControl/>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5</w:t>
                  </w:r>
                </w:p>
              </w:tc>
            </w:tr>
            <w:tr w14:paraId="326DA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660D1DC7">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3FE50FC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地下水污染防治</w:t>
                  </w:r>
                </w:p>
              </w:tc>
              <w:tc>
                <w:tcPr>
                  <w:tcW w:w="5387" w:type="dxa"/>
                  <w:noWrap w:val="0"/>
                  <w:vAlign w:val="center"/>
                </w:tcPr>
                <w:p w14:paraId="19CDB4C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厂区分区防渗</w:t>
                  </w:r>
                  <w:r>
                    <w:rPr>
                      <w:rFonts w:hint="default" w:ascii="Times New Roman" w:hAnsi="Times New Roman" w:eastAsia="宋体" w:cs="Times New Roman"/>
                      <w:color w:val="auto"/>
                      <w:sz w:val="21"/>
                      <w:szCs w:val="21"/>
                      <w:highlight w:val="none"/>
                      <w:lang w:eastAsia="zh-CN"/>
                    </w:rPr>
                    <w:t>、</w:t>
                  </w:r>
                </w:p>
              </w:tc>
              <w:tc>
                <w:tcPr>
                  <w:tcW w:w="989" w:type="dxa"/>
                  <w:noWrap w:val="0"/>
                  <w:vAlign w:val="center"/>
                </w:tcPr>
                <w:p w14:paraId="03B6A8DC">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469CED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407F1C97">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0C66279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绿化</w:t>
                  </w:r>
                </w:p>
              </w:tc>
              <w:tc>
                <w:tcPr>
                  <w:tcW w:w="5387" w:type="dxa"/>
                  <w:noWrap w:val="0"/>
                  <w:vAlign w:val="center"/>
                </w:tcPr>
                <w:p w14:paraId="2541DE3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厂区绿化</w:t>
                  </w:r>
                </w:p>
              </w:tc>
              <w:tc>
                <w:tcPr>
                  <w:tcW w:w="989" w:type="dxa"/>
                  <w:noWrap w:val="0"/>
                  <w:vAlign w:val="center"/>
                </w:tcPr>
                <w:p w14:paraId="59FF26DB">
                  <w:pPr>
                    <w:widowControl/>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r>
            <w:tr w14:paraId="08E626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3F02A79A">
                  <w:pPr>
                    <w:spacing w:line="240" w:lineRule="auto"/>
                    <w:ind w:firstLine="0" w:firstLineChars="0"/>
                    <w:jc w:val="center"/>
                    <w:rPr>
                      <w:rFonts w:hint="default" w:ascii="Times New Roman" w:hAnsi="Times New Roman" w:cs="Times New Roman"/>
                      <w:color w:val="auto"/>
                      <w:sz w:val="21"/>
                      <w:szCs w:val="21"/>
                      <w:highlight w:val="none"/>
                    </w:rPr>
                  </w:pPr>
                </w:p>
              </w:tc>
              <w:tc>
                <w:tcPr>
                  <w:tcW w:w="6546" w:type="dxa"/>
                  <w:gridSpan w:val="2"/>
                  <w:noWrap w:val="0"/>
                  <w:vAlign w:val="center"/>
                </w:tcPr>
                <w:p w14:paraId="2A5D011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小计</w:t>
                  </w:r>
                </w:p>
              </w:tc>
              <w:tc>
                <w:tcPr>
                  <w:tcW w:w="989" w:type="dxa"/>
                  <w:noWrap w:val="0"/>
                  <w:vAlign w:val="center"/>
                </w:tcPr>
                <w:p w14:paraId="2ECAF045">
                  <w:pPr>
                    <w:widowControl/>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82</w:t>
                  </w:r>
                </w:p>
              </w:tc>
            </w:tr>
            <w:tr w14:paraId="5EDC7A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53F3A98D">
                  <w:pPr>
                    <w:spacing w:line="240" w:lineRule="auto"/>
                    <w:ind w:firstLine="0" w:firstLineChars="0"/>
                    <w:jc w:val="center"/>
                    <w:rPr>
                      <w:rFonts w:hint="default" w:ascii="Times New Roman" w:hAnsi="Times New Roman" w:cs="Times New Roman"/>
                      <w:color w:val="auto"/>
                      <w:sz w:val="21"/>
                      <w:szCs w:val="21"/>
                      <w:highlight w:val="none"/>
                    </w:rPr>
                  </w:pPr>
                </w:p>
              </w:tc>
              <w:tc>
                <w:tcPr>
                  <w:tcW w:w="1159" w:type="dxa"/>
                  <w:noWrap w:val="0"/>
                  <w:vAlign w:val="center"/>
                </w:tcPr>
                <w:p w14:paraId="0647DBA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环境管理</w:t>
                  </w:r>
                </w:p>
              </w:tc>
              <w:tc>
                <w:tcPr>
                  <w:tcW w:w="5387" w:type="dxa"/>
                  <w:noWrap w:val="0"/>
                  <w:vAlign w:val="center"/>
                </w:tcPr>
                <w:p w14:paraId="59A0344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w:t>
                  </w:r>
                  <w:r>
                    <w:rPr>
                      <w:rFonts w:hint="default" w:ascii="Times New Roman" w:hAnsi="Times New Roman" w:eastAsia="宋体" w:cs="Times New Roman"/>
                      <w:color w:val="auto"/>
                      <w:sz w:val="21"/>
                      <w:szCs w:val="21"/>
                      <w:highlight w:val="none"/>
                      <w:lang w:val="en-US" w:eastAsia="zh-CN"/>
                    </w:rPr>
                    <w:t>强管理，定期检修维护环保设备；按照监测计划进行常规性监测，作为厂区环境管理档案并存档</w:t>
                  </w:r>
                </w:p>
              </w:tc>
              <w:tc>
                <w:tcPr>
                  <w:tcW w:w="989" w:type="dxa"/>
                  <w:noWrap w:val="0"/>
                  <w:vAlign w:val="center"/>
                </w:tcPr>
                <w:p w14:paraId="285A1CC7">
                  <w:pPr>
                    <w:widowControl/>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716FAB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78" w:type="dxa"/>
                  <w:vMerge w:val="continue"/>
                  <w:noWrap w:val="0"/>
                  <w:vAlign w:val="center"/>
                </w:tcPr>
                <w:p w14:paraId="07B509DC">
                  <w:pPr>
                    <w:spacing w:line="240" w:lineRule="auto"/>
                    <w:ind w:firstLine="0" w:firstLineChars="0"/>
                    <w:jc w:val="center"/>
                    <w:rPr>
                      <w:rFonts w:hint="default" w:ascii="Times New Roman" w:hAnsi="Times New Roman" w:cs="Times New Roman"/>
                      <w:color w:val="auto"/>
                      <w:sz w:val="21"/>
                      <w:szCs w:val="21"/>
                      <w:highlight w:val="none"/>
                    </w:rPr>
                  </w:pPr>
                </w:p>
              </w:tc>
              <w:tc>
                <w:tcPr>
                  <w:tcW w:w="6546" w:type="dxa"/>
                  <w:gridSpan w:val="2"/>
                  <w:noWrap w:val="0"/>
                  <w:vAlign w:val="center"/>
                </w:tcPr>
                <w:p w14:paraId="32849BEC">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小计</w:t>
                  </w:r>
                </w:p>
              </w:tc>
              <w:tc>
                <w:tcPr>
                  <w:tcW w:w="989" w:type="dxa"/>
                  <w:noWrap w:val="0"/>
                  <w:vAlign w:val="center"/>
                </w:tcPr>
                <w:p w14:paraId="41D03378">
                  <w:pPr>
                    <w:widowControl/>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0CA582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24" w:type="dxa"/>
                  <w:gridSpan w:val="3"/>
                  <w:noWrap w:val="0"/>
                  <w:vAlign w:val="center"/>
                </w:tcPr>
                <w:p w14:paraId="01B012E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总计</w:t>
                  </w:r>
                </w:p>
              </w:tc>
              <w:tc>
                <w:tcPr>
                  <w:tcW w:w="989" w:type="dxa"/>
                  <w:noWrap w:val="0"/>
                  <w:vAlign w:val="center"/>
                </w:tcPr>
                <w:p w14:paraId="5928905D">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w:t>
                  </w:r>
                </w:p>
              </w:tc>
            </w:tr>
          </w:tbl>
          <w:p w14:paraId="17407201">
            <w:pPr>
              <w:pStyle w:val="10"/>
              <w:numPr>
                <w:ilvl w:val="0"/>
                <w:numId w:val="0"/>
              </w:numPr>
              <w:rPr>
                <w:rFonts w:hint="default" w:ascii="Times New Roman" w:hAnsi="Times New Roman" w:eastAsia="宋体" w:cs="Times New Roman"/>
                <w:color w:val="auto"/>
                <w:sz w:val="24"/>
                <w:szCs w:val="24"/>
                <w:highlight w:val="none"/>
              </w:rPr>
            </w:pPr>
          </w:p>
        </w:tc>
      </w:tr>
    </w:tbl>
    <w:p w14:paraId="7B411190">
      <w:pPr>
        <w:pageBreakBefore/>
        <w:ind w:firstLine="0" w:firstLineChars="0"/>
        <w:jc w:val="center"/>
        <w:outlineLvl w:val="0"/>
        <w:rPr>
          <w:rFonts w:hint="default" w:ascii="Times New Roman" w:hAnsi="Times New Roman" w:eastAsia="黑体" w:cs="Times New Roman"/>
          <w:snapToGrid w:val="0"/>
          <w:color w:val="auto"/>
          <w:sz w:val="30"/>
          <w:szCs w:val="30"/>
          <w:highlight w:val="none"/>
        </w:rPr>
      </w:pPr>
      <w:bookmarkStart w:id="67" w:name="_Toc23510"/>
      <w:bookmarkStart w:id="68" w:name="_Toc2872"/>
      <w:r>
        <w:rPr>
          <w:rFonts w:hint="default" w:ascii="Times New Roman" w:hAnsi="Times New Roman" w:eastAsia="黑体" w:cs="Times New Roman"/>
          <w:snapToGrid w:val="0"/>
          <w:color w:val="auto"/>
          <w:sz w:val="30"/>
          <w:szCs w:val="30"/>
          <w:highlight w:val="none"/>
        </w:rPr>
        <w:t>五、</w:t>
      </w:r>
      <w:bookmarkStart w:id="69" w:name="_Hlk54167917"/>
      <w:r>
        <w:rPr>
          <w:rFonts w:hint="default" w:ascii="Times New Roman" w:hAnsi="Times New Roman" w:eastAsia="黑体" w:cs="Times New Roman"/>
          <w:snapToGrid w:val="0"/>
          <w:color w:val="auto"/>
          <w:sz w:val="30"/>
          <w:szCs w:val="30"/>
          <w:highlight w:val="none"/>
        </w:rPr>
        <w:t>环境保护措施监督检查清单</w:t>
      </w:r>
      <w:bookmarkEnd w:id="67"/>
      <w:bookmarkEnd w:id="68"/>
      <w:bookmarkEnd w:id="69"/>
    </w:p>
    <w:tbl>
      <w:tblPr>
        <w:tblStyle w:val="29"/>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550"/>
        <w:gridCol w:w="1067"/>
        <w:gridCol w:w="1022"/>
        <w:gridCol w:w="2395"/>
        <w:gridCol w:w="2542"/>
      </w:tblGrid>
      <w:tr w14:paraId="3C2CF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4" w:type="dxa"/>
            <w:tcBorders>
              <w:tl2br w:val="single" w:color="auto" w:sz="4" w:space="0"/>
            </w:tcBorders>
          </w:tcPr>
          <w:p w14:paraId="67499559">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14:paraId="2AF8FDF0">
            <w:pPr>
              <w:pStyle w:val="47"/>
              <w:rPr>
                <w:rFonts w:hint="default" w:ascii="Times New Roman" w:hAnsi="Times New Roman" w:eastAsia="宋体" w:cs="Times New Roman"/>
                <w:color w:val="auto"/>
                <w:sz w:val="24"/>
                <w:szCs w:val="24"/>
                <w:highlight w:val="none"/>
              </w:rPr>
            </w:pPr>
          </w:p>
          <w:p w14:paraId="2F045C98">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1617" w:type="dxa"/>
            <w:gridSpan w:val="2"/>
            <w:vAlign w:val="center"/>
          </w:tcPr>
          <w:p w14:paraId="495C7CCA">
            <w:pPr>
              <w:pStyle w:val="47"/>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产污环境</w:t>
            </w:r>
          </w:p>
        </w:tc>
        <w:tc>
          <w:tcPr>
            <w:tcW w:w="1022" w:type="dxa"/>
            <w:vAlign w:val="center"/>
          </w:tcPr>
          <w:p w14:paraId="7516A456">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2395" w:type="dxa"/>
            <w:vAlign w:val="center"/>
          </w:tcPr>
          <w:p w14:paraId="68E62DC8">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2542" w:type="dxa"/>
            <w:vAlign w:val="center"/>
          </w:tcPr>
          <w:p w14:paraId="620CF58A">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14:paraId="446ED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restart"/>
            <w:vAlign w:val="center"/>
          </w:tcPr>
          <w:p w14:paraId="19046A3E">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w:t>
            </w:r>
          </w:p>
        </w:tc>
        <w:tc>
          <w:tcPr>
            <w:tcW w:w="550" w:type="dxa"/>
            <w:vMerge w:val="restart"/>
            <w:vAlign w:val="center"/>
          </w:tcPr>
          <w:p w14:paraId="45641C59">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有组织</w:t>
            </w:r>
          </w:p>
        </w:tc>
        <w:tc>
          <w:tcPr>
            <w:tcW w:w="1067" w:type="dxa"/>
            <w:shd w:val="clear" w:color="auto" w:fill="auto"/>
            <w:vAlign w:val="center"/>
          </w:tcPr>
          <w:p w14:paraId="2E95ABBF">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cs="Times New Roman"/>
                <w:bCs/>
                <w:color w:val="auto"/>
                <w:spacing w:val="5"/>
                <w:kern w:val="0"/>
                <w:sz w:val="24"/>
                <w:szCs w:val="24"/>
                <w:highlight w:val="none"/>
                <w:lang w:val="en-US" w:eastAsia="zh-CN" w:bidi="ar-SA"/>
              </w:rPr>
              <w:t>分解</w:t>
            </w:r>
          </w:p>
        </w:tc>
        <w:tc>
          <w:tcPr>
            <w:tcW w:w="1022" w:type="dxa"/>
            <w:vAlign w:val="center"/>
          </w:tcPr>
          <w:p w14:paraId="3C578C91">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w:t>
            </w:r>
          </w:p>
        </w:tc>
        <w:tc>
          <w:tcPr>
            <w:tcW w:w="2395" w:type="dxa"/>
            <w:vMerge w:val="restart"/>
            <w:vAlign w:val="center"/>
          </w:tcPr>
          <w:p w14:paraId="4161CD1A">
            <w:pPr>
              <w:pStyle w:val="47"/>
              <w:ind w:firstLine="0" w:firstLineChars="0"/>
              <w:rPr>
                <w:rFonts w:hint="default" w:ascii="Times New Roman" w:hAnsi="Times New Roman" w:eastAsia="宋体" w:cs="Times New Roman"/>
                <w:bCs/>
                <w:color w:val="auto"/>
                <w:sz w:val="24"/>
                <w:szCs w:val="24"/>
                <w:highlight w:val="none"/>
              </w:rPr>
            </w:pPr>
            <w:r>
              <w:rPr>
                <w:rFonts w:hint="default" w:ascii="Times New Roman" w:hAnsi="Times New Roman" w:cs="Times New Roman"/>
                <w:bCs/>
                <w:color w:val="auto"/>
                <w:sz w:val="24"/>
                <w:szCs w:val="24"/>
                <w:highlight w:val="none"/>
                <w:lang w:val="en-US" w:eastAsia="zh-CN"/>
              </w:rPr>
              <w:t>3套</w:t>
            </w:r>
            <w:r>
              <w:rPr>
                <w:rFonts w:hint="default" w:ascii="Times New Roman" w:hAnsi="Times New Roman" w:eastAsia="宋体" w:cs="Times New Roman"/>
                <w:bCs/>
                <w:color w:val="auto"/>
                <w:sz w:val="24"/>
                <w:szCs w:val="24"/>
                <w:highlight w:val="none"/>
              </w:rPr>
              <w:t>集气罩+</w:t>
            </w:r>
            <w:r>
              <w:rPr>
                <w:rFonts w:hint="default" w:ascii="Times New Roman" w:hAnsi="Times New Roman" w:cs="Times New Roman"/>
                <w:bCs/>
                <w:color w:val="auto"/>
                <w:sz w:val="24"/>
                <w:szCs w:val="24"/>
                <w:highlight w:val="none"/>
                <w:lang w:val="en-US" w:eastAsia="zh-CN"/>
              </w:rPr>
              <w:t>脉冲</w:t>
            </w:r>
            <w:r>
              <w:rPr>
                <w:rFonts w:hint="default" w:ascii="Times New Roman" w:hAnsi="Times New Roman" w:eastAsia="宋体" w:cs="Times New Roman"/>
                <w:bCs/>
                <w:color w:val="auto"/>
                <w:sz w:val="24"/>
                <w:szCs w:val="24"/>
                <w:highlight w:val="none"/>
              </w:rPr>
              <w:t>布袋除尘器+15m排气筒</w:t>
            </w:r>
          </w:p>
        </w:tc>
        <w:tc>
          <w:tcPr>
            <w:tcW w:w="2542" w:type="dxa"/>
            <w:vMerge w:val="restart"/>
            <w:vAlign w:val="center"/>
          </w:tcPr>
          <w:p w14:paraId="76A3D1AC">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《大气污染物综合排放标准》（GB16297-1996）中限值要求</w:t>
            </w:r>
          </w:p>
        </w:tc>
      </w:tr>
      <w:tr w14:paraId="1EB94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270E72E5">
            <w:pPr>
              <w:pStyle w:val="47"/>
              <w:rPr>
                <w:rFonts w:hint="default" w:ascii="Times New Roman" w:hAnsi="Times New Roman" w:eastAsia="宋体" w:cs="Times New Roman"/>
                <w:color w:val="auto"/>
                <w:sz w:val="24"/>
                <w:szCs w:val="24"/>
                <w:highlight w:val="none"/>
              </w:rPr>
            </w:pPr>
          </w:p>
        </w:tc>
        <w:tc>
          <w:tcPr>
            <w:tcW w:w="550" w:type="dxa"/>
            <w:vMerge w:val="continue"/>
            <w:vAlign w:val="center"/>
          </w:tcPr>
          <w:p w14:paraId="597BB212">
            <w:pPr>
              <w:pStyle w:val="47"/>
              <w:ind w:firstLine="0" w:firstLineChars="0"/>
              <w:rPr>
                <w:rFonts w:hint="default" w:ascii="Times New Roman" w:hAnsi="Times New Roman" w:cs="Times New Roman"/>
                <w:color w:val="auto"/>
                <w:sz w:val="24"/>
                <w:szCs w:val="24"/>
                <w:highlight w:val="none"/>
                <w:lang w:val="en-US" w:eastAsia="zh-CN"/>
              </w:rPr>
            </w:pPr>
          </w:p>
        </w:tc>
        <w:tc>
          <w:tcPr>
            <w:tcW w:w="1067" w:type="dxa"/>
            <w:shd w:val="clear" w:color="auto" w:fill="auto"/>
            <w:vAlign w:val="center"/>
          </w:tcPr>
          <w:p w14:paraId="3151299E">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r>
              <w:rPr>
                <w:rFonts w:hint="default" w:ascii="Times New Roman" w:hAnsi="Times New Roman" w:cs="Times New Roman"/>
                <w:bCs/>
                <w:color w:val="auto"/>
                <w:spacing w:val="5"/>
                <w:kern w:val="0"/>
                <w:sz w:val="24"/>
                <w:szCs w:val="24"/>
                <w:highlight w:val="none"/>
                <w:lang w:val="en-US" w:eastAsia="zh-CN" w:bidi="ar-SA"/>
              </w:rPr>
              <w:t>破碎</w:t>
            </w:r>
          </w:p>
        </w:tc>
        <w:tc>
          <w:tcPr>
            <w:tcW w:w="1022" w:type="dxa"/>
            <w:vAlign w:val="center"/>
          </w:tcPr>
          <w:p w14:paraId="0C64BB6A">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w:t>
            </w:r>
          </w:p>
        </w:tc>
        <w:tc>
          <w:tcPr>
            <w:tcW w:w="2395" w:type="dxa"/>
            <w:vMerge w:val="continue"/>
            <w:vAlign w:val="center"/>
          </w:tcPr>
          <w:p w14:paraId="19657795">
            <w:pPr>
              <w:pStyle w:val="47"/>
              <w:ind w:firstLine="0" w:firstLineChars="0"/>
              <w:rPr>
                <w:rFonts w:hint="default" w:ascii="Times New Roman" w:hAnsi="Times New Roman" w:cs="Times New Roman"/>
                <w:bCs/>
                <w:color w:val="auto"/>
                <w:sz w:val="24"/>
                <w:szCs w:val="24"/>
                <w:highlight w:val="none"/>
                <w:lang w:val="en-US" w:eastAsia="zh-CN"/>
              </w:rPr>
            </w:pPr>
          </w:p>
        </w:tc>
        <w:tc>
          <w:tcPr>
            <w:tcW w:w="2542" w:type="dxa"/>
            <w:vMerge w:val="continue"/>
            <w:vAlign w:val="center"/>
          </w:tcPr>
          <w:p w14:paraId="52F46519">
            <w:pPr>
              <w:pStyle w:val="47"/>
              <w:rPr>
                <w:rFonts w:hint="default" w:ascii="Times New Roman" w:hAnsi="Times New Roman" w:eastAsia="宋体" w:cs="Times New Roman"/>
                <w:color w:val="auto"/>
                <w:sz w:val="24"/>
                <w:szCs w:val="24"/>
                <w:highlight w:val="none"/>
              </w:rPr>
            </w:pPr>
          </w:p>
        </w:tc>
      </w:tr>
      <w:tr w14:paraId="2341C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05CB5B7F">
            <w:pPr>
              <w:pStyle w:val="47"/>
              <w:ind w:firstLine="0" w:firstLineChars="0"/>
              <w:rPr>
                <w:rFonts w:hint="default" w:ascii="Times New Roman" w:hAnsi="Times New Roman" w:cs="Times New Roman"/>
              </w:rPr>
            </w:pPr>
          </w:p>
        </w:tc>
        <w:tc>
          <w:tcPr>
            <w:tcW w:w="550" w:type="dxa"/>
            <w:vMerge w:val="continue"/>
            <w:vAlign w:val="center"/>
          </w:tcPr>
          <w:p w14:paraId="712C17C7">
            <w:pPr>
              <w:pStyle w:val="47"/>
              <w:ind w:firstLine="0" w:firstLineChars="0"/>
              <w:rPr>
                <w:rFonts w:hint="default" w:ascii="Times New Roman" w:hAnsi="Times New Roman" w:cs="Times New Roman"/>
                <w:sz w:val="24"/>
                <w:szCs w:val="24"/>
                <w:highlight w:val="none"/>
              </w:rPr>
            </w:pPr>
          </w:p>
        </w:tc>
        <w:tc>
          <w:tcPr>
            <w:tcW w:w="1067" w:type="dxa"/>
            <w:vMerge w:val="restart"/>
            <w:shd w:val="clear" w:color="auto" w:fill="auto"/>
            <w:vAlign w:val="center"/>
          </w:tcPr>
          <w:p w14:paraId="7287F1E7">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r>
              <w:rPr>
                <w:rFonts w:hint="default" w:ascii="Times New Roman" w:hAnsi="Times New Roman" w:cs="Times New Roman"/>
                <w:bCs/>
                <w:color w:val="auto"/>
                <w:spacing w:val="5"/>
                <w:kern w:val="0"/>
                <w:sz w:val="24"/>
                <w:szCs w:val="24"/>
                <w:highlight w:val="none"/>
                <w:lang w:val="en-US" w:eastAsia="zh-CN" w:bidi="ar-SA"/>
              </w:rPr>
              <w:t>干燥、包装</w:t>
            </w:r>
          </w:p>
        </w:tc>
        <w:tc>
          <w:tcPr>
            <w:tcW w:w="1022" w:type="dxa"/>
            <w:vAlign w:val="center"/>
          </w:tcPr>
          <w:p w14:paraId="7E58F025">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颗粒物</w:t>
            </w:r>
          </w:p>
        </w:tc>
        <w:tc>
          <w:tcPr>
            <w:tcW w:w="2395" w:type="dxa"/>
            <w:vMerge w:val="continue"/>
            <w:vAlign w:val="center"/>
          </w:tcPr>
          <w:p w14:paraId="2ED065F9">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p>
        </w:tc>
        <w:tc>
          <w:tcPr>
            <w:tcW w:w="2542" w:type="dxa"/>
            <w:vMerge w:val="continue"/>
            <w:vAlign w:val="center"/>
          </w:tcPr>
          <w:p w14:paraId="14073A43">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p>
        </w:tc>
      </w:tr>
      <w:tr w14:paraId="14FC5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4BEB3D0E">
            <w:pPr>
              <w:pStyle w:val="47"/>
              <w:ind w:firstLine="0" w:firstLineChars="0"/>
              <w:rPr>
                <w:rFonts w:hint="default" w:ascii="Times New Roman" w:hAnsi="Times New Roman" w:cs="Times New Roman"/>
              </w:rPr>
            </w:pPr>
          </w:p>
        </w:tc>
        <w:tc>
          <w:tcPr>
            <w:tcW w:w="550" w:type="dxa"/>
            <w:vMerge w:val="continue"/>
            <w:vAlign w:val="center"/>
          </w:tcPr>
          <w:p w14:paraId="230DEFB1">
            <w:pPr>
              <w:pStyle w:val="47"/>
              <w:ind w:firstLine="0" w:firstLineChars="0"/>
              <w:rPr>
                <w:rFonts w:hint="default" w:ascii="Times New Roman" w:hAnsi="Times New Roman" w:cs="Times New Roman"/>
                <w:sz w:val="24"/>
                <w:szCs w:val="24"/>
                <w:highlight w:val="none"/>
              </w:rPr>
            </w:pPr>
          </w:p>
        </w:tc>
        <w:tc>
          <w:tcPr>
            <w:tcW w:w="1067" w:type="dxa"/>
            <w:vMerge w:val="continue"/>
            <w:shd w:val="clear" w:color="auto" w:fill="auto"/>
            <w:vAlign w:val="center"/>
          </w:tcPr>
          <w:p w14:paraId="0622F83A">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p>
        </w:tc>
        <w:tc>
          <w:tcPr>
            <w:tcW w:w="1022" w:type="dxa"/>
            <w:vAlign w:val="center"/>
          </w:tcPr>
          <w:p w14:paraId="17367FA1">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氨气</w:t>
            </w:r>
          </w:p>
        </w:tc>
        <w:tc>
          <w:tcPr>
            <w:tcW w:w="2395" w:type="dxa"/>
            <w:vMerge w:val="continue"/>
            <w:vAlign w:val="center"/>
          </w:tcPr>
          <w:p w14:paraId="2701A6B8">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p>
        </w:tc>
        <w:tc>
          <w:tcPr>
            <w:tcW w:w="2542" w:type="dxa"/>
            <w:vAlign w:val="center"/>
          </w:tcPr>
          <w:p w14:paraId="4010EF0E">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恶臭污染物排放标准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14554-93</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二级排放标准</w:t>
            </w:r>
          </w:p>
        </w:tc>
      </w:tr>
      <w:tr w14:paraId="72776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0D370761">
            <w:pPr>
              <w:pStyle w:val="47"/>
              <w:ind w:firstLine="0" w:firstLineChars="0"/>
              <w:rPr>
                <w:rFonts w:hint="default" w:ascii="Times New Roman" w:hAnsi="Times New Roman" w:cs="Times New Roman"/>
              </w:rPr>
            </w:pPr>
          </w:p>
        </w:tc>
        <w:tc>
          <w:tcPr>
            <w:tcW w:w="550" w:type="dxa"/>
            <w:vMerge w:val="continue"/>
            <w:vAlign w:val="center"/>
          </w:tcPr>
          <w:p w14:paraId="5E642F40">
            <w:pPr>
              <w:pStyle w:val="47"/>
              <w:ind w:firstLine="0" w:firstLineChars="0"/>
              <w:rPr>
                <w:rFonts w:hint="default" w:ascii="Times New Roman" w:hAnsi="Times New Roman" w:cs="Times New Roman"/>
                <w:sz w:val="24"/>
                <w:szCs w:val="24"/>
                <w:highlight w:val="none"/>
              </w:rPr>
            </w:pPr>
          </w:p>
        </w:tc>
        <w:tc>
          <w:tcPr>
            <w:tcW w:w="1067" w:type="dxa"/>
            <w:shd w:val="clear" w:color="auto" w:fill="auto"/>
            <w:vAlign w:val="center"/>
          </w:tcPr>
          <w:p w14:paraId="44790167">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食堂油烟</w:t>
            </w:r>
          </w:p>
        </w:tc>
        <w:tc>
          <w:tcPr>
            <w:tcW w:w="1022" w:type="dxa"/>
            <w:shd w:val="clear" w:color="auto" w:fill="auto"/>
            <w:vAlign w:val="center"/>
          </w:tcPr>
          <w:p w14:paraId="0D025EF2">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油烟</w:t>
            </w:r>
          </w:p>
        </w:tc>
        <w:tc>
          <w:tcPr>
            <w:tcW w:w="2395" w:type="dxa"/>
            <w:shd w:val="clear" w:color="auto" w:fill="auto"/>
            <w:vAlign w:val="center"/>
          </w:tcPr>
          <w:p w14:paraId="76E375C3">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eastAsia="宋体" w:cs="Times New Roman"/>
                <w:bCs/>
                <w:color w:val="auto"/>
                <w:sz w:val="24"/>
                <w:szCs w:val="24"/>
                <w:highlight w:val="none"/>
              </w:rPr>
              <w:t>油烟净化器</w:t>
            </w:r>
          </w:p>
        </w:tc>
        <w:tc>
          <w:tcPr>
            <w:tcW w:w="2542" w:type="dxa"/>
            <w:shd w:val="clear" w:color="auto" w:fill="auto"/>
            <w:vAlign w:val="center"/>
          </w:tcPr>
          <w:p w14:paraId="772A9939">
            <w:pPr>
              <w:pStyle w:val="47"/>
              <w:ind w:firstLine="0" w:firstLineChars="0"/>
              <w:rPr>
                <w:rFonts w:hint="default" w:ascii="Times New Roman" w:hAnsi="Times New Roman" w:eastAsia="宋体" w:cs="Times New Roman"/>
                <w:bCs/>
                <w:color w:val="auto"/>
                <w:spacing w:val="5"/>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《饮食行业油烟排放标准（试行）》（GB18483-2001）</w:t>
            </w:r>
          </w:p>
        </w:tc>
      </w:tr>
      <w:tr w14:paraId="3D691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65CE2C80">
            <w:pPr>
              <w:pStyle w:val="47"/>
              <w:rPr>
                <w:rFonts w:hint="default" w:ascii="Times New Roman" w:hAnsi="Times New Roman" w:eastAsia="宋体" w:cs="Times New Roman"/>
                <w:color w:val="auto"/>
                <w:sz w:val="24"/>
                <w:szCs w:val="24"/>
                <w:highlight w:val="none"/>
              </w:rPr>
            </w:pPr>
          </w:p>
        </w:tc>
        <w:tc>
          <w:tcPr>
            <w:tcW w:w="550" w:type="dxa"/>
            <w:vMerge w:val="restart"/>
            <w:vAlign w:val="center"/>
          </w:tcPr>
          <w:p w14:paraId="7594ACDC">
            <w:pPr>
              <w:pStyle w:val="47"/>
              <w:ind w:firstLine="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无组织</w:t>
            </w:r>
          </w:p>
        </w:tc>
        <w:tc>
          <w:tcPr>
            <w:tcW w:w="1067" w:type="dxa"/>
            <w:vMerge w:val="restart"/>
            <w:shd w:val="clear" w:color="auto" w:fill="auto"/>
            <w:vAlign w:val="center"/>
          </w:tcPr>
          <w:p w14:paraId="4114FD6A">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r>
              <w:rPr>
                <w:rFonts w:hint="default" w:ascii="Times New Roman" w:hAnsi="Times New Roman" w:cs="Times New Roman"/>
                <w:bCs/>
                <w:color w:val="auto"/>
                <w:spacing w:val="5"/>
                <w:kern w:val="0"/>
                <w:sz w:val="24"/>
                <w:szCs w:val="24"/>
                <w:highlight w:val="none"/>
                <w:lang w:val="en-US" w:eastAsia="zh-CN" w:bidi="ar-SA"/>
              </w:rPr>
              <w:t>厂界</w:t>
            </w:r>
          </w:p>
        </w:tc>
        <w:tc>
          <w:tcPr>
            <w:tcW w:w="1022" w:type="dxa"/>
            <w:vAlign w:val="center"/>
          </w:tcPr>
          <w:p w14:paraId="6535D72D">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w:t>
            </w:r>
          </w:p>
        </w:tc>
        <w:tc>
          <w:tcPr>
            <w:tcW w:w="2395" w:type="dxa"/>
            <w:vAlign w:val="center"/>
          </w:tcPr>
          <w:p w14:paraId="353EF48F">
            <w:pPr>
              <w:pStyle w:val="47"/>
              <w:ind w:firstLine="0" w:firstLineChars="0"/>
              <w:rPr>
                <w:rFonts w:hint="default" w:ascii="Times New Roman" w:hAnsi="Times New Roman" w:cs="Times New Roman"/>
                <w:sz w:val="24"/>
                <w:szCs w:val="24"/>
                <w:highlight w:val="none"/>
              </w:rPr>
            </w:pPr>
            <w:r>
              <w:rPr>
                <w:rFonts w:hint="default" w:ascii="Times New Roman" w:hAnsi="Times New Roman" w:cs="Times New Roman"/>
                <w:spacing w:val="-4"/>
                <w:sz w:val="24"/>
                <w:szCs w:val="24"/>
                <w:highlight w:val="none"/>
                <w:lang w:val="en-US" w:eastAsia="zh-CN"/>
              </w:rPr>
              <w:t>车间隔挡、洒水降尘</w:t>
            </w:r>
          </w:p>
        </w:tc>
        <w:tc>
          <w:tcPr>
            <w:tcW w:w="2542" w:type="dxa"/>
            <w:vAlign w:val="center"/>
          </w:tcPr>
          <w:p w14:paraId="608429FC">
            <w:pPr>
              <w:pStyle w:val="47"/>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《大气污染物综合排放标准》（GB16297-1996）表2中限值</w:t>
            </w:r>
          </w:p>
        </w:tc>
      </w:tr>
      <w:tr w14:paraId="7186D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44A338F3">
            <w:pPr>
              <w:pStyle w:val="47"/>
              <w:rPr>
                <w:rFonts w:hint="default" w:ascii="Times New Roman" w:hAnsi="Times New Roman" w:eastAsia="宋体" w:cs="Times New Roman"/>
                <w:color w:val="auto"/>
                <w:sz w:val="24"/>
                <w:szCs w:val="24"/>
                <w:highlight w:val="none"/>
              </w:rPr>
            </w:pPr>
          </w:p>
        </w:tc>
        <w:tc>
          <w:tcPr>
            <w:tcW w:w="550" w:type="dxa"/>
            <w:vMerge w:val="continue"/>
            <w:vAlign w:val="center"/>
          </w:tcPr>
          <w:p w14:paraId="2C3E6F4D">
            <w:pPr>
              <w:pStyle w:val="47"/>
              <w:ind w:firstLine="0" w:firstLineChars="0"/>
              <w:rPr>
                <w:rFonts w:hint="default" w:ascii="Times New Roman" w:hAnsi="Times New Roman" w:cs="Times New Roman"/>
                <w:color w:val="auto"/>
                <w:sz w:val="24"/>
                <w:szCs w:val="24"/>
                <w:highlight w:val="none"/>
                <w:lang w:val="en-US" w:eastAsia="zh-CN"/>
              </w:rPr>
            </w:pPr>
          </w:p>
        </w:tc>
        <w:tc>
          <w:tcPr>
            <w:tcW w:w="1067" w:type="dxa"/>
            <w:vMerge w:val="continue"/>
            <w:shd w:val="clear" w:color="auto" w:fill="auto"/>
            <w:vAlign w:val="center"/>
          </w:tcPr>
          <w:p w14:paraId="03CC3267">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p>
        </w:tc>
        <w:tc>
          <w:tcPr>
            <w:tcW w:w="1022" w:type="dxa"/>
            <w:vAlign w:val="center"/>
          </w:tcPr>
          <w:p w14:paraId="24EA05A6">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氨气</w:t>
            </w:r>
          </w:p>
        </w:tc>
        <w:tc>
          <w:tcPr>
            <w:tcW w:w="2395" w:type="dxa"/>
            <w:vMerge w:val="restart"/>
            <w:vAlign w:val="center"/>
          </w:tcPr>
          <w:p w14:paraId="224B7E44">
            <w:pPr>
              <w:pStyle w:val="47"/>
              <w:ind w:firstLine="0" w:firstLineChars="0"/>
              <w:rPr>
                <w:rFonts w:hint="default" w:ascii="Times New Roman" w:hAnsi="Times New Roman" w:eastAsia="宋体" w:cs="Times New Roman"/>
                <w:spacing w:val="-4"/>
                <w:sz w:val="24"/>
                <w:szCs w:val="24"/>
                <w:highlight w:val="none"/>
                <w:lang w:val="en-US" w:eastAsia="zh-CN"/>
              </w:rPr>
            </w:pP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溶解釜采用机械密闭搅拌器、筒体连接处加装充气式密闭垫圈、管道接口采用焊接连接、生产车间采用“上送下排”通风系统，车间负压，</w:t>
            </w:r>
            <w:r>
              <w:rPr>
                <w:rFonts w:hint="default" w:ascii="Times New Roman" w:hAnsi="Times New Roman" w:eastAsia="Segoe UI" w:cs="Times New Roman"/>
                <w:i w:val="0"/>
                <w:iCs w:val="0"/>
                <w:caps w:val="0"/>
                <w:spacing w:val="0"/>
                <w:sz w:val="24"/>
                <w:szCs w:val="24"/>
                <w:shd w:val="clear" w:fill="FFFFFF"/>
              </w:rPr>
              <w:t>溶解釜、储槽外壁每周用湿布擦拭1次</w:t>
            </w:r>
            <w:r>
              <w:rPr>
                <w:rFonts w:hint="default" w:ascii="Times New Roman" w:hAnsi="Times New Roman" w:eastAsia="宋体" w:cs="Times New Roman"/>
                <w:i w:val="0"/>
                <w:iCs w:val="0"/>
                <w:caps w:val="0"/>
                <w:spacing w:val="0"/>
                <w:sz w:val="24"/>
                <w:szCs w:val="24"/>
                <w:shd w:val="clear" w:fill="FFFFFF"/>
                <w:lang w:eastAsia="zh-CN"/>
              </w:rPr>
              <w:t>。</w:t>
            </w:r>
          </w:p>
        </w:tc>
        <w:tc>
          <w:tcPr>
            <w:tcW w:w="2542" w:type="dxa"/>
            <w:vMerge w:val="restart"/>
            <w:vAlign w:val="center"/>
          </w:tcPr>
          <w:p w14:paraId="469EC6DA">
            <w:pPr>
              <w:pStyle w:val="47"/>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恶臭污染物排放标准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14554-93</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二级排放标准</w:t>
            </w:r>
          </w:p>
        </w:tc>
      </w:tr>
      <w:tr w14:paraId="09302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24" w:type="dxa"/>
            <w:vMerge w:val="continue"/>
            <w:vAlign w:val="center"/>
          </w:tcPr>
          <w:p w14:paraId="082FF89B">
            <w:pPr>
              <w:pStyle w:val="47"/>
              <w:rPr>
                <w:rFonts w:hint="default" w:ascii="Times New Roman" w:hAnsi="Times New Roman" w:eastAsia="宋体" w:cs="Times New Roman"/>
                <w:color w:val="auto"/>
                <w:sz w:val="24"/>
                <w:szCs w:val="24"/>
                <w:highlight w:val="none"/>
              </w:rPr>
            </w:pPr>
          </w:p>
        </w:tc>
        <w:tc>
          <w:tcPr>
            <w:tcW w:w="550" w:type="dxa"/>
            <w:vMerge w:val="continue"/>
            <w:vAlign w:val="center"/>
          </w:tcPr>
          <w:p w14:paraId="56EF0B09">
            <w:pPr>
              <w:pStyle w:val="47"/>
              <w:ind w:firstLine="0" w:firstLineChars="0"/>
              <w:rPr>
                <w:rFonts w:hint="default" w:ascii="Times New Roman" w:hAnsi="Times New Roman" w:cs="Times New Roman"/>
                <w:color w:val="auto"/>
                <w:sz w:val="24"/>
                <w:szCs w:val="24"/>
                <w:highlight w:val="none"/>
                <w:lang w:val="en-US" w:eastAsia="zh-CN"/>
              </w:rPr>
            </w:pPr>
          </w:p>
        </w:tc>
        <w:tc>
          <w:tcPr>
            <w:tcW w:w="1067" w:type="dxa"/>
            <w:vMerge w:val="continue"/>
            <w:shd w:val="clear" w:color="auto" w:fill="auto"/>
            <w:vAlign w:val="center"/>
          </w:tcPr>
          <w:p w14:paraId="2D3EACA1">
            <w:pPr>
              <w:pStyle w:val="47"/>
              <w:ind w:firstLine="0" w:firstLineChars="0"/>
              <w:rPr>
                <w:rFonts w:hint="default" w:ascii="Times New Roman" w:hAnsi="Times New Roman" w:cs="Times New Roman"/>
                <w:bCs/>
                <w:color w:val="auto"/>
                <w:spacing w:val="5"/>
                <w:kern w:val="0"/>
                <w:sz w:val="24"/>
                <w:szCs w:val="24"/>
                <w:highlight w:val="none"/>
                <w:lang w:val="en-US" w:eastAsia="zh-CN" w:bidi="ar-SA"/>
              </w:rPr>
            </w:pPr>
          </w:p>
        </w:tc>
        <w:tc>
          <w:tcPr>
            <w:tcW w:w="1022" w:type="dxa"/>
            <w:vAlign w:val="center"/>
          </w:tcPr>
          <w:p w14:paraId="4433F45E">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臭气浓度</w:t>
            </w:r>
          </w:p>
        </w:tc>
        <w:tc>
          <w:tcPr>
            <w:tcW w:w="2395" w:type="dxa"/>
            <w:vMerge w:val="continue"/>
            <w:vAlign w:val="center"/>
          </w:tcPr>
          <w:p w14:paraId="0AC13AE5">
            <w:pPr>
              <w:pStyle w:val="47"/>
              <w:ind w:firstLine="0" w:firstLineChars="0"/>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p>
        </w:tc>
        <w:tc>
          <w:tcPr>
            <w:tcW w:w="2542" w:type="dxa"/>
            <w:vMerge w:val="continue"/>
            <w:vAlign w:val="center"/>
          </w:tcPr>
          <w:p w14:paraId="555251DA">
            <w:pPr>
              <w:pStyle w:val="47"/>
              <w:rPr>
                <w:rFonts w:hint="default" w:ascii="Times New Roman" w:hAnsi="Times New Roman" w:eastAsia="宋体" w:cs="Times New Roman"/>
                <w:color w:val="auto"/>
                <w:sz w:val="24"/>
                <w:szCs w:val="24"/>
                <w:highlight w:val="none"/>
              </w:rPr>
            </w:pPr>
          </w:p>
        </w:tc>
      </w:tr>
      <w:tr w14:paraId="5671C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24" w:type="dxa"/>
            <w:vAlign w:val="center"/>
          </w:tcPr>
          <w:p w14:paraId="6F27C473">
            <w:pPr>
              <w:pStyle w:val="47"/>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水环境</w:t>
            </w:r>
          </w:p>
        </w:tc>
        <w:tc>
          <w:tcPr>
            <w:tcW w:w="1617" w:type="dxa"/>
            <w:gridSpan w:val="2"/>
            <w:vAlign w:val="center"/>
          </w:tcPr>
          <w:p w14:paraId="17DE5096">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生活</w:t>
            </w:r>
            <w:r>
              <w:rPr>
                <w:rFonts w:hint="default" w:ascii="Times New Roman" w:hAnsi="Times New Roman" w:cs="Times New Roman"/>
                <w:color w:val="auto"/>
                <w:sz w:val="24"/>
                <w:szCs w:val="24"/>
                <w:lang w:val="en-US" w:eastAsia="zh-CN"/>
              </w:rPr>
              <w:t>污</w:t>
            </w:r>
            <w:r>
              <w:rPr>
                <w:rFonts w:hint="default" w:ascii="Times New Roman" w:hAnsi="Times New Roman" w:eastAsia="宋体" w:cs="Times New Roman"/>
                <w:color w:val="auto"/>
                <w:sz w:val="24"/>
                <w:szCs w:val="24"/>
                <w:lang w:val="en-US" w:eastAsia="zh-CN"/>
              </w:rPr>
              <w:t>水</w:t>
            </w:r>
          </w:p>
        </w:tc>
        <w:tc>
          <w:tcPr>
            <w:tcW w:w="1022" w:type="dxa"/>
            <w:vAlign w:val="center"/>
          </w:tcPr>
          <w:p w14:paraId="69992EC4">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COD、氨氮等</w:t>
            </w:r>
          </w:p>
        </w:tc>
        <w:tc>
          <w:tcPr>
            <w:tcW w:w="2395" w:type="dxa"/>
            <w:vAlign w:val="center"/>
          </w:tcPr>
          <w:p w14:paraId="0D2EC823">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经</w:t>
            </w:r>
            <w:r>
              <w:rPr>
                <w:rFonts w:hint="default" w:ascii="Times New Roman" w:hAnsi="Times New Roman" w:cs="Times New Roman"/>
                <w:color w:val="auto"/>
                <w:sz w:val="24"/>
                <w:szCs w:val="24"/>
                <w:highlight w:val="none"/>
                <w:lang w:val="en-US" w:eastAsia="zh-CN"/>
              </w:rPr>
              <w:t>防渗</w:t>
            </w:r>
            <w:r>
              <w:rPr>
                <w:rFonts w:hint="default" w:ascii="Times New Roman" w:hAnsi="Times New Roman" w:cs="Times New Roman"/>
                <w:color w:val="auto"/>
                <w:sz w:val="24"/>
                <w:szCs w:val="24"/>
                <w:highlight w:val="none"/>
              </w:rPr>
              <w:t>隔油池</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eastAsia="宋体" w:cs="Times New Roman"/>
                <w:color w:val="auto"/>
                <w:sz w:val="24"/>
                <w:szCs w:val="24"/>
                <w:lang w:val="en-US" w:eastAsia="zh-CN"/>
              </w:rPr>
              <w:t>后排入</w:t>
            </w:r>
            <w:r>
              <w:rPr>
                <w:rFonts w:hint="default" w:ascii="Times New Roman" w:hAnsi="Times New Roman" w:cs="Times New Roman"/>
                <w:color w:val="auto"/>
                <w:sz w:val="24"/>
                <w:szCs w:val="24"/>
                <w:lang w:val="en-US" w:eastAsia="zh-CN"/>
              </w:rPr>
              <w:t>铁门关市污水处理厂</w:t>
            </w:r>
          </w:p>
        </w:tc>
        <w:tc>
          <w:tcPr>
            <w:tcW w:w="2542" w:type="dxa"/>
            <w:vAlign w:val="center"/>
          </w:tcPr>
          <w:p w14:paraId="6417FBA8">
            <w:pPr>
              <w:pStyle w:val="47"/>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污水综合排放标准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GB8978-1996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三级标准</w:t>
            </w:r>
          </w:p>
        </w:tc>
      </w:tr>
      <w:tr w14:paraId="347F9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4" w:type="dxa"/>
            <w:vAlign w:val="center"/>
          </w:tcPr>
          <w:p w14:paraId="2EF8D429">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1617" w:type="dxa"/>
            <w:gridSpan w:val="2"/>
            <w:vAlign w:val="center"/>
          </w:tcPr>
          <w:p w14:paraId="558B69FA">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生产设备</w:t>
            </w:r>
          </w:p>
        </w:tc>
        <w:tc>
          <w:tcPr>
            <w:tcW w:w="1022" w:type="dxa"/>
            <w:vAlign w:val="center"/>
          </w:tcPr>
          <w:p w14:paraId="575B69F9">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w:t>
            </w:r>
          </w:p>
        </w:tc>
        <w:tc>
          <w:tcPr>
            <w:tcW w:w="2395" w:type="dxa"/>
            <w:vAlign w:val="center"/>
          </w:tcPr>
          <w:p w14:paraId="552AD145">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隔音、减振、合理布局、绿化等</w:t>
            </w:r>
          </w:p>
        </w:tc>
        <w:tc>
          <w:tcPr>
            <w:tcW w:w="2542" w:type="dxa"/>
            <w:vAlign w:val="center"/>
          </w:tcPr>
          <w:p w14:paraId="6790E831">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《工业企业厂界环境噪声排放标准》（GB12348—2008）3类标准</w:t>
            </w:r>
          </w:p>
        </w:tc>
      </w:tr>
      <w:tr w14:paraId="437CC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224" w:type="dxa"/>
            <w:vAlign w:val="center"/>
          </w:tcPr>
          <w:p w14:paraId="3F53504D">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7576" w:type="dxa"/>
            <w:gridSpan w:val="5"/>
            <w:vAlign w:val="center"/>
          </w:tcPr>
          <w:p w14:paraId="67FE6790">
            <w:pPr>
              <w:pStyle w:val="47"/>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生活垃圾交由环卫部门统一处置；</w:t>
            </w:r>
          </w:p>
          <w:p w14:paraId="52806633">
            <w:pPr>
              <w:pStyle w:val="47"/>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废铜、钢渣、漆渣、废布袋</w:t>
            </w:r>
            <w:r>
              <w:rPr>
                <w:rFonts w:hint="default" w:ascii="Times New Roman" w:hAnsi="Times New Roman" w:eastAsia="宋体" w:cs="Times New Roman"/>
                <w:color w:val="auto"/>
                <w:sz w:val="24"/>
                <w:szCs w:val="24"/>
                <w:highlight w:val="none"/>
              </w:rPr>
              <w:t>出售给废品回收单位</w:t>
            </w:r>
            <w:r>
              <w:rPr>
                <w:rFonts w:hint="default" w:ascii="Times New Roman" w:hAnsi="Times New Roman" w:eastAsia="宋体" w:cs="Times New Roman"/>
                <w:color w:val="auto"/>
                <w:sz w:val="24"/>
                <w:szCs w:val="24"/>
                <w:highlight w:val="none"/>
                <w:lang w:val="en-US" w:eastAsia="zh-CN"/>
              </w:rPr>
              <w:t>；</w:t>
            </w:r>
          </w:p>
          <w:p w14:paraId="4B0B3223">
            <w:pPr>
              <w:pStyle w:val="47"/>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布袋除尘器收集的粉尘回收利用</w:t>
            </w:r>
            <w:r>
              <w:rPr>
                <w:rFonts w:hint="default" w:ascii="Times New Roman" w:hAnsi="Times New Roman" w:eastAsia="宋体" w:cs="Times New Roman"/>
                <w:color w:val="auto"/>
                <w:sz w:val="24"/>
                <w:szCs w:val="24"/>
                <w:highlight w:val="none"/>
              </w:rPr>
              <w:t>；</w:t>
            </w:r>
          </w:p>
          <w:p w14:paraId="3EC97141">
            <w:pPr>
              <w:pStyle w:val="47"/>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废机</w:t>
            </w:r>
            <w:r>
              <w:rPr>
                <w:rFonts w:hint="default" w:ascii="Times New Roman" w:hAnsi="Times New Roman" w:eastAsia="宋体" w:cs="Times New Roman"/>
                <w:color w:val="auto"/>
                <w:sz w:val="24"/>
                <w:szCs w:val="24"/>
                <w:highlight w:val="none"/>
                <w:lang w:val="en-US" w:eastAsia="zh-CN"/>
              </w:rPr>
              <w:t>油、废油桶</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隔油池废油脂暂存于</w:t>
            </w:r>
            <w:r>
              <w:rPr>
                <w:rFonts w:hint="default" w:ascii="Times New Roman" w:hAnsi="Times New Roman" w:eastAsia="宋体" w:cs="Times New Roman"/>
                <w:color w:val="auto"/>
                <w:sz w:val="24"/>
                <w:szCs w:val="24"/>
                <w:highlight w:val="none"/>
              </w:rPr>
              <w:t>危险废物贮存间，交由有危险废物处置资质的单位处置。</w:t>
            </w:r>
          </w:p>
        </w:tc>
      </w:tr>
      <w:tr w14:paraId="3D213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224" w:type="dxa"/>
            <w:vAlign w:val="center"/>
          </w:tcPr>
          <w:p w14:paraId="64E9DD4E">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w:t>
            </w:r>
          </w:p>
          <w:p w14:paraId="26FAAFE4">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污染防治措施</w:t>
            </w:r>
          </w:p>
        </w:tc>
        <w:tc>
          <w:tcPr>
            <w:tcW w:w="7576" w:type="dxa"/>
            <w:gridSpan w:val="5"/>
            <w:vAlign w:val="center"/>
          </w:tcPr>
          <w:p w14:paraId="0C428FD0">
            <w:pPr>
              <w:pStyle w:val="4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本项目按重点防渗区和简单防渗区分区域进行防渗处理。重点防渗区包括危废暂存间。其他生产生活设施为简单防渗区，仅做一般地面硬化。</w:t>
            </w:r>
          </w:p>
          <w:p w14:paraId="70EF6917">
            <w:pPr>
              <w:pStyle w:val="4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危废暂存间采用混凝土硬化地面并涂刷2层防渗胶层防渗，确保防渗性能与6.0m厚黏土层（渗透系数K≤1×10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cm/s）等效）</w:t>
            </w:r>
          </w:p>
        </w:tc>
      </w:tr>
      <w:tr w14:paraId="16C11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224" w:type="dxa"/>
            <w:vAlign w:val="center"/>
          </w:tcPr>
          <w:p w14:paraId="28FE86F2">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7576" w:type="dxa"/>
            <w:gridSpan w:val="5"/>
            <w:vAlign w:val="center"/>
          </w:tcPr>
          <w:p w14:paraId="4A30C2B3">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厂区进行绿化</w:t>
            </w:r>
          </w:p>
        </w:tc>
      </w:tr>
      <w:tr w14:paraId="20CDB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224" w:type="dxa"/>
            <w:vAlign w:val="center"/>
          </w:tcPr>
          <w:p w14:paraId="676660EA">
            <w:pPr>
              <w:pStyle w:val="47"/>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14:paraId="23E82BC2">
            <w:pPr>
              <w:pStyle w:val="47"/>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7576" w:type="dxa"/>
            <w:gridSpan w:val="5"/>
            <w:vAlign w:val="center"/>
          </w:tcPr>
          <w:p w14:paraId="6CBDD272">
            <w:pPr>
              <w:pStyle w:val="4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配备相应应急物资，编制突发环境事件应急预案，并定期组织应急演练。</w:t>
            </w:r>
          </w:p>
        </w:tc>
      </w:tr>
      <w:tr w14:paraId="53104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224" w:type="dxa"/>
            <w:vAlign w:val="center"/>
          </w:tcPr>
          <w:p w14:paraId="395F5FDB">
            <w:pPr>
              <w:pStyle w:val="47"/>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14:paraId="47A15C86">
            <w:pPr>
              <w:pStyle w:val="47"/>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7576" w:type="dxa"/>
            <w:gridSpan w:val="5"/>
            <w:vAlign w:val="center"/>
          </w:tcPr>
          <w:p w14:paraId="7213A283">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（1）环境管理</w:t>
            </w:r>
          </w:p>
          <w:p w14:paraId="6A92BC02">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贯彻执行国家和地方环境保护法律法规、政策与标准，及时掌握和了解污染控制措施的效果，以及项目所在区域环境质量的变化情况，更好地监控环保设施的运行情况，协调与地方环保职能部门和其他有关部门的工作，同时保证企业生产管理和环境管理的正常运作，建立环境管理体系与监测制度是非常必要和重要的。</w:t>
            </w:r>
          </w:p>
          <w:p w14:paraId="04D166C3">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1FA73EFB">
            <w:pPr>
              <w:keepNext w:val="0"/>
              <w:keepLines w:val="0"/>
              <w:pageBreakBefore w:val="0"/>
              <w:widowControl w:val="0"/>
              <w:kinsoku/>
              <w:wordWrap/>
              <w:overflowPunct/>
              <w:topLinePunct w:val="0"/>
              <w:autoSpaceDE/>
              <w:autoSpaceDN/>
              <w:bidi w:val="0"/>
              <w:adjustRightInd w:val="0"/>
              <w:snapToGrid w:val="0"/>
              <w:spacing w:before="79" w:beforeLines="25"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）排污口管理要求</w:t>
            </w:r>
          </w:p>
          <w:p w14:paraId="227D8AE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①建设单位应如实填写《中华人民共和国规范化排污口标志登记证》的有关内容，由环保主管部门签发登记证。</w:t>
            </w:r>
          </w:p>
          <w:p w14:paraId="093CE8E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②建设单位应将有关排污口的情况</w:t>
            </w:r>
            <w:r>
              <w:rPr>
                <w:rFonts w:hint="default" w:ascii="Times New Roman" w:hAnsi="Times New Roman" w:eastAsia="宋体" w:cs="Times New Roman"/>
                <w:color w:val="auto"/>
                <w:sz w:val="24"/>
                <w:szCs w:val="24"/>
                <w:highlight w:val="none"/>
                <w:lang w:eastAsia="zh-CN"/>
              </w:rPr>
              <w:t>如下</w:t>
            </w:r>
            <w:r>
              <w:rPr>
                <w:rFonts w:hint="default" w:ascii="Times New Roman" w:hAnsi="Times New Roman" w:eastAsia="宋体" w:cs="Times New Roman"/>
                <w:color w:val="auto"/>
                <w:sz w:val="24"/>
                <w:szCs w:val="24"/>
                <w:highlight w:val="none"/>
              </w:rPr>
              <w:t>：排污口的性质、编号、排污口的位置；</w:t>
            </w:r>
          </w:p>
          <w:p w14:paraId="48571C1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③主要排放的污染物种类、数量、浓度、排放规律、排放去向</w:t>
            </w:r>
            <w:r>
              <w:rPr>
                <w:rFonts w:hint="eastAsia"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污染治理设施的运行情况等进行建档管理，并报送环保主管部门备案。</w:t>
            </w:r>
          </w:p>
          <w:p w14:paraId="7A3FC576">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）严格执行排污许可制度</w:t>
            </w:r>
          </w:p>
          <w:p w14:paraId="6E5D2A45">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项目运营后应按照根据《排污许可证申请与核发技术规范 总则》（HJ942-2018）以及、《排污单位自行监测技术指南 总则》（HJ819-2017）以及《排污单位自行监测技术指南 总则》（HJ819-2017）中相关要求进行排污许可申报工作。</w:t>
            </w:r>
          </w:p>
          <w:p w14:paraId="036135E3">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根据《固定污染源排污许可分类管理名录（2019年版）》</w:t>
            </w:r>
            <w:r>
              <w:rPr>
                <w:rFonts w:hint="default" w:ascii="Times New Roman" w:hAnsi="Times New Roman" w:cs="Times New Roman"/>
                <w:color w:val="auto"/>
                <w:sz w:val="24"/>
                <w:szCs w:val="24"/>
                <w:highlight w:val="none"/>
                <w:lang w:val="en-US" w:eastAsia="zh-CN"/>
              </w:rPr>
              <w:t>三十九、废弃资源综合利用业42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spacing w:val="2"/>
                <w:lang w:val="en-US" w:eastAsia="zh-CN"/>
              </w:rPr>
              <w:t>85</w:t>
            </w:r>
            <w:r>
              <w:rPr>
                <w:rFonts w:hint="default" w:ascii="Times New Roman" w:hAnsi="Times New Roman" w:eastAsia="宋体" w:cs="Times New Roman"/>
                <w:sz w:val="24"/>
                <w:szCs w:val="24"/>
              </w:rPr>
              <w:t>金属废料和碎屑加工处理421；非金属废料和碎屑加工处理422（421和422均不含原料为危险废物的，均不含仅分拣、破碎的）</w:t>
            </w:r>
            <w:r>
              <w:rPr>
                <w:rFonts w:hint="default" w:ascii="Times New Roman" w:hAnsi="Times New Roman" w:eastAsia="宋体" w:cs="Times New Roman"/>
                <w:color w:val="auto"/>
                <w:sz w:val="24"/>
                <w:szCs w:val="24"/>
                <w:highlight w:val="none"/>
              </w:rPr>
              <w:t>，本项目属于</w:t>
            </w:r>
            <w:r>
              <w:rPr>
                <w:rFonts w:hint="default" w:ascii="Times New Roman" w:hAnsi="Times New Roman" w:cs="Times New Roman"/>
                <w:color w:val="auto"/>
                <w:sz w:val="24"/>
                <w:szCs w:val="24"/>
                <w:highlight w:val="none"/>
                <w:lang w:val="en-US" w:eastAsia="zh-CN"/>
              </w:rPr>
              <w:t>简化管理</w:t>
            </w:r>
            <w:r>
              <w:rPr>
                <w:rFonts w:hint="default" w:ascii="Times New Roman" w:hAnsi="Times New Roman" w:eastAsia="宋体" w:cs="Times New Roman"/>
                <w:color w:val="auto"/>
                <w:sz w:val="24"/>
                <w:szCs w:val="24"/>
                <w:highlight w:val="none"/>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60E61B28">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74EE2B65">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3E0CA6C8">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7D80197D">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2ED19D5E">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239CB1A5">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6B964562">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5994074E">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5B10AB16">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74378509">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2E01E69F">
            <w:pPr>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4"/>
                <w:highlight w:val="none"/>
              </w:rPr>
            </w:pPr>
          </w:p>
          <w:p w14:paraId="6B1A9AED">
            <w:pPr>
              <w:pStyle w:val="47"/>
              <w:jc w:val="both"/>
              <w:rPr>
                <w:rFonts w:hint="default" w:ascii="Times New Roman" w:hAnsi="Times New Roman" w:eastAsia="宋体" w:cs="Times New Roman"/>
                <w:color w:val="auto"/>
                <w:sz w:val="24"/>
                <w:szCs w:val="24"/>
                <w:highlight w:val="none"/>
              </w:rPr>
            </w:pPr>
          </w:p>
        </w:tc>
      </w:tr>
    </w:tbl>
    <w:p w14:paraId="00DC2863">
      <w:pPr>
        <w:pageBreakBefore/>
        <w:ind w:firstLine="0" w:firstLineChars="0"/>
        <w:jc w:val="center"/>
        <w:outlineLvl w:val="0"/>
        <w:rPr>
          <w:rFonts w:hint="default" w:ascii="Times New Roman" w:hAnsi="Times New Roman" w:eastAsia="黑体" w:cs="Times New Roman"/>
          <w:snapToGrid w:val="0"/>
          <w:color w:val="auto"/>
          <w:sz w:val="30"/>
          <w:szCs w:val="30"/>
          <w:highlight w:val="none"/>
        </w:rPr>
      </w:pPr>
      <w:bookmarkStart w:id="70" w:name="_Toc12425"/>
      <w:r>
        <w:rPr>
          <w:rFonts w:hint="default" w:ascii="Times New Roman" w:hAnsi="Times New Roman" w:eastAsia="黑体" w:cs="Times New Roman"/>
          <w:snapToGrid w:val="0"/>
          <w:color w:val="auto"/>
          <w:sz w:val="30"/>
          <w:szCs w:val="30"/>
          <w:highlight w:val="none"/>
        </w:rPr>
        <w:t>六、结论</w:t>
      </w:r>
      <w:bookmarkEnd w:id="70"/>
    </w:p>
    <w:tbl>
      <w:tblPr>
        <w:tblStyle w:val="29"/>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252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1" w:hRule="atLeast"/>
          <w:jc w:val="center"/>
        </w:trPr>
        <w:tc>
          <w:tcPr>
            <w:tcW w:w="8865" w:type="dxa"/>
            <w:vAlign w:val="center"/>
          </w:tcPr>
          <w:p w14:paraId="0FE9AE2D">
            <w:pPr>
              <w:pStyle w:val="51"/>
              <w:ind w:firstLine="480"/>
              <w:rPr>
                <w:rFonts w:hint="default" w:ascii="Times New Roman" w:hAnsi="Times New Roman" w:cs="Times New Roman"/>
                <w:color w:val="auto"/>
                <w:highlight w:val="none"/>
              </w:rPr>
            </w:pPr>
          </w:p>
          <w:p w14:paraId="376B56E5">
            <w:pPr>
              <w:pStyle w:val="5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该项目</w:t>
            </w:r>
            <w:r>
              <w:rPr>
                <w:rFonts w:hint="default" w:ascii="Times New Roman" w:hAnsi="Times New Roman" w:cs="Times New Roman"/>
                <w:color w:val="auto"/>
                <w:highlight w:val="none"/>
                <w:lang w:eastAsia="zh-CN"/>
              </w:rPr>
              <w:t>要</w:t>
            </w:r>
            <w:r>
              <w:rPr>
                <w:rFonts w:hint="default" w:ascii="Times New Roman" w:hAnsi="Times New Roman" w:cs="Times New Roman"/>
                <w:color w:val="auto"/>
                <w:highlight w:val="none"/>
              </w:rPr>
              <w:t>切实落实报告表中提出的各项防治措施要求，严格执行各项污染物</w:t>
            </w:r>
          </w:p>
          <w:p w14:paraId="69028EC0">
            <w:pPr>
              <w:pStyle w:val="51"/>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的排放标准，积极有效地进行治理和防范，并使各项污染物达标排放，从环境保护角度考虑，</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项目的建设是可行的。</w:t>
            </w:r>
          </w:p>
          <w:p w14:paraId="396282FD">
            <w:pPr>
              <w:pStyle w:val="51"/>
              <w:ind w:firstLine="0" w:firstLineChars="0"/>
              <w:rPr>
                <w:rFonts w:hint="default" w:ascii="Times New Roman" w:hAnsi="Times New Roman" w:cs="Times New Roman"/>
                <w:color w:val="auto"/>
                <w:highlight w:val="none"/>
              </w:rPr>
            </w:pPr>
          </w:p>
          <w:p w14:paraId="34464962">
            <w:pPr>
              <w:pStyle w:val="51"/>
              <w:ind w:firstLine="0" w:firstLineChars="0"/>
              <w:rPr>
                <w:rFonts w:hint="default" w:ascii="Times New Roman" w:hAnsi="Times New Roman" w:cs="Times New Roman"/>
                <w:color w:val="auto"/>
                <w:highlight w:val="none"/>
              </w:rPr>
            </w:pPr>
          </w:p>
          <w:p w14:paraId="18E34899">
            <w:pPr>
              <w:pStyle w:val="51"/>
              <w:ind w:firstLine="0" w:firstLineChars="0"/>
              <w:rPr>
                <w:rFonts w:hint="default" w:ascii="Times New Roman" w:hAnsi="Times New Roman" w:cs="Times New Roman"/>
                <w:color w:val="auto"/>
                <w:highlight w:val="none"/>
              </w:rPr>
            </w:pPr>
          </w:p>
          <w:p w14:paraId="5EBFA4E2">
            <w:pPr>
              <w:pStyle w:val="51"/>
              <w:ind w:firstLine="0" w:firstLineChars="0"/>
              <w:rPr>
                <w:rFonts w:hint="default" w:ascii="Times New Roman" w:hAnsi="Times New Roman" w:cs="Times New Roman"/>
                <w:color w:val="auto"/>
                <w:highlight w:val="none"/>
              </w:rPr>
            </w:pPr>
          </w:p>
          <w:p w14:paraId="27AE1604">
            <w:pPr>
              <w:pStyle w:val="51"/>
              <w:ind w:firstLine="0" w:firstLineChars="0"/>
              <w:rPr>
                <w:rFonts w:hint="default" w:ascii="Times New Roman" w:hAnsi="Times New Roman" w:cs="Times New Roman"/>
                <w:color w:val="auto"/>
                <w:highlight w:val="none"/>
              </w:rPr>
            </w:pPr>
          </w:p>
          <w:p w14:paraId="60051884">
            <w:pPr>
              <w:pStyle w:val="51"/>
              <w:ind w:firstLine="0" w:firstLineChars="0"/>
              <w:rPr>
                <w:rFonts w:hint="default" w:ascii="Times New Roman" w:hAnsi="Times New Roman" w:cs="Times New Roman"/>
                <w:color w:val="auto"/>
                <w:highlight w:val="none"/>
              </w:rPr>
            </w:pPr>
          </w:p>
          <w:p w14:paraId="6E08E91D">
            <w:pPr>
              <w:pStyle w:val="51"/>
              <w:ind w:firstLine="0" w:firstLineChars="0"/>
              <w:rPr>
                <w:rFonts w:hint="default" w:ascii="Times New Roman" w:hAnsi="Times New Roman" w:cs="Times New Roman"/>
                <w:color w:val="auto"/>
                <w:highlight w:val="none"/>
              </w:rPr>
            </w:pPr>
          </w:p>
          <w:p w14:paraId="10A73DD2">
            <w:pPr>
              <w:pStyle w:val="51"/>
              <w:ind w:firstLine="0" w:firstLineChars="0"/>
              <w:rPr>
                <w:rFonts w:hint="default" w:ascii="Times New Roman" w:hAnsi="Times New Roman" w:cs="Times New Roman"/>
                <w:color w:val="auto"/>
                <w:highlight w:val="none"/>
              </w:rPr>
            </w:pPr>
          </w:p>
          <w:p w14:paraId="74DF7732">
            <w:pPr>
              <w:pStyle w:val="51"/>
              <w:ind w:firstLine="0" w:firstLineChars="0"/>
              <w:rPr>
                <w:rFonts w:hint="default" w:ascii="Times New Roman" w:hAnsi="Times New Roman" w:cs="Times New Roman"/>
                <w:color w:val="auto"/>
                <w:highlight w:val="none"/>
              </w:rPr>
            </w:pPr>
          </w:p>
          <w:p w14:paraId="1ABF613C">
            <w:pPr>
              <w:pStyle w:val="51"/>
              <w:ind w:firstLine="0" w:firstLineChars="0"/>
              <w:rPr>
                <w:rFonts w:hint="default" w:ascii="Times New Roman" w:hAnsi="Times New Roman" w:cs="Times New Roman"/>
                <w:color w:val="auto"/>
                <w:highlight w:val="none"/>
              </w:rPr>
            </w:pPr>
          </w:p>
          <w:p w14:paraId="0D2F67F3">
            <w:pPr>
              <w:pStyle w:val="51"/>
              <w:ind w:firstLine="0" w:firstLineChars="0"/>
              <w:rPr>
                <w:rFonts w:hint="default" w:ascii="Times New Roman" w:hAnsi="Times New Roman" w:cs="Times New Roman"/>
                <w:color w:val="auto"/>
                <w:highlight w:val="none"/>
              </w:rPr>
            </w:pPr>
          </w:p>
          <w:p w14:paraId="03D25E66">
            <w:pPr>
              <w:pStyle w:val="51"/>
              <w:ind w:firstLine="0" w:firstLineChars="0"/>
              <w:rPr>
                <w:rFonts w:hint="default" w:ascii="Times New Roman" w:hAnsi="Times New Roman" w:cs="Times New Roman"/>
                <w:color w:val="auto"/>
                <w:highlight w:val="none"/>
              </w:rPr>
            </w:pPr>
          </w:p>
          <w:p w14:paraId="302B317B">
            <w:pPr>
              <w:pStyle w:val="51"/>
              <w:ind w:firstLine="0" w:firstLineChars="0"/>
              <w:rPr>
                <w:rFonts w:hint="default" w:ascii="Times New Roman" w:hAnsi="Times New Roman" w:cs="Times New Roman"/>
                <w:color w:val="auto"/>
                <w:highlight w:val="none"/>
              </w:rPr>
            </w:pPr>
          </w:p>
          <w:p w14:paraId="29BEB0E8">
            <w:pPr>
              <w:pStyle w:val="51"/>
              <w:ind w:firstLine="0" w:firstLineChars="0"/>
              <w:rPr>
                <w:rFonts w:hint="default" w:ascii="Times New Roman" w:hAnsi="Times New Roman" w:cs="Times New Roman"/>
                <w:color w:val="auto"/>
                <w:highlight w:val="none"/>
              </w:rPr>
            </w:pPr>
          </w:p>
          <w:p w14:paraId="786C7E83">
            <w:pPr>
              <w:pStyle w:val="51"/>
              <w:ind w:firstLine="0" w:firstLineChars="0"/>
              <w:rPr>
                <w:rFonts w:hint="default" w:ascii="Times New Roman" w:hAnsi="Times New Roman" w:cs="Times New Roman"/>
                <w:color w:val="auto"/>
                <w:highlight w:val="none"/>
              </w:rPr>
            </w:pPr>
          </w:p>
          <w:p w14:paraId="013874D6">
            <w:pPr>
              <w:pStyle w:val="51"/>
              <w:ind w:firstLine="0" w:firstLineChars="0"/>
              <w:rPr>
                <w:rFonts w:hint="default" w:ascii="Times New Roman" w:hAnsi="Times New Roman" w:cs="Times New Roman"/>
                <w:color w:val="auto"/>
                <w:highlight w:val="none"/>
              </w:rPr>
            </w:pPr>
          </w:p>
          <w:p w14:paraId="39B018B0">
            <w:pPr>
              <w:pStyle w:val="51"/>
              <w:ind w:firstLine="0" w:firstLineChars="0"/>
              <w:rPr>
                <w:rFonts w:hint="default" w:ascii="Times New Roman" w:hAnsi="Times New Roman" w:cs="Times New Roman"/>
                <w:color w:val="auto"/>
                <w:highlight w:val="none"/>
              </w:rPr>
            </w:pPr>
          </w:p>
          <w:p w14:paraId="720BC62B">
            <w:pPr>
              <w:pStyle w:val="51"/>
              <w:ind w:firstLine="0" w:firstLineChars="0"/>
              <w:rPr>
                <w:rFonts w:hint="default" w:ascii="Times New Roman" w:hAnsi="Times New Roman" w:cs="Times New Roman"/>
                <w:color w:val="auto"/>
                <w:highlight w:val="none"/>
              </w:rPr>
            </w:pPr>
          </w:p>
          <w:p w14:paraId="2711785D">
            <w:pPr>
              <w:pStyle w:val="51"/>
              <w:ind w:firstLine="0" w:firstLineChars="0"/>
              <w:rPr>
                <w:rFonts w:hint="default" w:ascii="Times New Roman" w:hAnsi="Times New Roman" w:cs="Times New Roman"/>
                <w:color w:val="auto"/>
                <w:highlight w:val="none"/>
              </w:rPr>
            </w:pPr>
          </w:p>
          <w:p w14:paraId="38286981">
            <w:pPr>
              <w:pStyle w:val="51"/>
              <w:ind w:firstLine="0" w:firstLineChars="0"/>
              <w:rPr>
                <w:rFonts w:hint="default" w:ascii="Times New Roman" w:hAnsi="Times New Roman" w:cs="Times New Roman"/>
                <w:color w:val="auto"/>
                <w:highlight w:val="none"/>
              </w:rPr>
            </w:pPr>
          </w:p>
          <w:p w14:paraId="02307109">
            <w:pPr>
              <w:pStyle w:val="51"/>
              <w:ind w:firstLine="0" w:firstLineChars="0"/>
              <w:rPr>
                <w:rFonts w:hint="default" w:ascii="Times New Roman" w:hAnsi="Times New Roman" w:cs="Times New Roman"/>
                <w:color w:val="auto"/>
                <w:highlight w:val="none"/>
              </w:rPr>
            </w:pPr>
          </w:p>
          <w:p w14:paraId="16010559">
            <w:pPr>
              <w:pStyle w:val="51"/>
              <w:ind w:firstLine="0" w:firstLineChars="0"/>
              <w:rPr>
                <w:rFonts w:hint="default" w:ascii="Times New Roman" w:hAnsi="Times New Roman" w:cs="Times New Roman"/>
                <w:color w:val="auto"/>
                <w:highlight w:val="none"/>
              </w:rPr>
            </w:pPr>
          </w:p>
          <w:p w14:paraId="43C08C99">
            <w:pPr>
              <w:pStyle w:val="51"/>
              <w:ind w:firstLine="0" w:firstLineChars="0"/>
              <w:rPr>
                <w:rFonts w:hint="default" w:ascii="Times New Roman" w:hAnsi="Times New Roman" w:cs="Times New Roman"/>
                <w:color w:val="auto"/>
                <w:highlight w:val="none"/>
              </w:rPr>
            </w:pPr>
          </w:p>
          <w:p w14:paraId="0477C6BF">
            <w:pPr>
              <w:pStyle w:val="51"/>
              <w:ind w:firstLine="0" w:firstLineChars="0"/>
              <w:rPr>
                <w:rFonts w:hint="default" w:ascii="Times New Roman" w:hAnsi="Times New Roman" w:cs="Times New Roman"/>
                <w:color w:val="auto"/>
                <w:highlight w:val="none"/>
              </w:rPr>
            </w:pPr>
          </w:p>
          <w:p w14:paraId="1C2FACD4">
            <w:pPr>
              <w:pStyle w:val="51"/>
              <w:ind w:firstLine="0" w:firstLineChars="0"/>
              <w:rPr>
                <w:rFonts w:hint="default" w:ascii="Times New Roman" w:hAnsi="Times New Roman" w:cs="Times New Roman"/>
                <w:color w:val="auto"/>
                <w:highlight w:val="none"/>
              </w:rPr>
            </w:pPr>
          </w:p>
        </w:tc>
      </w:tr>
    </w:tbl>
    <w:p w14:paraId="5E36CCF1">
      <w:pPr>
        <w:pStyle w:val="44"/>
        <w:numPr>
          <w:ilvl w:val="0"/>
          <w:numId w:val="3"/>
        </w:numPr>
        <w:rPr>
          <w:rFonts w:hint="default" w:ascii="Times New Roman" w:hAnsi="Times New Roman" w:cs="Times New Roman"/>
          <w:color w:val="auto"/>
          <w:highlight w:val="none"/>
        </w:rPr>
        <w:sectPr>
          <w:footerReference r:id="rId12" w:type="default"/>
          <w:pgSz w:w="11907" w:h="16840"/>
          <w:pgMar w:top="1276" w:right="1531" w:bottom="1702" w:left="1531" w:header="851" w:footer="596" w:gutter="0"/>
          <w:pgNumType w:fmt="decimal" w:start="1"/>
          <w:cols w:space="720" w:num="1"/>
          <w:docGrid w:linePitch="312" w:charSpace="0"/>
        </w:sectPr>
      </w:pPr>
    </w:p>
    <w:p w14:paraId="35896B2C">
      <w:pPr>
        <w:pageBreakBefore/>
        <w:ind w:firstLine="0" w:firstLineChars="0"/>
        <w:jc w:val="center"/>
        <w:outlineLvl w:val="0"/>
        <w:rPr>
          <w:rFonts w:hint="default" w:ascii="Times New Roman" w:hAnsi="Times New Roman" w:eastAsia="黑体" w:cs="Times New Roman"/>
          <w:snapToGrid w:val="0"/>
          <w:color w:val="auto"/>
          <w:sz w:val="30"/>
          <w:szCs w:val="30"/>
          <w:highlight w:val="none"/>
        </w:rPr>
      </w:pPr>
      <w:bookmarkStart w:id="71" w:name="_Toc30184"/>
      <w:bookmarkStart w:id="72" w:name="_Toc8367"/>
      <w:r>
        <w:rPr>
          <w:rFonts w:hint="default" w:ascii="Times New Roman" w:hAnsi="Times New Roman" w:eastAsia="黑体" w:cs="Times New Roman"/>
          <w:snapToGrid w:val="0"/>
          <w:color w:val="auto"/>
          <w:sz w:val="30"/>
          <w:szCs w:val="30"/>
          <w:highlight w:val="none"/>
        </w:rPr>
        <w:t>建设项目污染物排放量汇总表</w:t>
      </w:r>
      <w:bookmarkEnd w:id="71"/>
      <w:bookmarkEnd w:id="72"/>
    </w:p>
    <w:tbl>
      <w:tblPr>
        <w:tblStyle w:val="29"/>
        <w:tblW w:w="143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699"/>
        <w:gridCol w:w="1350"/>
        <w:gridCol w:w="1216"/>
        <w:gridCol w:w="1447"/>
        <w:gridCol w:w="1800"/>
        <w:gridCol w:w="1437"/>
        <w:gridCol w:w="2040"/>
        <w:gridCol w:w="1336"/>
      </w:tblGrid>
      <w:tr w14:paraId="0FFC4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tcBorders>
              <w:tl2br w:val="single" w:color="auto" w:sz="4" w:space="0"/>
            </w:tcBorders>
            <w:tcMar>
              <w:left w:w="28" w:type="dxa"/>
              <w:right w:w="28" w:type="dxa"/>
            </w:tcMar>
            <w:vAlign w:val="center"/>
          </w:tcPr>
          <w:p w14:paraId="2BF21515">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 xml:space="preserve">    项目</w:t>
            </w:r>
          </w:p>
          <w:p w14:paraId="2C9992EC">
            <w:pPr>
              <w:pStyle w:val="38"/>
              <w:spacing w:beforeLines="0" w:afterLines="0" w:line="240" w:lineRule="auto"/>
              <w:ind w:firstLine="0" w:firstLineChars="0"/>
              <w:jc w:val="both"/>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2699" w:type="dxa"/>
            <w:tcMar>
              <w:left w:w="28" w:type="dxa"/>
              <w:right w:w="28" w:type="dxa"/>
            </w:tcMar>
            <w:vAlign w:val="center"/>
          </w:tcPr>
          <w:p w14:paraId="00A4C59A">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350" w:type="dxa"/>
            <w:tcMar>
              <w:left w:w="28" w:type="dxa"/>
              <w:right w:w="28" w:type="dxa"/>
            </w:tcMar>
            <w:vAlign w:val="center"/>
          </w:tcPr>
          <w:p w14:paraId="0006BAF4">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6AF67D58">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16" w:type="dxa"/>
            <w:tcMar>
              <w:left w:w="28" w:type="dxa"/>
              <w:right w:w="28" w:type="dxa"/>
            </w:tcMar>
            <w:vAlign w:val="center"/>
          </w:tcPr>
          <w:p w14:paraId="7D01E67B">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2F9F8DA5">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55CF7EEE">
            <w:pPr>
              <w:pStyle w:val="38"/>
              <w:spacing w:beforeLines="0" w:afterLines="0"/>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447" w:type="dxa"/>
            <w:tcMar>
              <w:left w:w="28" w:type="dxa"/>
              <w:right w:w="28" w:type="dxa"/>
            </w:tcMar>
            <w:vAlign w:val="center"/>
          </w:tcPr>
          <w:p w14:paraId="56655F7B">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087E6602">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800" w:type="dxa"/>
            <w:tcMar>
              <w:left w:w="28" w:type="dxa"/>
              <w:right w:w="28" w:type="dxa"/>
            </w:tcMar>
            <w:vAlign w:val="center"/>
          </w:tcPr>
          <w:p w14:paraId="16BDA0BD">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14:paraId="004873B0">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437" w:type="dxa"/>
            <w:tcMar>
              <w:left w:w="28" w:type="dxa"/>
              <w:right w:w="28" w:type="dxa"/>
            </w:tcMar>
            <w:vAlign w:val="center"/>
          </w:tcPr>
          <w:p w14:paraId="0372B840">
            <w:pPr>
              <w:pStyle w:val="38"/>
              <w:spacing w:beforeLines="0" w:afterLines="0" w:line="240" w:lineRule="auto"/>
              <w:ind w:firstLine="0" w:firstLineChars="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2040" w:type="dxa"/>
            <w:tcMar>
              <w:left w:w="28" w:type="dxa"/>
              <w:right w:w="28" w:type="dxa"/>
            </w:tcMar>
            <w:vAlign w:val="center"/>
          </w:tcPr>
          <w:p w14:paraId="70AF77D1">
            <w:pPr>
              <w:pStyle w:val="38"/>
              <w:spacing w:beforeLines="0" w:afterLines="0" w:line="240" w:lineRule="auto"/>
              <w:ind w:firstLine="0" w:firstLineChars="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4663423A">
            <w:pPr>
              <w:pStyle w:val="38"/>
              <w:spacing w:beforeLines="0" w:afterLines="0" w:line="240" w:lineRule="auto"/>
              <w:ind w:firstLine="0" w:firstLineChars="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336" w:type="dxa"/>
            <w:tcMar>
              <w:left w:w="28" w:type="dxa"/>
              <w:right w:w="28" w:type="dxa"/>
            </w:tcMar>
            <w:vAlign w:val="center"/>
          </w:tcPr>
          <w:p w14:paraId="5D71608E">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27E97C6B">
            <w:pPr>
              <w:pStyle w:val="38"/>
              <w:spacing w:beforeLines="0" w:afterLines="0" w:line="240" w:lineRule="auto"/>
              <w:ind w:firstLine="0" w:firstLineChar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02DCB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vAlign w:val="center"/>
          </w:tcPr>
          <w:p w14:paraId="5EAEDBA2">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2699" w:type="dxa"/>
            <w:vAlign w:val="center"/>
          </w:tcPr>
          <w:p w14:paraId="3EA1DDF9">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颗粒物</w:t>
            </w:r>
          </w:p>
        </w:tc>
        <w:tc>
          <w:tcPr>
            <w:tcW w:w="1350" w:type="dxa"/>
            <w:vAlign w:val="center"/>
          </w:tcPr>
          <w:p w14:paraId="72FEDB11">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216" w:type="dxa"/>
            <w:vAlign w:val="center"/>
          </w:tcPr>
          <w:p w14:paraId="74C8421D">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447" w:type="dxa"/>
            <w:vAlign w:val="center"/>
          </w:tcPr>
          <w:p w14:paraId="6B593397">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00" w:type="dxa"/>
            <w:shd w:val="clear" w:color="auto" w:fill="auto"/>
            <w:vAlign w:val="center"/>
          </w:tcPr>
          <w:p w14:paraId="1A1679AD">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lang w:val="en-US" w:eastAsia="zh-CN"/>
              </w:rPr>
              <w:t>0.348</w:t>
            </w:r>
            <w:r>
              <w:rPr>
                <w:rFonts w:hint="eastAsia" w:ascii="Times New Roman"/>
                <w:snapToGrid w:val="0"/>
                <w:color w:val="auto"/>
                <w:kern w:val="21"/>
                <w:szCs w:val="21"/>
                <w:highlight w:val="none"/>
              </w:rPr>
              <w:t>t/a</w:t>
            </w:r>
          </w:p>
        </w:tc>
        <w:tc>
          <w:tcPr>
            <w:tcW w:w="1437" w:type="dxa"/>
            <w:shd w:val="clear" w:color="auto" w:fill="auto"/>
            <w:vAlign w:val="center"/>
          </w:tcPr>
          <w:p w14:paraId="1FD656A5">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snapToGrid w:val="0"/>
                <w:color w:val="auto"/>
                <w:kern w:val="21"/>
                <w:szCs w:val="21"/>
                <w:highlight w:val="none"/>
              </w:rPr>
              <w:t>0</w:t>
            </w:r>
          </w:p>
        </w:tc>
        <w:tc>
          <w:tcPr>
            <w:tcW w:w="2040" w:type="dxa"/>
            <w:shd w:val="clear" w:color="auto" w:fill="auto"/>
            <w:vAlign w:val="center"/>
          </w:tcPr>
          <w:p w14:paraId="042193FA">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zh-CN" w:eastAsia="zh-CN" w:bidi="zh-CN"/>
              </w:rPr>
            </w:pPr>
            <w:r>
              <w:rPr>
                <w:rFonts w:hint="eastAsia" w:ascii="Times New Roman"/>
                <w:snapToGrid w:val="0"/>
                <w:color w:val="auto"/>
                <w:kern w:val="21"/>
                <w:szCs w:val="21"/>
                <w:highlight w:val="none"/>
                <w:lang w:val="en-US" w:eastAsia="zh-CN"/>
              </w:rPr>
              <w:t>0.348</w:t>
            </w:r>
            <w:r>
              <w:rPr>
                <w:rFonts w:hint="eastAsia" w:ascii="Times New Roman"/>
                <w:snapToGrid w:val="0"/>
                <w:color w:val="auto"/>
                <w:kern w:val="21"/>
                <w:szCs w:val="21"/>
                <w:highlight w:val="none"/>
              </w:rPr>
              <w:t>t/a</w:t>
            </w:r>
          </w:p>
        </w:tc>
        <w:tc>
          <w:tcPr>
            <w:tcW w:w="1336" w:type="dxa"/>
            <w:shd w:val="clear" w:color="auto" w:fill="auto"/>
            <w:vAlign w:val="center"/>
          </w:tcPr>
          <w:p w14:paraId="57FE3F91">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rPr>
              <w:t>+</w:t>
            </w:r>
            <w:r>
              <w:rPr>
                <w:rFonts w:hint="eastAsia" w:ascii="Times New Roman"/>
                <w:snapToGrid w:val="0"/>
                <w:color w:val="auto"/>
                <w:kern w:val="21"/>
                <w:szCs w:val="21"/>
                <w:highlight w:val="none"/>
                <w:lang w:val="en-US" w:eastAsia="zh-CN"/>
              </w:rPr>
              <w:t>0.348</w:t>
            </w:r>
            <w:r>
              <w:rPr>
                <w:rFonts w:hint="eastAsia" w:ascii="Times New Roman"/>
                <w:snapToGrid w:val="0"/>
                <w:color w:val="auto"/>
                <w:kern w:val="21"/>
                <w:szCs w:val="21"/>
                <w:highlight w:val="none"/>
              </w:rPr>
              <w:t>t/a</w:t>
            </w:r>
          </w:p>
        </w:tc>
      </w:tr>
      <w:tr w14:paraId="2D9E4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7E7F1326">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p>
        </w:tc>
        <w:tc>
          <w:tcPr>
            <w:tcW w:w="2699" w:type="dxa"/>
            <w:vAlign w:val="center"/>
          </w:tcPr>
          <w:p w14:paraId="25384754">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氨气</w:t>
            </w:r>
          </w:p>
        </w:tc>
        <w:tc>
          <w:tcPr>
            <w:tcW w:w="1350" w:type="dxa"/>
            <w:shd w:val="clear" w:color="auto" w:fill="auto"/>
            <w:vAlign w:val="center"/>
          </w:tcPr>
          <w:p w14:paraId="473C8F7D">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zh-CN" w:eastAsia="zh-CN" w:bidi="zh-CN"/>
              </w:rPr>
            </w:pPr>
            <w:r>
              <w:rPr>
                <w:rFonts w:hint="default" w:ascii="Times New Roman" w:hAnsi="Times New Roman" w:cs="Times New Roman"/>
                <w:snapToGrid w:val="0"/>
                <w:color w:val="auto"/>
                <w:kern w:val="21"/>
                <w:szCs w:val="21"/>
                <w:highlight w:val="none"/>
              </w:rPr>
              <w:t>0</w:t>
            </w:r>
          </w:p>
        </w:tc>
        <w:tc>
          <w:tcPr>
            <w:tcW w:w="1216" w:type="dxa"/>
            <w:shd w:val="clear" w:color="auto" w:fill="auto"/>
            <w:vAlign w:val="center"/>
          </w:tcPr>
          <w:p w14:paraId="592F77C5">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zh-CN" w:eastAsia="zh-CN" w:bidi="zh-CN"/>
              </w:rPr>
            </w:pPr>
            <w:r>
              <w:rPr>
                <w:rFonts w:hint="default" w:ascii="Times New Roman" w:hAnsi="Times New Roman" w:cs="Times New Roman"/>
                <w:snapToGrid w:val="0"/>
                <w:color w:val="auto"/>
                <w:kern w:val="21"/>
                <w:szCs w:val="21"/>
                <w:highlight w:val="none"/>
              </w:rPr>
              <w:t>0</w:t>
            </w:r>
          </w:p>
        </w:tc>
        <w:tc>
          <w:tcPr>
            <w:tcW w:w="1447" w:type="dxa"/>
            <w:shd w:val="clear" w:color="auto" w:fill="auto"/>
            <w:vAlign w:val="center"/>
          </w:tcPr>
          <w:p w14:paraId="4114519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zh-CN" w:eastAsia="zh-CN" w:bidi="zh-CN"/>
              </w:rPr>
            </w:pPr>
            <w:r>
              <w:rPr>
                <w:rFonts w:hint="default" w:ascii="Times New Roman" w:hAnsi="Times New Roman" w:cs="Times New Roman"/>
                <w:snapToGrid w:val="0"/>
                <w:color w:val="auto"/>
                <w:kern w:val="21"/>
                <w:szCs w:val="21"/>
                <w:highlight w:val="none"/>
              </w:rPr>
              <w:t>0</w:t>
            </w:r>
          </w:p>
        </w:tc>
        <w:tc>
          <w:tcPr>
            <w:tcW w:w="1800" w:type="dxa"/>
            <w:shd w:val="clear" w:color="auto" w:fill="auto"/>
            <w:vAlign w:val="center"/>
          </w:tcPr>
          <w:p w14:paraId="3A22E7A6">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lang w:val="en-US" w:eastAsia="zh-CN"/>
              </w:rPr>
              <w:t>0.091</w:t>
            </w:r>
            <w:r>
              <w:rPr>
                <w:rFonts w:hint="eastAsia" w:ascii="Times New Roman"/>
                <w:snapToGrid w:val="0"/>
                <w:color w:val="auto"/>
                <w:kern w:val="21"/>
                <w:szCs w:val="21"/>
                <w:highlight w:val="none"/>
              </w:rPr>
              <w:t>t/a</w:t>
            </w:r>
          </w:p>
        </w:tc>
        <w:tc>
          <w:tcPr>
            <w:tcW w:w="1437" w:type="dxa"/>
            <w:shd w:val="clear" w:color="auto" w:fill="auto"/>
            <w:vAlign w:val="center"/>
          </w:tcPr>
          <w:p w14:paraId="3D08E164">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4"/>
                <w:szCs w:val="21"/>
                <w:highlight w:val="none"/>
                <w:lang w:val="en-US" w:eastAsia="zh-CN" w:bidi="ar-SA"/>
              </w:rPr>
            </w:pPr>
            <w:r>
              <w:rPr>
                <w:snapToGrid w:val="0"/>
                <w:color w:val="auto"/>
                <w:kern w:val="21"/>
                <w:szCs w:val="21"/>
                <w:highlight w:val="none"/>
              </w:rPr>
              <w:t>0</w:t>
            </w:r>
          </w:p>
        </w:tc>
        <w:tc>
          <w:tcPr>
            <w:tcW w:w="2040" w:type="dxa"/>
            <w:shd w:val="clear" w:color="auto" w:fill="auto"/>
            <w:vAlign w:val="center"/>
          </w:tcPr>
          <w:p w14:paraId="0A7DADDC">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lang w:val="en-US" w:eastAsia="zh-CN"/>
              </w:rPr>
              <w:t>0.091</w:t>
            </w:r>
            <w:r>
              <w:rPr>
                <w:rFonts w:hint="eastAsia" w:ascii="Times New Roman"/>
                <w:snapToGrid w:val="0"/>
                <w:color w:val="auto"/>
                <w:kern w:val="21"/>
                <w:szCs w:val="21"/>
                <w:highlight w:val="none"/>
              </w:rPr>
              <w:t>t/a</w:t>
            </w:r>
          </w:p>
        </w:tc>
        <w:tc>
          <w:tcPr>
            <w:tcW w:w="1336" w:type="dxa"/>
            <w:shd w:val="clear" w:color="auto" w:fill="auto"/>
            <w:vAlign w:val="center"/>
          </w:tcPr>
          <w:p w14:paraId="6E1AC3E0">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zh-CN" w:eastAsia="zh-CN" w:bidi="zh-CN"/>
              </w:rPr>
            </w:pPr>
            <w:r>
              <w:rPr>
                <w:rFonts w:hint="eastAsia" w:ascii="Times New Roman"/>
                <w:snapToGrid w:val="0"/>
                <w:color w:val="auto"/>
                <w:kern w:val="21"/>
                <w:szCs w:val="21"/>
                <w:highlight w:val="none"/>
              </w:rPr>
              <w:t>+</w:t>
            </w:r>
            <w:r>
              <w:rPr>
                <w:rFonts w:hint="eastAsia" w:ascii="Times New Roman"/>
                <w:snapToGrid w:val="0"/>
                <w:color w:val="auto"/>
                <w:kern w:val="21"/>
                <w:szCs w:val="21"/>
                <w:highlight w:val="none"/>
                <w:lang w:val="en-US" w:eastAsia="zh-CN"/>
              </w:rPr>
              <w:t>0.091</w:t>
            </w:r>
            <w:r>
              <w:rPr>
                <w:rFonts w:hint="eastAsia" w:ascii="Times New Roman"/>
                <w:snapToGrid w:val="0"/>
                <w:color w:val="auto"/>
                <w:kern w:val="21"/>
                <w:szCs w:val="21"/>
                <w:highlight w:val="none"/>
              </w:rPr>
              <w:t>t/a</w:t>
            </w:r>
          </w:p>
        </w:tc>
      </w:tr>
      <w:tr w14:paraId="0618F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3EEBC3A1">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p>
        </w:tc>
        <w:tc>
          <w:tcPr>
            <w:tcW w:w="2699" w:type="dxa"/>
            <w:vAlign w:val="center"/>
          </w:tcPr>
          <w:p w14:paraId="12B56C4B">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油烟</w:t>
            </w:r>
          </w:p>
        </w:tc>
        <w:tc>
          <w:tcPr>
            <w:tcW w:w="1350" w:type="dxa"/>
            <w:vAlign w:val="center"/>
          </w:tcPr>
          <w:p w14:paraId="75C458D8">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216" w:type="dxa"/>
            <w:vAlign w:val="center"/>
          </w:tcPr>
          <w:p w14:paraId="09E7E956">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447" w:type="dxa"/>
            <w:vAlign w:val="center"/>
          </w:tcPr>
          <w:p w14:paraId="12E2A05B">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00" w:type="dxa"/>
            <w:shd w:val="clear" w:color="auto" w:fill="auto"/>
            <w:vAlign w:val="center"/>
          </w:tcPr>
          <w:p w14:paraId="5379D8FF">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lang w:val="en-US" w:eastAsia="zh-CN"/>
              </w:rPr>
              <w:t>0.003</w:t>
            </w:r>
            <w:r>
              <w:rPr>
                <w:rFonts w:hint="eastAsia" w:ascii="Times New Roman"/>
                <w:snapToGrid w:val="0"/>
                <w:color w:val="auto"/>
                <w:kern w:val="21"/>
                <w:szCs w:val="21"/>
                <w:highlight w:val="none"/>
              </w:rPr>
              <w:t>t/a</w:t>
            </w:r>
          </w:p>
        </w:tc>
        <w:tc>
          <w:tcPr>
            <w:tcW w:w="1437" w:type="dxa"/>
            <w:shd w:val="clear" w:color="auto" w:fill="auto"/>
            <w:vAlign w:val="center"/>
          </w:tcPr>
          <w:p w14:paraId="575C5815">
            <w:pPr>
              <w:pStyle w:val="38"/>
              <w:spacing w:beforeLines="0" w:afterLines="0" w:line="240" w:lineRule="auto"/>
              <w:ind w:firstLine="0" w:firstLineChars="0"/>
              <w:rPr>
                <w:rFonts w:hint="default" w:ascii="宋体" w:hAnsi="宋体" w:eastAsia="宋体" w:cs="宋体"/>
                <w:snapToGrid w:val="0"/>
                <w:color w:val="auto"/>
                <w:kern w:val="21"/>
                <w:sz w:val="24"/>
                <w:szCs w:val="21"/>
                <w:highlight w:val="none"/>
                <w:lang w:val="zh-CN" w:eastAsia="zh-CN" w:bidi="zh-CN"/>
              </w:rPr>
            </w:pPr>
            <w:r>
              <w:rPr>
                <w:rFonts w:hint="eastAsia" w:ascii="Times New Roman" w:hAnsi="宋体" w:eastAsia="宋体" w:cs="宋体"/>
                <w:snapToGrid w:val="0"/>
                <w:color w:val="auto"/>
                <w:kern w:val="21"/>
                <w:szCs w:val="21"/>
                <w:highlight w:val="none"/>
                <w:lang w:val="en-US" w:eastAsia="zh-CN"/>
              </w:rPr>
              <w:t>0</w:t>
            </w:r>
          </w:p>
        </w:tc>
        <w:tc>
          <w:tcPr>
            <w:tcW w:w="2040" w:type="dxa"/>
            <w:shd w:val="clear" w:color="auto" w:fill="auto"/>
            <w:vAlign w:val="center"/>
          </w:tcPr>
          <w:p w14:paraId="0863EC63">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lang w:val="en-US" w:eastAsia="zh-CN"/>
              </w:rPr>
              <w:t>0.003</w:t>
            </w:r>
            <w:r>
              <w:rPr>
                <w:rFonts w:hint="eastAsia" w:ascii="Times New Roman"/>
                <w:snapToGrid w:val="0"/>
                <w:color w:val="auto"/>
                <w:kern w:val="21"/>
                <w:szCs w:val="21"/>
                <w:highlight w:val="none"/>
              </w:rPr>
              <w:t>t/a</w:t>
            </w:r>
          </w:p>
        </w:tc>
        <w:tc>
          <w:tcPr>
            <w:tcW w:w="1336" w:type="dxa"/>
            <w:shd w:val="clear" w:color="auto" w:fill="auto"/>
            <w:vAlign w:val="center"/>
          </w:tcPr>
          <w:p w14:paraId="3A4948DB">
            <w:pPr>
              <w:pStyle w:val="38"/>
              <w:spacing w:beforeLines="0" w:afterLines="0" w:line="240" w:lineRule="auto"/>
              <w:ind w:firstLine="0" w:firstLineChars="0"/>
              <w:rPr>
                <w:rFonts w:hint="default" w:ascii="Times New Roman" w:hAnsi="宋体" w:eastAsia="宋体" w:cs="宋体"/>
                <w:snapToGrid w:val="0"/>
                <w:color w:val="auto"/>
                <w:kern w:val="21"/>
                <w:sz w:val="24"/>
                <w:szCs w:val="21"/>
                <w:highlight w:val="none"/>
                <w:lang w:val="en-US" w:eastAsia="zh-CN" w:bidi="zh-CN"/>
              </w:rPr>
            </w:pPr>
            <w:r>
              <w:rPr>
                <w:rFonts w:hint="eastAsia" w:ascii="Times New Roman"/>
                <w:snapToGrid w:val="0"/>
                <w:color w:val="auto"/>
                <w:kern w:val="21"/>
                <w:szCs w:val="21"/>
                <w:highlight w:val="none"/>
              </w:rPr>
              <w:t>+</w:t>
            </w:r>
            <w:r>
              <w:rPr>
                <w:rFonts w:hint="eastAsia" w:ascii="Times New Roman"/>
                <w:snapToGrid w:val="0"/>
                <w:color w:val="auto"/>
                <w:kern w:val="21"/>
                <w:szCs w:val="21"/>
                <w:highlight w:val="none"/>
                <w:lang w:val="en-US" w:eastAsia="zh-CN"/>
              </w:rPr>
              <w:t>0.003</w:t>
            </w:r>
            <w:r>
              <w:rPr>
                <w:rFonts w:hint="eastAsia" w:ascii="Times New Roman"/>
                <w:snapToGrid w:val="0"/>
                <w:color w:val="auto"/>
                <w:kern w:val="21"/>
                <w:szCs w:val="21"/>
                <w:highlight w:val="none"/>
              </w:rPr>
              <w:t>t/a</w:t>
            </w:r>
          </w:p>
        </w:tc>
      </w:tr>
      <w:tr w14:paraId="6053F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vAlign w:val="center"/>
          </w:tcPr>
          <w:p w14:paraId="2375C559">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废水</w:t>
            </w:r>
          </w:p>
        </w:tc>
        <w:tc>
          <w:tcPr>
            <w:tcW w:w="2699" w:type="dxa"/>
            <w:shd w:val="clear" w:color="auto" w:fill="auto"/>
            <w:vAlign w:val="center"/>
          </w:tcPr>
          <w:p w14:paraId="4E900BC0">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color w:val="auto"/>
                <w:szCs w:val="21"/>
                <w:highlight w:val="none"/>
              </w:rPr>
              <w:t>COD</w:t>
            </w:r>
          </w:p>
        </w:tc>
        <w:tc>
          <w:tcPr>
            <w:tcW w:w="1350" w:type="dxa"/>
            <w:vAlign w:val="center"/>
          </w:tcPr>
          <w:p w14:paraId="165835F9">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vAlign w:val="center"/>
          </w:tcPr>
          <w:p w14:paraId="473257EF">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vAlign w:val="center"/>
          </w:tcPr>
          <w:p w14:paraId="248BECCF">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vAlign w:val="center"/>
          </w:tcPr>
          <w:p w14:paraId="06B5F93C">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0.941</w:t>
            </w:r>
            <w:r>
              <w:rPr>
                <w:rFonts w:hint="default" w:ascii="Times New Roman" w:hAnsi="Times New Roman" w:cs="Times New Roman"/>
                <w:snapToGrid w:val="0"/>
                <w:color w:val="auto"/>
                <w:kern w:val="21"/>
                <w:szCs w:val="21"/>
                <w:highlight w:val="none"/>
              </w:rPr>
              <w:t>t/a</w:t>
            </w:r>
          </w:p>
        </w:tc>
        <w:tc>
          <w:tcPr>
            <w:tcW w:w="1437" w:type="dxa"/>
            <w:vAlign w:val="center"/>
          </w:tcPr>
          <w:p w14:paraId="650B70AB">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2040" w:type="dxa"/>
            <w:shd w:val="clear" w:color="auto" w:fill="auto"/>
            <w:vAlign w:val="center"/>
          </w:tcPr>
          <w:p w14:paraId="3F7FFA66">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0.941</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0ABD45C3">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0.941</w:t>
            </w:r>
            <w:r>
              <w:rPr>
                <w:rFonts w:hint="default" w:ascii="Times New Roman" w:hAnsi="Times New Roman" w:cs="Times New Roman"/>
                <w:snapToGrid w:val="0"/>
                <w:color w:val="auto"/>
                <w:kern w:val="21"/>
                <w:szCs w:val="21"/>
                <w:highlight w:val="none"/>
              </w:rPr>
              <w:t>t/a</w:t>
            </w:r>
          </w:p>
        </w:tc>
      </w:tr>
      <w:tr w14:paraId="0A75E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50007B15">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p>
        </w:tc>
        <w:tc>
          <w:tcPr>
            <w:tcW w:w="2699" w:type="dxa"/>
            <w:shd w:val="clear" w:color="auto" w:fill="auto"/>
            <w:vAlign w:val="center"/>
          </w:tcPr>
          <w:p w14:paraId="26A08A3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350" w:type="dxa"/>
            <w:vAlign w:val="center"/>
          </w:tcPr>
          <w:p w14:paraId="7F27E85B">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vAlign w:val="center"/>
          </w:tcPr>
          <w:p w14:paraId="207BA320">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vAlign w:val="center"/>
          </w:tcPr>
          <w:p w14:paraId="09E13F46">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vAlign w:val="center"/>
          </w:tcPr>
          <w:p w14:paraId="2883585B">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0.672</w:t>
            </w:r>
            <w:r>
              <w:rPr>
                <w:rFonts w:hint="default" w:ascii="Times New Roman" w:hAnsi="Times New Roman" w:cs="Times New Roman"/>
                <w:snapToGrid w:val="0"/>
                <w:color w:val="auto"/>
                <w:kern w:val="21"/>
                <w:szCs w:val="21"/>
                <w:highlight w:val="none"/>
              </w:rPr>
              <w:t>t/a</w:t>
            </w:r>
          </w:p>
        </w:tc>
        <w:tc>
          <w:tcPr>
            <w:tcW w:w="1437" w:type="dxa"/>
            <w:vAlign w:val="center"/>
          </w:tcPr>
          <w:p w14:paraId="083644DC">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2040" w:type="dxa"/>
            <w:shd w:val="clear" w:color="auto" w:fill="auto"/>
            <w:vAlign w:val="center"/>
          </w:tcPr>
          <w:p w14:paraId="569B856D">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0.672</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2A5900A9">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0.672</w:t>
            </w:r>
            <w:r>
              <w:rPr>
                <w:rFonts w:hint="default" w:ascii="Times New Roman" w:hAnsi="Times New Roman" w:cs="Times New Roman"/>
                <w:snapToGrid w:val="0"/>
                <w:color w:val="auto"/>
                <w:kern w:val="21"/>
                <w:szCs w:val="21"/>
                <w:highlight w:val="none"/>
              </w:rPr>
              <w:t>t/a</w:t>
            </w:r>
          </w:p>
        </w:tc>
      </w:tr>
      <w:tr w14:paraId="70E18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4DB1FA61">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p>
        </w:tc>
        <w:tc>
          <w:tcPr>
            <w:tcW w:w="2699" w:type="dxa"/>
            <w:shd w:val="clear" w:color="auto" w:fill="auto"/>
            <w:vAlign w:val="center"/>
          </w:tcPr>
          <w:p w14:paraId="17A9A883">
            <w:pPr>
              <w:pStyle w:val="38"/>
              <w:spacing w:beforeLines="0" w:afterLines="0" w:line="240" w:lineRule="auto"/>
              <w:ind w:firstLine="0" w:firstLineChars="0"/>
              <w:rPr>
                <w:rFonts w:hint="default" w:ascii="Times New Roman" w:hAnsi="Times New Roman" w:eastAsia="宋体" w:cs="Times New Roman"/>
                <w:color w:val="auto"/>
                <w:kern w:val="0"/>
                <w:sz w:val="24"/>
                <w:szCs w:val="21"/>
                <w:highlight w:val="none"/>
                <w:lang w:val="en-US" w:eastAsia="zh-CN" w:bidi="zh-CN"/>
              </w:rPr>
            </w:pPr>
            <w:r>
              <w:rPr>
                <w:rFonts w:hint="default" w:ascii="Times New Roman" w:hAnsi="Times New Roman" w:cs="Times New Roman"/>
                <w:color w:val="auto"/>
                <w:szCs w:val="21"/>
                <w:highlight w:val="none"/>
              </w:rPr>
              <w:t>SS</w:t>
            </w:r>
          </w:p>
        </w:tc>
        <w:tc>
          <w:tcPr>
            <w:tcW w:w="1350" w:type="dxa"/>
            <w:vAlign w:val="center"/>
          </w:tcPr>
          <w:p w14:paraId="6D0EE051">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216" w:type="dxa"/>
            <w:vAlign w:val="center"/>
          </w:tcPr>
          <w:p w14:paraId="0AB4653D">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447" w:type="dxa"/>
            <w:vAlign w:val="center"/>
          </w:tcPr>
          <w:p w14:paraId="7728C85F">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00" w:type="dxa"/>
            <w:vAlign w:val="center"/>
          </w:tcPr>
          <w:p w14:paraId="7EFCDCC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0.753</w:t>
            </w:r>
            <w:r>
              <w:rPr>
                <w:rFonts w:hint="default" w:ascii="Times New Roman" w:hAnsi="Times New Roman" w:cs="Times New Roman"/>
                <w:snapToGrid w:val="0"/>
                <w:color w:val="auto"/>
                <w:kern w:val="21"/>
                <w:szCs w:val="21"/>
                <w:highlight w:val="none"/>
              </w:rPr>
              <w:t>t/a</w:t>
            </w:r>
          </w:p>
        </w:tc>
        <w:tc>
          <w:tcPr>
            <w:tcW w:w="1437" w:type="dxa"/>
            <w:vAlign w:val="center"/>
          </w:tcPr>
          <w:p w14:paraId="6E69E9A9">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2040" w:type="dxa"/>
            <w:shd w:val="clear" w:color="auto" w:fill="auto"/>
            <w:vAlign w:val="center"/>
          </w:tcPr>
          <w:p w14:paraId="3444E171">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0.753</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1B04D3F6">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0.753</w:t>
            </w:r>
            <w:r>
              <w:rPr>
                <w:rFonts w:hint="default" w:ascii="Times New Roman" w:hAnsi="Times New Roman" w:cs="Times New Roman"/>
                <w:snapToGrid w:val="0"/>
                <w:color w:val="auto"/>
                <w:kern w:val="21"/>
                <w:szCs w:val="21"/>
                <w:highlight w:val="none"/>
              </w:rPr>
              <w:t>t/a</w:t>
            </w:r>
          </w:p>
        </w:tc>
      </w:tr>
      <w:tr w14:paraId="25809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5B87BCAF">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p>
        </w:tc>
        <w:tc>
          <w:tcPr>
            <w:tcW w:w="2699" w:type="dxa"/>
            <w:shd w:val="clear" w:color="auto" w:fill="auto"/>
            <w:vAlign w:val="center"/>
          </w:tcPr>
          <w:p w14:paraId="01BBF5AA">
            <w:pPr>
              <w:pStyle w:val="38"/>
              <w:spacing w:beforeLines="0" w:afterLines="0" w:line="240" w:lineRule="auto"/>
              <w:ind w:firstLine="0" w:firstLineChars="0"/>
              <w:rPr>
                <w:rFonts w:hint="default" w:ascii="Times New Roman" w:hAnsi="Times New Roman" w:eastAsia="宋体" w:cs="Times New Roman"/>
                <w:color w:val="auto"/>
                <w:kern w:val="0"/>
                <w:sz w:val="24"/>
                <w:szCs w:val="21"/>
                <w:highlight w:val="none"/>
                <w:lang w:val="en-US" w:eastAsia="zh-CN" w:bidi="zh-CN"/>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1350" w:type="dxa"/>
            <w:vAlign w:val="center"/>
          </w:tcPr>
          <w:p w14:paraId="2CC8B7CE">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vAlign w:val="center"/>
          </w:tcPr>
          <w:p w14:paraId="57708ADE">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vAlign w:val="center"/>
          </w:tcPr>
          <w:p w14:paraId="6BA3EFC0">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vAlign w:val="center"/>
          </w:tcPr>
          <w:p w14:paraId="55B0BAFD">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0.081</w:t>
            </w:r>
            <w:r>
              <w:rPr>
                <w:rFonts w:hint="default" w:ascii="Times New Roman" w:hAnsi="Times New Roman" w:cs="Times New Roman"/>
                <w:snapToGrid w:val="0"/>
                <w:color w:val="auto"/>
                <w:kern w:val="21"/>
                <w:szCs w:val="21"/>
                <w:highlight w:val="none"/>
              </w:rPr>
              <w:t>t/a</w:t>
            </w:r>
          </w:p>
        </w:tc>
        <w:tc>
          <w:tcPr>
            <w:tcW w:w="1437" w:type="dxa"/>
            <w:vAlign w:val="center"/>
          </w:tcPr>
          <w:p w14:paraId="511ECB06">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2040" w:type="dxa"/>
            <w:shd w:val="clear" w:color="auto" w:fill="auto"/>
            <w:vAlign w:val="center"/>
          </w:tcPr>
          <w:p w14:paraId="4CEEF34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0.081</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3649C75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0.081</w:t>
            </w:r>
            <w:r>
              <w:rPr>
                <w:rFonts w:hint="default" w:ascii="Times New Roman" w:hAnsi="Times New Roman" w:cs="Times New Roman"/>
                <w:snapToGrid w:val="0"/>
                <w:color w:val="auto"/>
                <w:kern w:val="21"/>
                <w:szCs w:val="21"/>
                <w:highlight w:val="none"/>
              </w:rPr>
              <w:t>t/a</w:t>
            </w:r>
          </w:p>
        </w:tc>
      </w:tr>
      <w:tr w14:paraId="228F4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vAlign w:val="center"/>
          </w:tcPr>
          <w:p w14:paraId="3A4F0B3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一般固体废物</w:t>
            </w:r>
          </w:p>
        </w:tc>
        <w:tc>
          <w:tcPr>
            <w:tcW w:w="2699" w:type="dxa"/>
            <w:shd w:val="clear" w:color="auto" w:fill="auto"/>
            <w:vAlign w:val="center"/>
          </w:tcPr>
          <w:p w14:paraId="31AF289D">
            <w:pPr>
              <w:pStyle w:val="38"/>
              <w:spacing w:beforeLines="0" w:afterLines="0" w:line="240" w:lineRule="auto"/>
              <w:ind w:firstLine="0" w:firstLineChars="0"/>
              <w:rPr>
                <w:rFonts w:hint="default" w:ascii="Times New Roman" w:hAnsi="Times New Roman" w:eastAsia="宋体" w:cs="Times New Roman"/>
                <w:bCs/>
                <w:color w:val="auto"/>
                <w:spacing w:val="-10"/>
                <w:kern w:val="0"/>
                <w:sz w:val="24"/>
                <w:szCs w:val="21"/>
                <w:highlight w:val="none"/>
                <w:lang w:val="en-US" w:eastAsia="zh-CN" w:bidi="zh-CN"/>
              </w:rPr>
            </w:pPr>
            <w:r>
              <w:rPr>
                <w:rFonts w:hint="default" w:ascii="Times New Roman" w:hAnsi="Times New Roman" w:cs="Times New Roman"/>
                <w:bCs/>
                <w:color w:val="auto"/>
                <w:spacing w:val="-10"/>
                <w:kern w:val="0"/>
                <w:sz w:val="24"/>
                <w:szCs w:val="21"/>
                <w:highlight w:val="none"/>
                <w:lang w:val="en-US" w:eastAsia="zh-CN" w:bidi="zh-CN"/>
              </w:rPr>
              <w:t>废铜</w:t>
            </w:r>
          </w:p>
        </w:tc>
        <w:tc>
          <w:tcPr>
            <w:tcW w:w="1350" w:type="dxa"/>
            <w:shd w:val="clear" w:color="auto" w:fill="auto"/>
            <w:vAlign w:val="center"/>
          </w:tcPr>
          <w:p w14:paraId="137140C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0</w:t>
            </w:r>
          </w:p>
        </w:tc>
        <w:tc>
          <w:tcPr>
            <w:tcW w:w="1216" w:type="dxa"/>
            <w:shd w:val="clear" w:color="auto" w:fill="auto"/>
            <w:vAlign w:val="center"/>
          </w:tcPr>
          <w:p w14:paraId="7AE398F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0</w:t>
            </w:r>
          </w:p>
        </w:tc>
        <w:tc>
          <w:tcPr>
            <w:tcW w:w="1447" w:type="dxa"/>
            <w:shd w:val="clear" w:color="auto" w:fill="auto"/>
            <w:vAlign w:val="center"/>
          </w:tcPr>
          <w:p w14:paraId="443A576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0</w:t>
            </w:r>
          </w:p>
        </w:tc>
        <w:tc>
          <w:tcPr>
            <w:tcW w:w="1800" w:type="dxa"/>
            <w:shd w:val="clear" w:color="auto" w:fill="auto"/>
            <w:vAlign w:val="center"/>
          </w:tcPr>
          <w:p w14:paraId="4AAF99DB">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1000</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2033312D">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snapToGrid w:val="0"/>
                <w:color w:val="auto"/>
                <w:kern w:val="21"/>
                <w:szCs w:val="21"/>
                <w:highlight w:val="none"/>
              </w:rPr>
              <w:t>0</w:t>
            </w:r>
          </w:p>
        </w:tc>
        <w:tc>
          <w:tcPr>
            <w:tcW w:w="2040" w:type="dxa"/>
            <w:shd w:val="clear" w:color="auto" w:fill="auto"/>
            <w:vAlign w:val="center"/>
          </w:tcPr>
          <w:p w14:paraId="275AF5E3">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1000</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1F22345A">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 w:val="24"/>
                <w:szCs w:val="21"/>
                <w:highlight w:val="none"/>
                <w:lang w:val="en-US" w:eastAsia="zh-CN" w:bidi="zh-CN"/>
              </w:rPr>
              <w:t>1000</w:t>
            </w:r>
            <w:r>
              <w:rPr>
                <w:rFonts w:hint="default" w:ascii="Times New Roman" w:hAnsi="Times New Roman" w:cs="Times New Roman"/>
                <w:snapToGrid w:val="0"/>
                <w:color w:val="auto"/>
                <w:kern w:val="21"/>
                <w:szCs w:val="21"/>
                <w:highlight w:val="none"/>
              </w:rPr>
              <w:t>t/a</w:t>
            </w:r>
          </w:p>
        </w:tc>
      </w:tr>
      <w:tr w14:paraId="0A236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4845F788">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p>
        </w:tc>
        <w:tc>
          <w:tcPr>
            <w:tcW w:w="2699" w:type="dxa"/>
            <w:shd w:val="clear" w:color="auto" w:fill="auto"/>
            <w:vAlign w:val="center"/>
          </w:tcPr>
          <w:p w14:paraId="1763AD03">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钢渣</w:t>
            </w:r>
          </w:p>
        </w:tc>
        <w:tc>
          <w:tcPr>
            <w:tcW w:w="1350" w:type="dxa"/>
            <w:shd w:val="clear" w:color="auto" w:fill="auto"/>
            <w:vAlign w:val="center"/>
          </w:tcPr>
          <w:p w14:paraId="00A41B5D">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zh-CN"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52FC1B37">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zh-CN"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5DFAFBD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0E9768B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28800</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4E905318">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40" w:type="dxa"/>
            <w:shd w:val="clear" w:color="auto" w:fill="auto"/>
            <w:vAlign w:val="center"/>
          </w:tcPr>
          <w:p w14:paraId="74138A81">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28800</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4B79B9D6">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 w:val="24"/>
                <w:szCs w:val="21"/>
                <w:highlight w:val="none"/>
                <w:lang w:val="en-US" w:eastAsia="zh-CN" w:bidi="zh-CN"/>
              </w:rPr>
              <w:t>28800</w:t>
            </w:r>
            <w:r>
              <w:rPr>
                <w:rFonts w:hint="default" w:ascii="Times New Roman" w:hAnsi="Times New Roman" w:cs="Times New Roman"/>
                <w:snapToGrid w:val="0"/>
                <w:color w:val="auto"/>
                <w:kern w:val="21"/>
                <w:szCs w:val="21"/>
                <w:highlight w:val="none"/>
              </w:rPr>
              <w:t>t/a</w:t>
            </w:r>
          </w:p>
        </w:tc>
      </w:tr>
      <w:tr w14:paraId="3498D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4643EDE4">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p>
        </w:tc>
        <w:tc>
          <w:tcPr>
            <w:tcW w:w="2699" w:type="dxa"/>
            <w:shd w:val="clear" w:color="auto" w:fill="auto"/>
            <w:vAlign w:val="center"/>
          </w:tcPr>
          <w:p w14:paraId="1786630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废布袋</w:t>
            </w:r>
          </w:p>
        </w:tc>
        <w:tc>
          <w:tcPr>
            <w:tcW w:w="1350" w:type="dxa"/>
            <w:shd w:val="clear" w:color="auto" w:fill="auto"/>
            <w:vAlign w:val="center"/>
          </w:tcPr>
          <w:p w14:paraId="32086DE0">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zh-CN"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70928D1D">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zh-CN"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0FBA0F9D">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69EE5CFD">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0.3</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4FE8E1D0">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40" w:type="dxa"/>
            <w:shd w:val="clear" w:color="auto" w:fill="auto"/>
            <w:vAlign w:val="center"/>
          </w:tcPr>
          <w:p w14:paraId="2CEE0C97">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0.3</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3B27480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 w:val="24"/>
                <w:szCs w:val="21"/>
                <w:highlight w:val="none"/>
                <w:lang w:val="en-US" w:eastAsia="zh-CN" w:bidi="zh-CN"/>
              </w:rPr>
              <w:t>0.3</w:t>
            </w:r>
            <w:r>
              <w:rPr>
                <w:rFonts w:hint="default" w:ascii="Times New Roman" w:hAnsi="Times New Roman" w:cs="Times New Roman"/>
                <w:snapToGrid w:val="0"/>
                <w:color w:val="auto"/>
                <w:kern w:val="21"/>
                <w:szCs w:val="21"/>
                <w:highlight w:val="none"/>
              </w:rPr>
              <w:t>t/a</w:t>
            </w:r>
          </w:p>
        </w:tc>
      </w:tr>
      <w:tr w14:paraId="646C0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2D6D655F">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p>
        </w:tc>
        <w:tc>
          <w:tcPr>
            <w:tcW w:w="2699" w:type="dxa"/>
            <w:shd w:val="clear" w:color="auto" w:fill="auto"/>
            <w:vAlign w:val="center"/>
          </w:tcPr>
          <w:p w14:paraId="2510B415">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漆渣</w:t>
            </w:r>
          </w:p>
        </w:tc>
        <w:tc>
          <w:tcPr>
            <w:tcW w:w="1350" w:type="dxa"/>
            <w:shd w:val="clear" w:color="auto" w:fill="auto"/>
            <w:vAlign w:val="center"/>
          </w:tcPr>
          <w:p w14:paraId="6316D73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7C27E0B2">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1B536BC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7E595C37">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 w:val="24"/>
                <w:szCs w:val="21"/>
                <w:highlight w:val="none"/>
                <w:lang w:val="en-US" w:eastAsia="zh-CN" w:bidi="zh-CN"/>
              </w:rPr>
              <w:t>1200</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6BD1C775">
            <w:pPr>
              <w:adjustRightInd w:val="0"/>
              <w:snapToGrid w:val="0"/>
              <w:spacing w:line="240" w:lineRule="auto"/>
              <w:ind w:firstLine="0" w:firstLineChars="0"/>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2040" w:type="dxa"/>
            <w:shd w:val="clear" w:color="auto" w:fill="auto"/>
            <w:vAlign w:val="center"/>
          </w:tcPr>
          <w:p w14:paraId="1A1C6077">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zh-CN" w:eastAsia="zh-CN" w:bidi="zh-CN"/>
              </w:rPr>
            </w:pPr>
            <w:r>
              <w:rPr>
                <w:rFonts w:hint="default" w:ascii="Times New Roman" w:hAnsi="Times New Roman" w:cs="Times New Roman"/>
                <w:snapToGrid w:val="0"/>
                <w:color w:val="auto"/>
                <w:kern w:val="21"/>
                <w:sz w:val="24"/>
                <w:szCs w:val="21"/>
                <w:highlight w:val="none"/>
                <w:lang w:val="en-US" w:eastAsia="zh-CN" w:bidi="zh-CN"/>
              </w:rPr>
              <w:t>1200</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22E34647">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 w:val="24"/>
                <w:szCs w:val="21"/>
                <w:highlight w:val="none"/>
                <w:lang w:val="en-US" w:eastAsia="zh-CN" w:bidi="zh-CN"/>
              </w:rPr>
              <w:t>1200</w:t>
            </w:r>
            <w:r>
              <w:rPr>
                <w:rFonts w:hint="default" w:ascii="Times New Roman" w:hAnsi="Times New Roman" w:cs="Times New Roman"/>
                <w:snapToGrid w:val="0"/>
                <w:color w:val="auto"/>
                <w:kern w:val="21"/>
                <w:szCs w:val="21"/>
                <w:highlight w:val="none"/>
              </w:rPr>
              <w:t>t/a</w:t>
            </w:r>
          </w:p>
        </w:tc>
      </w:tr>
      <w:tr w14:paraId="26886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01603970">
            <w:pPr>
              <w:pStyle w:val="38"/>
              <w:spacing w:beforeLines="0" w:afterLines="0" w:line="240" w:lineRule="auto"/>
              <w:ind w:firstLine="0" w:firstLineChars="0"/>
              <w:rPr>
                <w:rFonts w:hint="default" w:ascii="Times New Roman" w:hAnsi="Times New Roman" w:cs="Times New Roman"/>
                <w:snapToGrid w:val="0"/>
                <w:color w:val="auto"/>
                <w:kern w:val="21"/>
                <w:szCs w:val="21"/>
                <w:highlight w:val="none"/>
                <w:lang w:val="en-US" w:eastAsia="zh-CN"/>
              </w:rPr>
            </w:pPr>
          </w:p>
        </w:tc>
        <w:tc>
          <w:tcPr>
            <w:tcW w:w="2699" w:type="dxa"/>
            <w:shd w:val="clear" w:color="auto" w:fill="auto"/>
            <w:vAlign w:val="center"/>
          </w:tcPr>
          <w:p w14:paraId="79D98984">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废油脂</w:t>
            </w:r>
          </w:p>
        </w:tc>
        <w:tc>
          <w:tcPr>
            <w:tcW w:w="1350" w:type="dxa"/>
            <w:shd w:val="clear" w:color="auto" w:fill="auto"/>
            <w:vAlign w:val="center"/>
          </w:tcPr>
          <w:p w14:paraId="08583533">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26DF8943">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5FB83A69">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7EFF636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0.013</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00B7830E">
            <w:pPr>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4"/>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2040" w:type="dxa"/>
            <w:shd w:val="clear" w:color="auto" w:fill="auto"/>
            <w:vAlign w:val="center"/>
          </w:tcPr>
          <w:p w14:paraId="3314B738">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0.013</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1655B967">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 w:val="24"/>
                <w:szCs w:val="21"/>
                <w:highlight w:val="none"/>
                <w:lang w:val="en-US" w:eastAsia="zh-CN" w:bidi="zh-CN"/>
              </w:rPr>
              <w:t>0.013</w:t>
            </w:r>
            <w:r>
              <w:rPr>
                <w:rFonts w:hint="default" w:ascii="Times New Roman" w:hAnsi="Times New Roman" w:cs="Times New Roman"/>
                <w:snapToGrid w:val="0"/>
                <w:color w:val="auto"/>
                <w:kern w:val="21"/>
                <w:szCs w:val="21"/>
                <w:highlight w:val="none"/>
              </w:rPr>
              <w:t>t/a</w:t>
            </w:r>
          </w:p>
        </w:tc>
      </w:tr>
      <w:tr w14:paraId="2FD36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Align w:val="center"/>
          </w:tcPr>
          <w:p w14:paraId="4DB1F119">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2699" w:type="dxa"/>
            <w:vAlign w:val="center"/>
          </w:tcPr>
          <w:p w14:paraId="3E9FD9FE">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生活垃圾</w:t>
            </w:r>
          </w:p>
        </w:tc>
        <w:tc>
          <w:tcPr>
            <w:tcW w:w="1350" w:type="dxa"/>
            <w:vAlign w:val="center"/>
          </w:tcPr>
          <w:p w14:paraId="5377CF2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vAlign w:val="center"/>
          </w:tcPr>
          <w:p w14:paraId="43A5846D">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vAlign w:val="center"/>
          </w:tcPr>
          <w:p w14:paraId="62A95451">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vAlign w:val="center"/>
          </w:tcPr>
          <w:p w14:paraId="5F23DD14">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2.1</w:t>
            </w:r>
            <w:r>
              <w:rPr>
                <w:rFonts w:hint="default" w:ascii="Times New Roman" w:hAnsi="Times New Roman" w:cs="Times New Roman"/>
                <w:snapToGrid w:val="0"/>
                <w:color w:val="auto"/>
                <w:kern w:val="21"/>
                <w:szCs w:val="21"/>
                <w:highlight w:val="none"/>
              </w:rPr>
              <w:t>t/a</w:t>
            </w:r>
          </w:p>
        </w:tc>
        <w:tc>
          <w:tcPr>
            <w:tcW w:w="1437" w:type="dxa"/>
            <w:vAlign w:val="center"/>
          </w:tcPr>
          <w:p w14:paraId="2418D5A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2040" w:type="dxa"/>
            <w:shd w:val="clear" w:color="auto" w:fill="auto"/>
            <w:vAlign w:val="center"/>
          </w:tcPr>
          <w:p w14:paraId="4BF6E900">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2.1</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214ACC7C">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2.1</w:t>
            </w:r>
            <w:r>
              <w:rPr>
                <w:rFonts w:hint="default" w:ascii="Times New Roman" w:hAnsi="Times New Roman" w:cs="Times New Roman"/>
                <w:snapToGrid w:val="0"/>
                <w:color w:val="auto"/>
                <w:kern w:val="21"/>
                <w:szCs w:val="21"/>
                <w:highlight w:val="none"/>
              </w:rPr>
              <w:t>t/a</w:t>
            </w:r>
          </w:p>
        </w:tc>
      </w:tr>
      <w:tr w14:paraId="3EBD8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restart"/>
            <w:vAlign w:val="center"/>
          </w:tcPr>
          <w:p w14:paraId="177ED0D2">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危险废物</w:t>
            </w:r>
          </w:p>
        </w:tc>
        <w:tc>
          <w:tcPr>
            <w:tcW w:w="2699" w:type="dxa"/>
            <w:shd w:val="clear" w:color="auto" w:fill="auto"/>
            <w:vAlign w:val="center"/>
          </w:tcPr>
          <w:p w14:paraId="7189CC3A">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废机油</w:t>
            </w:r>
          </w:p>
        </w:tc>
        <w:tc>
          <w:tcPr>
            <w:tcW w:w="1350" w:type="dxa"/>
            <w:shd w:val="clear" w:color="auto" w:fill="auto"/>
            <w:vAlign w:val="center"/>
          </w:tcPr>
          <w:p w14:paraId="6E028044">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3B53FD5C">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5A62BA5B">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74F7D3C3">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0.5</w:t>
            </w:r>
            <w:r>
              <w:rPr>
                <w:rFonts w:hint="default" w:ascii="Times New Roman" w:hAnsi="Times New Roman" w:cs="Times New Roman"/>
                <w:snapToGrid w:val="0"/>
                <w:color w:val="auto"/>
                <w:kern w:val="21"/>
                <w:szCs w:val="21"/>
                <w:highlight w:val="none"/>
              </w:rPr>
              <w:t>t/a</w:t>
            </w:r>
          </w:p>
        </w:tc>
        <w:tc>
          <w:tcPr>
            <w:tcW w:w="1437" w:type="dxa"/>
            <w:shd w:val="clear" w:color="auto" w:fill="auto"/>
            <w:vAlign w:val="center"/>
          </w:tcPr>
          <w:p w14:paraId="0584E5B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2040" w:type="dxa"/>
            <w:shd w:val="clear" w:color="auto" w:fill="auto"/>
            <w:vAlign w:val="center"/>
          </w:tcPr>
          <w:p w14:paraId="49615E9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lang w:val="en-US" w:eastAsia="zh-CN"/>
              </w:rPr>
              <w:t>0.5</w:t>
            </w:r>
            <w:r>
              <w:rPr>
                <w:rFonts w:hint="default" w:ascii="Times New Roman" w:hAnsi="Times New Roman" w:cs="Times New Roman"/>
                <w:snapToGrid w:val="0"/>
                <w:color w:val="auto"/>
                <w:kern w:val="21"/>
                <w:szCs w:val="21"/>
                <w:highlight w:val="none"/>
              </w:rPr>
              <w:t>t/a</w:t>
            </w:r>
          </w:p>
        </w:tc>
        <w:tc>
          <w:tcPr>
            <w:tcW w:w="1336" w:type="dxa"/>
            <w:shd w:val="clear" w:color="auto" w:fill="auto"/>
            <w:vAlign w:val="center"/>
          </w:tcPr>
          <w:p w14:paraId="13656B3D">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lang w:val="en-US" w:eastAsia="zh-CN"/>
              </w:rPr>
              <w:t>0.5</w:t>
            </w:r>
            <w:r>
              <w:rPr>
                <w:rFonts w:hint="default" w:ascii="Times New Roman" w:hAnsi="Times New Roman" w:cs="Times New Roman"/>
                <w:snapToGrid w:val="0"/>
                <w:color w:val="auto"/>
                <w:kern w:val="21"/>
                <w:szCs w:val="21"/>
                <w:highlight w:val="none"/>
              </w:rPr>
              <w:t>t/a</w:t>
            </w:r>
          </w:p>
        </w:tc>
      </w:tr>
      <w:tr w14:paraId="45644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dxa"/>
            <w:vMerge w:val="continue"/>
            <w:vAlign w:val="center"/>
          </w:tcPr>
          <w:p w14:paraId="655016BF">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highlight w:val="none"/>
                <w:lang w:val="en-US" w:eastAsia="zh-CN"/>
              </w:rPr>
            </w:pPr>
          </w:p>
        </w:tc>
        <w:tc>
          <w:tcPr>
            <w:tcW w:w="2699" w:type="dxa"/>
            <w:shd w:val="clear" w:color="auto" w:fill="auto"/>
            <w:vAlign w:val="center"/>
          </w:tcPr>
          <w:p w14:paraId="2451F8C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废油桶及含油抹布</w:t>
            </w:r>
          </w:p>
        </w:tc>
        <w:tc>
          <w:tcPr>
            <w:tcW w:w="1350" w:type="dxa"/>
            <w:shd w:val="clear" w:color="auto" w:fill="auto"/>
            <w:vAlign w:val="center"/>
          </w:tcPr>
          <w:p w14:paraId="1BCE0D17">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216" w:type="dxa"/>
            <w:shd w:val="clear" w:color="auto" w:fill="auto"/>
            <w:vAlign w:val="center"/>
          </w:tcPr>
          <w:p w14:paraId="07A6CF0C">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447" w:type="dxa"/>
            <w:shd w:val="clear" w:color="auto" w:fill="auto"/>
            <w:vAlign w:val="center"/>
          </w:tcPr>
          <w:p w14:paraId="2DD6A901">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1800" w:type="dxa"/>
            <w:shd w:val="clear" w:color="auto" w:fill="auto"/>
            <w:vAlign w:val="center"/>
          </w:tcPr>
          <w:p w14:paraId="5628465E">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r>
              <w:rPr>
                <w:rFonts w:hint="default" w:ascii="Times New Roman" w:hAnsi="Times New Roman" w:cs="Times New Roman"/>
                <w:snapToGrid w:val="0"/>
                <w:color w:val="auto"/>
                <w:kern w:val="21"/>
                <w:szCs w:val="21"/>
                <w:highlight w:val="none"/>
                <w:lang w:val="en-US" w:eastAsia="zh-CN"/>
              </w:rPr>
              <w:t>3</w:t>
            </w:r>
            <w:r>
              <w:rPr>
                <w:rFonts w:hint="default" w:ascii="Times New Roman" w:hAnsi="Times New Roman" w:eastAsia="宋体" w:cs="Times New Roman"/>
                <w:snapToGrid w:val="0"/>
                <w:color w:val="auto"/>
                <w:kern w:val="21"/>
                <w:szCs w:val="21"/>
                <w:highlight w:val="none"/>
                <w:lang w:val="en-US" w:eastAsia="zh-CN"/>
              </w:rPr>
              <w:t>t/a</w:t>
            </w:r>
          </w:p>
        </w:tc>
        <w:tc>
          <w:tcPr>
            <w:tcW w:w="1437" w:type="dxa"/>
            <w:shd w:val="clear" w:color="auto" w:fill="auto"/>
            <w:vAlign w:val="center"/>
          </w:tcPr>
          <w:p w14:paraId="648CB4A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p>
        </w:tc>
        <w:tc>
          <w:tcPr>
            <w:tcW w:w="2040" w:type="dxa"/>
            <w:shd w:val="clear" w:color="auto" w:fill="auto"/>
            <w:vAlign w:val="center"/>
          </w:tcPr>
          <w:p w14:paraId="1485883F">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eastAsia="宋体" w:cs="Times New Roman"/>
                <w:snapToGrid w:val="0"/>
                <w:color w:val="auto"/>
                <w:kern w:val="21"/>
                <w:szCs w:val="21"/>
                <w:highlight w:val="none"/>
                <w:lang w:val="en-US" w:eastAsia="zh-CN"/>
              </w:rPr>
              <w:t>0.</w:t>
            </w:r>
            <w:r>
              <w:rPr>
                <w:rFonts w:hint="default" w:ascii="Times New Roman" w:hAnsi="Times New Roman" w:cs="Times New Roman"/>
                <w:snapToGrid w:val="0"/>
                <w:color w:val="auto"/>
                <w:kern w:val="21"/>
                <w:szCs w:val="21"/>
                <w:highlight w:val="none"/>
                <w:lang w:val="en-US" w:eastAsia="zh-CN"/>
              </w:rPr>
              <w:t>3</w:t>
            </w:r>
            <w:r>
              <w:rPr>
                <w:rFonts w:hint="default" w:ascii="Times New Roman" w:hAnsi="Times New Roman" w:eastAsia="宋体" w:cs="Times New Roman"/>
                <w:snapToGrid w:val="0"/>
                <w:color w:val="auto"/>
                <w:kern w:val="21"/>
                <w:szCs w:val="21"/>
                <w:highlight w:val="none"/>
                <w:lang w:val="en-US" w:eastAsia="zh-CN"/>
              </w:rPr>
              <w:t>t/a</w:t>
            </w:r>
          </w:p>
        </w:tc>
        <w:tc>
          <w:tcPr>
            <w:tcW w:w="1336" w:type="dxa"/>
            <w:shd w:val="clear" w:color="auto" w:fill="auto"/>
            <w:vAlign w:val="center"/>
          </w:tcPr>
          <w:p w14:paraId="78AF70B9">
            <w:pPr>
              <w:pStyle w:val="38"/>
              <w:spacing w:beforeLines="0" w:afterLines="0" w:line="240" w:lineRule="auto"/>
              <w:ind w:firstLine="0" w:firstLineChars="0"/>
              <w:rPr>
                <w:rFonts w:hint="default" w:ascii="Times New Roman" w:hAnsi="Times New Roman" w:eastAsia="宋体" w:cs="Times New Roman"/>
                <w:snapToGrid w:val="0"/>
                <w:color w:val="auto"/>
                <w:kern w:val="21"/>
                <w:sz w:val="24"/>
                <w:szCs w:val="21"/>
                <w:highlight w:val="none"/>
                <w:lang w:val="en-US" w:eastAsia="zh-CN" w:bidi="zh-CN"/>
              </w:rPr>
            </w:pPr>
            <w:r>
              <w:rPr>
                <w:rFonts w:hint="default" w:ascii="Times New Roman" w:hAnsi="Times New Roman" w:cs="Times New Roman"/>
                <w:snapToGrid w:val="0"/>
                <w:color w:val="auto"/>
                <w:kern w:val="21"/>
                <w:szCs w:val="21"/>
                <w:highlight w:val="none"/>
              </w:rPr>
              <w:t>+</w:t>
            </w:r>
            <w:r>
              <w:rPr>
                <w:rFonts w:hint="default" w:ascii="Times New Roman" w:hAnsi="Times New Roman" w:eastAsia="宋体" w:cs="Times New Roman"/>
                <w:snapToGrid w:val="0"/>
                <w:color w:val="auto"/>
                <w:kern w:val="21"/>
                <w:szCs w:val="21"/>
                <w:highlight w:val="none"/>
                <w:lang w:val="en-US" w:eastAsia="zh-CN"/>
              </w:rPr>
              <w:t>0.</w:t>
            </w:r>
            <w:r>
              <w:rPr>
                <w:rFonts w:hint="default" w:ascii="Times New Roman" w:hAnsi="Times New Roman" w:cs="Times New Roman"/>
                <w:snapToGrid w:val="0"/>
                <w:color w:val="auto"/>
                <w:kern w:val="21"/>
                <w:szCs w:val="21"/>
                <w:highlight w:val="none"/>
                <w:lang w:val="en-US" w:eastAsia="zh-CN"/>
              </w:rPr>
              <w:t>3</w:t>
            </w:r>
            <w:r>
              <w:rPr>
                <w:rFonts w:hint="default" w:ascii="Times New Roman" w:hAnsi="Times New Roman" w:eastAsia="宋体" w:cs="Times New Roman"/>
                <w:snapToGrid w:val="0"/>
                <w:color w:val="auto"/>
                <w:kern w:val="21"/>
                <w:szCs w:val="21"/>
                <w:highlight w:val="none"/>
                <w:lang w:val="en-US" w:eastAsia="zh-CN"/>
              </w:rPr>
              <w:t>t/a</w:t>
            </w:r>
          </w:p>
        </w:tc>
      </w:tr>
    </w:tbl>
    <w:p w14:paraId="5A0B8E5E">
      <w:pPr>
        <w:pStyle w:val="38"/>
        <w:spacing w:before="249" w:beforeLines="80" w:after="31"/>
        <w:ind w:left="0" w:leftChars="0" w:firstLine="0" w:firstLineChars="0"/>
        <w:jc w:val="left"/>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sectPr>
      <w:footerReference r:id="rId13"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MS UI Gothic">
    <w:panose1 w:val="020B0600070205080204"/>
    <w:charset w:val="86"/>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7E9C">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3A1EA">
    <w:pPr>
      <w:pStyle w:val="18"/>
      <w:framePr w:wrap="around" w:vAnchor="text" w:hAnchor="margin" w:xAlign="center" w:y="1"/>
      <w:ind w:firstLine="360"/>
      <w:rPr>
        <w:rStyle w:val="33"/>
      </w:rPr>
    </w:pPr>
    <w:r>
      <w:fldChar w:fldCharType="begin"/>
    </w:r>
    <w:r>
      <w:rPr>
        <w:rStyle w:val="33"/>
      </w:rPr>
      <w:instrText xml:space="preserve">PAGE  </w:instrText>
    </w:r>
    <w:r>
      <w:fldChar w:fldCharType="end"/>
    </w:r>
  </w:p>
  <w:p w14:paraId="75E7E353">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7FB1">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FB3AD">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E12EB">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0D97E">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470D97E">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CF13">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D54C3">
                          <w:pPr>
                            <w:pStyle w:val="18"/>
                          </w:pPr>
                          <w:r>
                            <w:fldChar w:fldCharType="begin"/>
                          </w:r>
                          <w:r>
                            <w:instrText xml:space="preserve"> PAGE  \* MERGEFORMAT </w:instrText>
                          </w:r>
                          <w:r>
                            <w:fldChar w:fldCharType="separate"/>
                          </w:r>
                          <w:r>
                            <w:t>- 47 -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8D54C3">
                    <w:pPr>
                      <w:pStyle w:val="18"/>
                    </w:pPr>
                    <w:r>
                      <w:fldChar w:fldCharType="begin"/>
                    </w:r>
                    <w:r>
                      <w:instrText xml:space="preserve"> PAGE  \* MERGEFORMAT </w:instrText>
                    </w:r>
                    <w:r>
                      <w:fldChar w:fldCharType="separate"/>
                    </w:r>
                    <w:r>
                      <w:t>- 47 -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28D5C">
    <w:pPr>
      <w:pStyle w:val="1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914F">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7D7C7">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8E26A"/>
    <w:multiLevelType w:val="singleLevel"/>
    <w:tmpl w:val="A908E26A"/>
    <w:lvl w:ilvl="0" w:tentative="0">
      <w:start w:val="6"/>
      <w:numFmt w:val="chineseCounting"/>
      <w:suff w:val="nothing"/>
      <w:lvlText w:val="%1、"/>
      <w:lvlJc w:val="left"/>
      <w:rPr>
        <w:rFonts w:hint="eastAsia"/>
      </w:rPr>
    </w:lvl>
  </w:abstractNum>
  <w:abstractNum w:abstractNumId="1">
    <w:nsid w:val="FF3160A9"/>
    <w:multiLevelType w:val="singleLevel"/>
    <w:tmpl w:val="FF3160A9"/>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2">
    <w:nsid w:val="71461B0C"/>
    <w:multiLevelType w:val="singleLevel"/>
    <w:tmpl w:val="71461B0C"/>
    <w:lvl w:ilvl="0" w:tentative="0">
      <w:start w:val="1"/>
      <w:numFmt w:val="decimal"/>
      <w:pStyle w:val="14"/>
      <w:lvlText w:val="%1."/>
      <w:lvlJc w:val="left"/>
      <w:pPr>
        <w:tabs>
          <w:tab w:val="left" w:pos="2040"/>
        </w:tabs>
        <w:ind w:left="2040" w:hanging="3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562320662">
    <w15:presenceInfo w15:providerId="WPS Office" w15:userId="2431218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ZDhmZDA0MGRlMjZiN2Y3YmE4ZmFiMmE3YTk0ZTQifQ=="/>
  </w:docVars>
  <w:rsids>
    <w:rsidRoot w:val="00172A27"/>
    <w:rsid w:val="00006C90"/>
    <w:rsid w:val="00026F41"/>
    <w:rsid w:val="00031DE1"/>
    <w:rsid w:val="00051B5D"/>
    <w:rsid w:val="000561C1"/>
    <w:rsid w:val="0006662C"/>
    <w:rsid w:val="00091CB2"/>
    <w:rsid w:val="000E3132"/>
    <w:rsid w:val="00100657"/>
    <w:rsid w:val="00103035"/>
    <w:rsid w:val="00124346"/>
    <w:rsid w:val="001410B2"/>
    <w:rsid w:val="00150DDA"/>
    <w:rsid w:val="0015616D"/>
    <w:rsid w:val="001621E5"/>
    <w:rsid w:val="001624B9"/>
    <w:rsid w:val="001936AC"/>
    <w:rsid w:val="001A6A1C"/>
    <w:rsid w:val="001C0CEA"/>
    <w:rsid w:val="001D6459"/>
    <w:rsid w:val="001E7C8A"/>
    <w:rsid w:val="00213E6B"/>
    <w:rsid w:val="00231C58"/>
    <w:rsid w:val="002320A0"/>
    <w:rsid w:val="0024262B"/>
    <w:rsid w:val="00276C8C"/>
    <w:rsid w:val="00277FD7"/>
    <w:rsid w:val="0029071A"/>
    <w:rsid w:val="00293F9D"/>
    <w:rsid w:val="002A621A"/>
    <w:rsid w:val="002C676B"/>
    <w:rsid w:val="002C6E0C"/>
    <w:rsid w:val="002D25FD"/>
    <w:rsid w:val="002D67E7"/>
    <w:rsid w:val="002F148A"/>
    <w:rsid w:val="002F6A0D"/>
    <w:rsid w:val="00314DC3"/>
    <w:rsid w:val="00321B3C"/>
    <w:rsid w:val="0033078C"/>
    <w:rsid w:val="003502E1"/>
    <w:rsid w:val="00355091"/>
    <w:rsid w:val="00383A9B"/>
    <w:rsid w:val="00394BFB"/>
    <w:rsid w:val="003B1C37"/>
    <w:rsid w:val="003D2FBE"/>
    <w:rsid w:val="003D4461"/>
    <w:rsid w:val="00415A85"/>
    <w:rsid w:val="00424838"/>
    <w:rsid w:val="00446AF5"/>
    <w:rsid w:val="004634EF"/>
    <w:rsid w:val="0046511B"/>
    <w:rsid w:val="00467400"/>
    <w:rsid w:val="00467725"/>
    <w:rsid w:val="00473210"/>
    <w:rsid w:val="00492B08"/>
    <w:rsid w:val="004A0032"/>
    <w:rsid w:val="004B54E7"/>
    <w:rsid w:val="004E4086"/>
    <w:rsid w:val="004F23E1"/>
    <w:rsid w:val="004F7E57"/>
    <w:rsid w:val="00503349"/>
    <w:rsid w:val="0055308D"/>
    <w:rsid w:val="00576336"/>
    <w:rsid w:val="00580E93"/>
    <w:rsid w:val="00583071"/>
    <w:rsid w:val="00583530"/>
    <w:rsid w:val="005A22F3"/>
    <w:rsid w:val="005B4102"/>
    <w:rsid w:val="005E6AED"/>
    <w:rsid w:val="00610433"/>
    <w:rsid w:val="00622692"/>
    <w:rsid w:val="00644BDD"/>
    <w:rsid w:val="00655D47"/>
    <w:rsid w:val="00675B10"/>
    <w:rsid w:val="0068773B"/>
    <w:rsid w:val="00691B68"/>
    <w:rsid w:val="006920BA"/>
    <w:rsid w:val="006A08A2"/>
    <w:rsid w:val="006A2187"/>
    <w:rsid w:val="006B591A"/>
    <w:rsid w:val="006B5D6A"/>
    <w:rsid w:val="006C1A3E"/>
    <w:rsid w:val="006C4729"/>
    <w:rsid w:val="006D19CE"/>
    <w:rsid w:val="006D5845"/>
    <w:rsid w:val="006E0736"/>
    <w:rsid w:val="006F0D19"/>
    <w:rsid w:val="0071640E"/>
    <w:rsid w:val="00744342"/>
    <w:rsid w:val="00756210"/>
    <w:rsid w:val="007569E9"/>
    <w:rsid w:val="007572AF"/>
    <w:rsid w:val="00782A90"/>
    <w:rsid w:val="0079348B"/>
    <w:rsid w:val="007C50E9"/>
    <w:rsid w:val="007E6FF5"/>
    <w:rsid w:val="007F2CE7"/>
    <w:rsid w:val="007F451B"/>
    <w:rsid w:val="007F6DA4"/>
    <w:rsid w:val="0081146B"/>
    <w:rsid w:val="00816454"/>
    <w:rsid w:val="0082778E"/>
    <w:rsid w:val="00835967"/>
    <w:rsid w:val="0085570B"/>
    <w:rsid w:val="00890DF6"/>
    <w:rsid w:val="008B3D6D"/>
    <w:rsid w:val="008C1014"/>
    <w:rsid w:val="008C429A"/>
    <w:rsid w:val="008C64D5"/>
    <w:rsid w:val="008D7084"/>
    <w:rsid w:val="009074E1"/>
    <w:rsid w:val="00907947"/>
    <w:rsid w:val="00920588"/>
    <w:rsid w:val="00921508"/>
    <w:rsid w:val="00922B7A"/>
    <w:rsid w:val="009352D7"/>
    <w:rsid w:val="00951E48"/>
    <w:rsid w:val="009770CC"/>
    <w:rsid w:val="00980970"/>
    <w:rsid w:val="00981197"/>
    <w:rsid w:val="00983709"/>
    <w:rsid w:val="009C1E95"/>
    <w:rsid w:val="009E0CD4"/>
    <w:rsid w:val="009E2F9E"/>
    <w:rsid w:val="009F570D"/>
    <w:rsid w:val="00A04811"/>
    <w:rsid w:val="00A20325"/>
    <w:rsid w:val="00A203B8"/>
    <w:rsid w:val="00A278A1"/>
    <w:rsid w:val="00A33213"/>
    <w:rsid w:val="00A75A2F"/>
    <w:rsid w:val="00A77BD1"/>
    <w:rsid w:val="00A83796"/>
    <w:rsid w:val="00A8706A"/>
    <w:rsid w:val="00A92038"/>
    <w:rsid w:val="00A948DB"/>
    <w:rsid w:val="00AA2764"/>
    <w:rsid w:val="00AA3859"/>
    <w:rsid w:val="00AB4FDD"/>
    <w:rsid w:val="00AD43D7"/>
    <w:rsid w:val="00AE23AB"/>
    <w:rsid w:val="00B07931"/>
    <w:rsid w:val="00B1335D"/>
    <w:rsid w:val="00B536CC"/>
    <w:rsid w:val="00B65333"/>
    <w:rsid w:val="00B67591"/>
    <w:rsid w:val="00B76951"/>
    <w:rsid w:val="00B77AA0"/>
    <w:rsid w:val="00B9195B"/>
    <w:rsid w:val="00BA6497"/>
    <w:rsid w:val="00BB1BB3"/>
    <w:rsid w:val="00BD47D4"/>
    <w:rsid w:val="00BE2E77"/>
    <w:rsid w:val="00BF2664"/>
    <w:rsid w:val="00C00A98"/>
    <w:rsid w:val="00C04F61"/>
    <w:rsid w:val="00C11A8F"/>
    <w:rsid w:val="00C13453"/>
    <w:rsid w:val="00C27A0F"/>
    <w:rsid w:val="00C32309"/>
    <w:rsid w:val="00C4085E"/>
    <w:rsid w:val="00C4535C"/>
    <w:rsid w:val="00C832EE"/>
    <w:rsid w:val="00C86408"/>
    <w:rsid w:val="00C950D0"/>
    <w:rsid w:val="00CB380B"/>
    <w:rsid w:val="00CC50D9"/>
    <w:rsid w:val="00CD2BCC"/>
    <w:rsid w:val="00CD35B0"/>
    <w:rsid w:val="00CD5FB4"/>
    <w:rsid w:val="00CD670A"/>
    <w:rsid w:val="00CE206A"/>
    <w:rsid w:val="00CE7557"/>
    <w:rsid w:val="00D0390E"/>
    <w:rsid w:val="00D10FD5"/>
    <w:rsid w:val="00D110F8"/>
    <w:rsid w:val="00D135D3"/>
    <w:rsid w:val="00D14DD6"/>
    <w:rsid w:val="00D25542"/>
    <w:rsid w:val="00D27D49"/>
    <w:rsid w:val="00D42660"/>
    <w:rsid w:val="00D51CD6"/>
    <w:rsid w:val="00D67327"/>
    <w:rsid w:val="00D83E4B"/>
    <w:rsid w:val="00D9120E"/>
    <w:rsid w:val="00D9510B"/>
    <w:rsid w:val="00DA473F"/>
    <w:rsid w:val="00DB372E"/>
    <w:rsid w:val="00DC1110"/>
    <w:rsid w:val="00DC714E"/>
    <w:rsid w:val="00DD1A31"/>
    <w:rsid w:val="00DD68DB"/>
    <w:rsid w:val="00DE4075"/>
    <w:rsid w:val="00DF0A8A"/>
    <w:rsid w:val="00E137BE"/>
    <w:rsid w:val="00E20DD8"/>
    <w:rsid w:val="00E2215B"/>
    <w:rsid w:val="00E46A2E"/>
    <w:rsid w:val="00E602D1"/>
    <w:rsid w:val="00E76E86"/>
    <w:rsid w:val="00EA16B4"/>
    <w:rsid w:val="00EC4E37"/>
    <w:rsid w:val="00ED4196"/>
    <w:rsid w:val="00ED6962"/>
    <w:rsid w:val="00EF30EA"/>
    <w:rsid w:val="00EF3467"/>
    <w:rsid w:val="00F074CC"/>
    <w:rsid w:val="00F10B0C"/>
    <w:rsid w:val="00F12965"/>
    <w:rsid w:val="00F21075"/>
    <w:rsid w:val="00F2299A"/>
    <w:rsid w:val="00F2453E"/>
    <w:rsid w:val="00F3395A"/>
    <w:rsid w:val="00F66CF1"/>
    <w:rsid w:val="00F854B6"/>
    <w:rsid w:val="00FA74F9"/>
    <w:rsid w:val="00FC0918"/>
    <w:rsid w:val="00FC4562"/>
    <w:rsid w:val="00FC696D"/>
    <w:rsid w:val="00FE0C8D"/>
    <w:rsid w:val="014169AC"/>
    <w:rsid w:val="014530AE"/>
    <w:rsid w:val="01533755"/>
    <w:rsid w:val="016245C6"/>
    <w:rsid w:val="017061E0"/>
    <w:rsid w:val="01D16D59"/>
    <w:rsid w:val="0209209E"/>
    <w:rsid w:val="0249725E"/>
    <w:rsid w:val="02653B27"/>
    <w:rsid w:val="02AA4F6F"/>
    <w:rsid w:val="02AF2FC9"/>
    <w:rsid w:val="02EE436B"/>
    <w:rsid w:val="032756F1"/>
    <w:rsid w:val="034505B5"/>
    <w:rsid w:val="035F74F2"/>
    <w:rsid w:val="03772D22"/>
    <w:rsid w:val="03B42306"/>
    <w:rsid w:val="03E671F6"/>
    <w:rsid w:val="03FE05E3"/>
    <w:rsid w:val="04112AA9"/>
    <w:rsid w:val="0413103F"/>
    <w:rsid w:val="043F337B"/>
    <w:rsid w:val="04491F4C"/>
    <w:rsid w:val="04715502"/>
    <w:rsid w:val="04A03708"/>
    <w:rsid w:val="04A66578"/>
    <w:rsid w:val="04D67CD9"/>
    <w:rsid w:val="050E5004"/>
    <w:rsid w:val="05123C0E"/>
    <w:rsid w:val="05244BF5"/>
    <w:rsid w:val="05372E04"/>
    <w:rsid w:val="054372E0"/>
    <w:rsid w:val="055C30DB"/>
    <w:rsid w:val="055D23BA"/>
    <w:rsid w:val="0569197B"/>
    <w:rsid w:val="058C5DDA"/>
    <w:rsid w:val="05AE766F"/>
    <w:rsid w:val="05B23321"/>
    <w:rsid w:val="05D62E8D"/>
    <w:rsid w:val="05DF491B"/>
    <w:rsid w:val="05F853D1"/>
    <w:rsid w:val="06050B5D"/>
    <w:rsid w:val="060E31C4"/>
    <w:rsid w:val="06374124"/>
    <w:rsid w:val="064E2907"/>
    <w:rsid w:val="065C4894"/>
    <w:rsid w:val="06990F64"/>
    <w:rsid w:val="06CA2883"/>
    <w:rsid w:val="07091A73"/>
    <w:rsid w:val="07520BBE"/>
    <w:rsid w:val="075512EF"/>
    <w:rsid w:val="076D3E07"/>
    <w:rsid w:val="077E37DC"/>
    <w:rsid w:val="07BB6ECE"/>
    <w:rsid w:val="07C52B26"/>
    <w:rsid w:val="080B1023"/>
    <w:rsid w:val="082D052F"/>
    <w:rsid w:val="084C6147"/>
    <w:rsid w:val="08692ECA"/>
    <w:rsid w:val="08791506"/>
    <w:rsid w:val="089D4136"/>
    <w:rsid w:val="08C33B51"/>
    <w:rsid w:val="08D35DAA"/>
    <w:rsid w:val="08F41299"/>
    <w:rsid w:val="08FB3FE8"/>
    <w:rsid w:val="09277F6E"/>
    <w:rsid w:val="098B6190"/>
    <w:rsid w:val="0A0D30AF"/>
    <w:rsid w:val="0A7118DB"/>
    <w:rsid w:val="0A932FBE"/>
    <w:rsid w:val="0ABB2402"/>
    <w:rsid w:val="0ADF4592"/>
    <w:rsid w:val="0AEE6ECB"/>
    <w:rsid w:val="0B06708F"/>
    <w:rsid w:val="0B165180"/>
    <w:rsid w:val="0B194C7C"/>
    <w:rsid w:val="0B3B0A1E"/>
    <w:rsid w:val="0B554E63"/>
    <w:rsid w:val="0B6E1DBA"/>
    <w:rsid w:val="0BB55717"/>
    <w:rsid w:val="0BBB3DAC"/>
    <w:rsid w:val="0BFB63B5"/>
    <w:rsid w:val="0C0D3730"/>
    <w:rsid w:val="0C1C2E6D"/>
    <w:rsid w:val="0C3703FE"/>
    <w:rsid w:val="0C4D2BC7"/>
    <w:rsid w:val="0C722799"/>
    <w:rsid w:val="0C992E66"/>
    <w:rsid w:val="0CAE1E69"/>
    <w:rsid w:val="0CE8738B"/>
    <w:rsid w:val="0CF1117F"/>
    <w:rsid w:val="0D0E16A1"/>
    <w:rsid w:val="0D1E5AC6"/>
    <w:rsid w:val="0D203A08"/>
    <w:rsid w:val="0D2F28F9"/>
    <w:rsid w:val="0D3E4E9B"/>
    <w:rsid w:val="0D494D65"/>
    <w:rsid w:val="0D7D264C"/>
    <w:rsid w:val="0D86333C"/>
    <w:rsid w:val="0DA266EE"/>
    <w:rsid w:val="0DAE7580"/>
    <w:rsid w:val="0DC05909"/>
    <w:rsid w:val="0DC32B20"/>
    <w:rsid w:val="0DD84EFB"/>
    <w:rsid w:val="0DFC6444"/>
    <w:rsid w:val="0E267FA8"/>
    <w:rsid w:val="0E3B46A0"/>
    <w:rsid w:val="0E583D01"/>
    <w:rsid w:val="0E9C4FBD"/>
    <w:rsid w:val="0EA63C53"/>
    <w:rsid w:val="0EB047D0"/>
    <w:rsid w:val="0EC0250B"/>
    <w:rsid w:val="0EE909F2"/>
    <w:rsid w:val="0EF10C3C"/>
    <w:rsid w:val="0F1227A2"/>
    <w:rsid w:val="0F24676E"/>
    <w:rsid w:val="0F3D764B"/>
    <w:rsid w:val="0F637817"/>
    <w:rsid w:val="0F6C1114"/>
    <w:rsid w:val="0F7463F7"/>
    <w:rsid w:val="0F802974"/>
    <w:rsid w:val="0F8253A4"/>
    <w:rsid w:val="0FA77648"/>
    <w:rsid w:val="0FB5289B"/>
    <w:rsid w:val="0FC65D20"/>
    <w:rsid w:val="0FE8562B"/>
    <w:rsid w:val="0FFA64DD"/>
    <w:rsid w:val="100D1BA1"/>
    <w:rsid w:val="103130E7"/>
    <w:rsid w:val="10572145"/>
    <w:rsid w:val="10583066"/>
    <w:rsid w:val="10965B0D"/>
    <w:rsid w:val="10CA1840"/>
    <w:rsid w:val="10D9577E"/>
    <w:rsid w:val="11496B94"/>
    <w:rsid w:val="114C5CCF"/>
    <w:rsid w:val="117B6FDE"/>
    <w:rsid w:val="11850285"/>
    <w:rsid w:val="11AB345B"/>
    <w:rsid w:val="11AC49FA"/>
    <w:rsid w:val="11C173BC"/>
    <w:rsid w:val="11E2055C"/>
    <w:rsid w:val="11FA7F03"/>
    <w:rsid w:val="12314518"/>
    <w:rsid w:val="124B6127"/>
    <w:rsid w:val="128C2E91"/>
    <w:rsid w:val="128D4412"/>
    <w:rsid w:val="12984975"/>
    <w:rsid w:val="13315C4E"/>
    <w:rsid w:val="136A777B"/>
    <w:rsid w:val="138D123A"/>
    <w:rsid w:val="1395604C"/>
    <w:rsid w:val="142371FD"/>
    <w:rsid w:val="143A6CB7"/>
    <w:rsid w:val="14442EE3"/>
    <w:rsid w:val="146124BC"/>
    <w:rsid w:val="14A54315"/>
    <w:rsid w:val="14E87422"/>
    <w:rsid w:val="14EE4F96"/>
    <w:rsid w:val="15247FD7"/>
    <w:rsid w:val="15AC5CBD"/>
    <w:rsid w:val="15CD64BB"/>
    <w:rsid w:val="166E2F71"/>
    <w:rsid w:val="169A6D37"/>
    <w:rsid w:val="16A83363"/>
    <w:rsid w:val="16BC57E5"/>
    <w:rsid w:val="16C6644A"/>
    <w:rsid w:val="16D30F79"/>
    <w:rsid w:val="16DD507F"/>
    <w:rsid w:val="16E704A1"/>
    <w:rsid w:val="170968B7"/>
    <w:rsid w:val="17132F80"/>
    <w:rsid w:val="17956C5D"/>
    <w:rsid w:val="17F50F67"/>
    <w:rsid w:val="181D212B"/>
    <w:rsid w:val="182003E6"/>
    <w:rsid w:val="18A54131"/>
    <w:rsid w:val="18BB3C45"/>
    <w:rsid w:val="18CA582F"/>
    <w:rsid w:val="18E97A6D"/>
    <w:rsid w:val="18FA2EDF"/>
    <w:rsid w:val="19183BAA"/>
    <w:rsid w:val="19294AEF"/>
    <w:rsid w:val="19775AF7"/>
    <w:rsid w:val="197D1397"/>
    <w:rsid w:val="198804EA"/>
    <w:rsid w:val="19935CE8"/>
    <w:rsid w:val="1A2279B4"/>
    <w:rsid w:val="1A272DAF"/>
    <w:rsid w:val="1A453660"/>
    <w:rsid w:val="1A7A45E9"/>
    <w:rsid w:val="1A7F5400"/>
    <w:rsid w:val="1A93629F"/>
    <w:rsid w:val="1A9D7350"/>
    <w:rsid w:val="1AA66184"/>
    <w:rsid w:val="1AB0799B"/>
    <w:rsid w:val="1AC359AD"/>
    <w:rsid w:val="1B0874A5"/>
    <w:rsid w:val="1B346BA5"/>
    <w:rsid w:val="1B3F4FAC"/>
    <w:rsid w:val="1B482784"/>
    <w:rsid w:val="1B9F1356"/>
    <w:rsid w:val="1BC715CC"/>
    <w:rsid w:val="1BD061B0"/>
    <w:rsid w:val="1BD67035"/>
    <w:rsid w:val="1BE03A41"/>
    <w:rsid w:val="1C385A92"/>
    <w:rsid w:val="1C607D2D"/>
    <w:rsid w:val="1C76396F"/>
    <w:rsid w:val="1CBD4FE2"/>
    <w:rsid w:val="1CD420DE"/>
    <w:rsid w:val="1D4A426E"/>
    <w:rsid w:val="1D706292"/>
    <w:rsid w:val="1D9C3F72"/>
    <w:rsid w:val="1DA60F3E"/>
    <w:rsid w:val="1DDB1CCD"/>
    <w:rsid w:val="1DFC5F10"/>
    <w:rsid w:val="1E0C7146"/>
    <w:rsid w:val="1E0C7479"/>
    <w:rsid w:val="1E444418"/>
    <w:rsid w:val="1E4E10D5"/>
    <w:rsid w:val="1E651BEC"/>
    <w:rsid w:val="1E8B4EAC"/>
    <w:rsid w:val="1E9923CE"/>
    <w:rsid w:val="1EA90044"/>
    <w:rsid w:val="1EE77C52"/>
    <w:rsid w:val="1F1C595D"/>
    <w:rsid w:val="1F1D75BD"/>
    <w:rsid w:val="1F707A57"/>
    <w:rsid w:val="1FB05EB5"/>
    <w:rsid w:val="1FD57C14"/>
    <w:rsid w:val="2002264B"/>
    <w:rsid w:val="201D2128"/>
    <w:rsid w:val="202B5CA5"/>
    <w:rsid w:val="205440C9"/>
    <w:rsid w:val="20707BFD"/>
    <w:rsid w:val="208A2436"/>
    <w:rsid w:val="208F70B3"/>
    <w:rsid w:val="20C04A0E"/>
    <w:rsid w:val="20D11566"/>
    <w:rsid w:val="210743EB"/>
    <w:rsid w:val="214747E7"/>
    <w:rsid w:val="21767259"/>
    <w:rsid w:val="21DC4F25"/>
    <w:rsid w:val="21DE15EF"/>
    <w:rsid w:val="21F72C55"/>
    <w:rsid w:val="220A6D38"/>
    <w:rsid w:val="22254A78"/>
    <w:rsid w:val="22381BC2"/>
    <w:rsid w:val="22400268"/>
    <w:rsid w:val="22617F37"/>
    <w:rsid w:val="22852D1B"/>
    <w:rsid w:val="22B10EA3"/>
    <w:rsid w:val="22D0323A"/>
    <w:rsid w:val="22D763BD"/>
    <w:rsid w:val="22DA70E5"/>
    <w:rsid w:val="22E83DA8"/>
    <w:rsid w:val="23442217"/>
    <w:rsid w:val="23622EF4"/>
    <w:rsid w:val="237B4CE6"/>
    <w:rsid w:val="23F142AC"/>
    <w:rsid w:val="242C237C"/>
    <w:rsid w:val="245C2C9F"/>
    <w:rsid w:val="2483022C"/>
    <w:rsid w:val="24857B78"/>
    <w:rsid w:val="24C41BA6"/>
    <w:rsid w:val="24D60DC5"/>
    <w:rsid w:val="24F46928"/>
    <w:rsid w:val="25552C67"/>
    <w:rsid w:val="256E7A2D"/>
    <w:rsid w:val="25831B72"/>
    <w:rsid w:val="258D0209"/>
    <w:rsid w:val="259A1829"/>
    <w:rsid w:val="259B6E49"/>
    <w:rsid w:val="26380C61"/>
    <w:rsid w:val="264215FB"/>
    <w:rsid w:val="26665B24"/>
    <w:rsid w:val="267907D7"/>
    <w:rsid w:val="26AF2033"/>
    <w:rsid w:val="26BA2C1A"/>
    <w:rsid w:val="26C3202A"/>
    <w:rsid w:val="26ED077B"/>
    <w:rsid w:val="26F13F21"/>
    <w:rsid w:val="271C19FE"/>
    <w:rsid w:val="272652E2"/>
    <w:rsid w:val="27483FC0"/>
    <w:rsid w:val="275526B6"/>
    <w:rsid w:val="27693E93"/>
    <w:rsid w:val="279E290E"/>
    <w:rsid w:val="27CD5837"/>
    <w:rsid w:val="27DC16AD"/>
    <w:rsid w:val="27EA6A80"/>
    <w:rsid w:val="286B6886"/>
    <w:rsid w:val="288127E9"/>
    <w:rsid w:val="28823C09"/>
    <w:rsid w:val="289449F8"/>
    <w:rsid w:val="28B11632"/>
    <w:rsid w:val="28B221E9"/>
    <w:rsid w:val="28BF46B0"/>
    <w:rsid w:val="28E842A1"/>
    <w:rsid w:val="28EA6772"/>
    <w:rsid w:val="29055FE5"/>
    <w:rsid w:val="29172C46"/>
    <w:rsid w:val="29244ED7"/>
    <w:rsid w:val="292B46F2"/>
    <w:rsid w:val="293D5547"/>
    <w:rsid w:val="296D0128"/>
    <w:rsid w:val="297412BF"/>
    <w:rsid w:val="299014FC"/>
    <w:rsid w:val="299A242E"/>
    <w:rsid w:val="299B28B1"/>
    <w:rsid w:val="29C877A7"/>
    <w:rsid w:val="2A015241"/>
    <w:rsid w:val="2A2E14FF"/>
    <w:rsid w:val="2A8730D9"/>
    <w:rsid w:val="2AB73EBA"/>
    <w:rsid w:val="2AB97733"/>
    <w:rsid w:val="2AC0035A"/>
    <w:rsid w:val="2AC57A35"/>
    <w:rsid w:val="2B3E7332"/>
    <w:rsid w:val="2BCB4B13"/>
    <w:rsid w:val="2BF01901"/>
    <w:rsid w:val="2C325BF2"/>
    <w:rsid w:val="2C6764B3"/>
    <w:rsid w:val="2C781858"/>
    <w:rsid w:val="2C7E2610"/>
    <w:rsid w:val="2CC80066"/>
    <w:rsid w:val="2CCF2B51"/>
    <w:rsid w:val="2CDD392A"/>
    <w:rsid w:val="2D0A2586"/>
    <w:rsid w:val="2D0B4F27"/>
    <w:rsid w:val="2D484219"/>
    <w:rsid w:val="2D4F65E5"/>
    <w:rsid w:val="2D577EB9"/>
    <w:rsid w:val="2E3D001D"/>
    <w:rsid w:val="2EAF6682"/>
    <w:rsid w:val="2EB71C63"/>
    <w:rsid w:val="2EC409C5"/>
    <w:rsid w:val="2EC7052A"/>
    <w:rsid w:val="2ED206D1"/>
    <w:rsid w:val="2EDB0A6C"/>
    <w:rsid w:val="2EFC30B5"/>
    <w:rsid w:val="2F5603B6"/>
    <w:rsid w:val="2FF60336"/>
    <w:rsid w:val="300318C5"/>
    <w:rsid w:val="303B5450"/>
    <w:rsid w:val="30535942"/>
    <w:rsid w:val="3057430A"/>
    <w:rsid w:val="308702B7"/>
    <w:rsid w:val="30963826"/>
    <w:rsid w:val="30DB1D8B"/>
    <w:rsid w:val="30DE42CB"/>
    <w:rsid w:val="30EF1C9A"/>
    <w:rsid w:val="31DC5931"/>
    <w:rsid w:val="31FB72A7"/>
    <w:rsid w:val="32223E0E"/>
    <w:rsid w:val="32493516"/>
    <w:rsid w:val="32634736"/>
    <w:rsid w:val="327A3122"/>
    <w:rsid w:val="32B07C50"/>
    <w:rsid w:val="32B42A3A"/>
    <w:rsid w:val="32CC5B86"/>
    <w:rsid w:val="32D04F75"/>
    <w:rsid w:val="32D51026"/>
    <w:rsid w:val="32EC52F3"/>
    <w:rsid w:val="32FA3AFF"/>
    <w:rsid w:val="33137888"/>
    <w:rsid w:val="33274479"/>
    <w:rsid w:val="332A7E02"/>
    <w:rsid w:val="33786231"/>
    <w:rsid w:val="337D1CAA"/>
    <w:rsid w:val="338D077F"/>
    <w:rsid w:val="33992C98"/>
    <w:rsid w:val="33D16FC3"/>
    <w:rsid w:val="33DB3AC9"/>
    <w:rsid w:val="34190265"/>
    <w:rsid w:val="344F02A7"/>
    <w:rsid w:val="35335B08"/>
    <w:rsid w:val="355709EB"/>
    <w:rsid w:val="356D348B"/>
    <w:rsid w:val="35805C30"/>
    <w:rsid w:val="35922D7B"/>
    <w:rsid w:val="35B2518A"/>
    <w:rsid w:val="35B828D3"/>
    <w:rsid w:val="36130BBB"/>
    <w:rsid w:val="361E6EE4"/>
    <w:rsid w:val="36212A74"/>
    <w:rsid w:val="365A1352"/>
    <w:rsid w:val="36A302BA"/>
    <w:rsid w:val="36A31CD7"/>
    <w:rsid w:val="36AE539C"/>
    <w:rsid w:val="36B5400D"/>
    <w:rsid w:val="36C52963"/>
    <w:rsid w:val="36E31D5A"/>
    <w:rsid w:val="36F635DB"/>
    <w:rsid w:val="3712671D"/>
    <w:rsid w:val="374C7D23"/>
    <w:rsid w:val="374D3BF9"/>
    <w:rsid w:val="37DF5322"/>
    <w:rsid w:val="38170493"/>
    <w:rsid w:val="38214CA2"/>
    <w:rsid w:val="384333D7"/>
    <w:rsid w:val="38703E72"/>
    <w:rsid w:val="388203A9"/>
    <w:rsid w:val="38C71542"/>
    <w:rsid w:val="38C7262B"/>
    <w:rsid w:val="38E551E7"/>
    <w:rsid w:val="38EC4FF2"/>
    <w:rsid w:val="38F16E7E"/>
    <w:rsid w:val="39103BDF"/>
    <w:rsid w:val="393E7219"/>
    <w:rsid w:val="398F29D5"/>
    <w:rsid w:val="39A82299"/>
    <w:rsid w:val="39BD262D"/>
    <w:rsid w:val="39BF4D26"/>
    <w:rsid w:val="39F329B7"/>
    <w:rsid w:val="3A040C20"/>
    <w:rsid w:val="3A0607FF"/>
    <w:rsid w:val="3A0930C9"/>
    <w:rsid w:val="3A123995"/>
    <w:rsid w:val="3A2A4A90"/>
    <w:rsid w:val="3A3E27D3"/>
    <w:rsid w:val="3A473E12"/>
    <w:rsid w:val="3A5A04BC"/>
    <w:rsid w:val="3A640AFE"/>
    <w:rsid w:val="3A670C5D"/>
    <w:rsid w:val="3A6A153E"/>
    <w:rsid w:val="3A8B1791"/>
    <w:rsid w:val="3A9B0763"/>
    <w:rsid w:val="3AE871C5"/>
    <w:rsid w:val="3AFF1820"/>
    <w:rsid w:val="3B5834D3"/>
    <w:rsid w:val="3B707D2D"/>
    <w:rsid w:val="3B8D7EE5"/>
    <w:rsid w:val="3B9C2F4B"/>
    <w:rsid w:val="3BA94B75"/>
    <w:rsid w:val="3BBB5FD6"/>
    <w:rsid w:val="3C6F76EE"/>
    <w:rsid w:val="3CA85A67"/>
    <w:rsid w:val="3CB10842"/>
    <w:rsid w:val="3CB90A69"/>
    <w:rsid w:val="3CD51FE4"/>
    <w:rsid w:val="3CD76F0F"/>
    <w:rsid w:val="3CF46392"/>
    <w:rsid w:val="3CFD6976"/>
    <w:rsid w:val="3D26377B"/>
    <w:rsid w:val="3D2832C7"/>
    <w:rsid w:val="3D3F3326"/>
    <w:rsid w:val="3D426CA9"/>
    <w:rsid w:val="3D696F69"/>
    <w:rsid w:val="3DAE000B"/>
    <w:rsid w:val="3E1B294B"/>
    <w:rsid w:val="3EA128A6"/>
    <w:rsid w:val="3EAE6F36"/>
    <w:rsid w:val="3EB44C15"/>
    <w:rsid w:val="3EF13EBF"/>
    <w:rsid w:val="3F3C12AC"/>
    <w:rsid w:val="3F4527B0"/>
    <w:rsid w:val="3F7E3672"/>
    <w:rsid w:val="3F9B4224"/>
    <w:rsid w:val="3FA75914"/>
    <w:rsid w:val="3FD14AA0"/>
    <w:rsid w:val="3FD9380A"/>
    <w:rsid w:val="3FE956A6"/>
    <w:rsid w:val="400851F5"/>
    <w:rsid w:val="40445B2C"/>
    <w:rsid w:val="40460BD7"/>
    <w:rsid w:val="405E47EC"/>
    <w:rsid w:val="40712601"/>
    <w:rsid w:val="407965F1"/>
    <w:rsid w:val="40804D01"/>
    <w:rsid w:val="40D24EFC"/>
    <w:rsid w:val="40D645E9"/>
    <w:rsid w:val="40F51B2E"/>
    <w:rsid w:val="410A5106"/>
    <w:rsid w:val="41143104"/>
    <w:rsid w:val="41A6426F"/>
    <w:rsid w:val="41BB131C"/>
    <w:rsid w:val="41BC419F"/>
    <w:rsid w:val="41ED49A0"/>
    <w:rsid w:val="4206318A"/>
    <w:rsid w:val="420B2140"/>
    <w:rsid w:val="42382F68"/>
    <w:rsid w:val="427053F0"/>
    <w:rsid w:val="428639CB"/>
    <w:rsid w:val="42872D1B"/>
    <w:rsid w:val="428B7207"/>
    <w:rsid w:val="42A061C8"/>
    <w:rsid w:val="42BE3E87"/>
    <w:rsid w:val="42F3082F"/>
    <w:rsid w:val="43031097"/>
    <w:rsid w:val="433C50EA"/>
    <w:rsid w:val="433E4439"/>
    <w:rsid w:val="43505254"/>
    <w:rsid w:val="435E613E"/>
    <w:rsid w:val="43B65AD0"/>
    <w:rsid w:val="43F97F09"/>
    <w:rsid w:val="44084436"/>
    <w:rsid w:val="4428075B"/>
    <w:rsid w:val="445D4D9B"/>
    <w:rsid w:val="449B37ED"/>
    <w:rsid w:val="449E6F37"/>
    <w:rsid w:val="44BA2739"/>
    <w:rsid w:val="44D40BD5"/>
    <w:rsid w:val="44E80CF5"/>
    <w:rsid w:val="44EE7EA3"/>
    <w:rsid w:val="44F95BE3"/>
    <w:rsid w:val="45152478"/>
    <w:rsid w:val="45476DEF"/>
    <w:rsid w:val="458736A3"/>
    <w:rsid w:val="4606568D"/>
    <w:rsid w:val="462E3C73"/>
    <w:rsid w:val="463B50AD"/>
    <w:rsid w:val="463F4591"/>
    <w:rsid w:val="464F5D68"/>
    <w:rsid w:val="46866F6B"/>
    <w:rsid w:val="46CF766D"/>
    <w:rsid w:val="46D76F58"/>
    <w:rsid w:val="47413589"/>
    <w:rsid w:val="47644612"/>
    <w:rsid w:val="47812A5C"/>
    <w:rsid w:val="47B21EE6"/>
    <w:rsid w:val="47BD73A6"/>
    <w:rsid w:val="47D919D0"/>
    <w:rsid w:val="47D92571"/>
    <w:rsid w:val="47DE4742"/>
    <w:rsid w:val="481D611E"/>
    <w:rsid w:val="483F35E8"/>
    <w:rsid w:val="48527770"/>
    <w:rsid w:val="486B725D"/>
    <w:rsid w:val="4875160B"/>
    <w:rsid w:val="487E4B8D"/>
    <w:rsid w:val="48A8054B"/>
    <w:rsid w:val="48B301A0"/>
    <w:rsid w:val="48C5154A"/>
    <w:rsid w:val="48CF5BF8"/>
    <w:rsid w:val="48D41AF2"/>
    <w:rsid w:val="48EE1869"/>
    <w:rsid w:val="48F36E7F"/>
    <w:rsid w:val="48F6126A"/>
    <w:rsid w:val="49024146"/>
    <w:rsid w:val="495E244F"/>
    <w:rsid w:val="496B470A"/>
    <w:rsid w:val="49710F71"/>
    <w:rsid w:val="49862820"/>
    <w:rsid w:val="49911E8D"/>
    <w:rsid w:val="499E4911"/>
    <w:rsid w:val="49AF3BEE"/>
    <w:rsid w:val="49DA2749"/>
    <w:rsid w:val="49E90624"/>
    <w:rsid w:val="49EB5DA8"/>
    <w:rsid w:val="4A35401A"/>
    <w:rsid w:val="4A435BE4"/>
    <w:rsid w:val="4A77763C"/>
    <w:rsid w:val="4A806386"/>
    <w:rsid w:val="4A9666E7"/>
    <w:rsid w:val="4AB17819"/>
    <w:rsid w:val="4B013AD5"/>
    <w:rsid w:val="4B527270"/>
    <w:rsid w:val="4B5C2678"/>
    <w:rsid w:val="4BAE3534"/>
    <w:rsid w:val="4C3677AE"/>
    <w:rsid w:val="4C42599A"/>
    <w:rsid w:val="4C492122"/>
    <w:rsid w:val="4C745773"/>
    <w:rsid w:val="4CA80FE3"/>
    <w:rsid w:val="4CAE6BF0"/>
    <w:rsid w:val="4CEC1CE4"/>
    <w:rsid w:val="4D60033D"/>
    <w:rsid w:val="4D6C4121"/>
    <w:rsid w:val="4D704D11"/>
    <w:rsid w:val="4D7B580F"/>
    <w:rsid w:val="4D7C5C51"/>
    <w:rsid w:val="4D9B5790"/>
    <w:rsid w:val="4DD60AEF"/>
    <w:rsid w:val="4DF67792"/>
    <w:rsid w:val="4DFA4285"/>
    <w:rsid w:val="4E0F2296"/>
    <w:rsid w:val="4E2323F5"/>
    <w:rsid w:val="4E5B34FC"/>
    <w:rsid w:val="4E6C6DF9"/>
    <w:rsid w:val="4E741F5D"/>
    <w:rsid w:val="4EEC314D"/>
    <w:rsid w:val="4F007985"/>
    <w:rsid w:val="4F0F5E4C"/>
    <w:rsid w:val="4F165046"/>
    <w:rsid w:val="4F167A5A"/>
    <w:rsid w:val="4F1A4DDC"/>
    <w:rsid w:val="4F2904A7"/>
    <w:rsid w:val="4F2C55A4"/>
    <w:rsid w:val="4F561FA8"/>
    <w:rsid w:val="4F6E3703"/>
    <w:rsid w:val="4F774A62"/>
    <w:rsid w:val="4F7775E9"/>
    <w:rsid w:val="4F7A714B"/>
    <w:rsid w:val="4F875DCF"/>
    <w:rsid w:val="4FD64549"/>
    <w:rsid w:val="4FDD50F2"/>
    <w:rsid w:val="4FF0242B"/>
    <w:rsid w:val="4FF71E7E"/>
    <w:rsid w:val="50115DFC"/>
    <w:rsid w:val="50635D26"/>
    <w:rsid w:val="5081349C"/>
    <w:rsid w:val="509E01F5"/>
    <w:rsid w:val="50D82904"/>
    <w:rsid w:val="510A712B"/>
    <w:rsid w:val="51104BB4"/>
    <w:rsid w:val="5143452A"/>
    <w:rsid w:val="51650ED8"/>
    <w:rsid w:val="51A948EB"/>
    <w:rsid w:val="51C576E6"/>
    <w:rsid w:val="51C92E73"/>
    <w:rsid w:val="51DF2236"/>
    <w:rsid w:val="520956BD"/>
    <w:rsid w:val="52541237"/>
    <w:rsid w:val="52552958"/>
    <w:rsid w:val="528F5E6A"/>
    <w:rsid w:val="52AB3B09"/>
    <w:rsid w:val="52BC304F"/>
    <w:rsid w:val="52D40254"/>
    <w:rsid w:val="52DF3028"/>
    <w:rsid w:val="52E470A1"/>
    <w:rsid w:val="52EF6909"/>
    <w:rsid w:val="532F31A9"/>
    <w:rsid w:val="533249D7"/>
    <w:rsid w:val="53382DC7"/>
    <w:rsid w:val="533D768B"/>
    <w:rsid w:val="534722A1"/>
    <w:rsid w:val="536201B6"/>
    <w:rsid w:val="536D2863"/>
    <w:rsid w:val="537A4BDE"/>
    <w:rsid w:val="53961157"/>
    <w:rsid w:val="53D32224"/>
    <w:rsid w:val="54740EB1"/>
    <w:rsid w:val="548F3230"/>
    <w:rsid w:val="54B23468"/>
    <w:rsid w:val="54D240F5"/>
    <w:rsid w:val="54ED62B3"/>
    <w:rsid w:val="55054E82"/>
    <w:rsid w:val="551F3336"/>
    <w:rsid w:val="554931DA"/>
    <w:rsid w:val="559A2EA4"/>
    <w:rsid w:val="55B20C25"/>
    <w:rsid w:val="55E747D4"/>
    <w:rsid w:val="55E7748B"/>
    <w:rsid w:val="55EB5241"/>
    <w:rsid w:val="56135E24"/>
    <w:rsid w:val="562E2378"/>
    <w:rsid w:val="563B1120"/>
    <w:rsid w:val="56414225"/>
    <w:rsid w:val="567307F3"/>
    <w:rsid w:val="56744CA5"/>
    <w:rsid w:val="567551C0"/>
    <w:rsid w:val="56AE438F"/>
    <w:rsid w:val="56DE51EC"/>
    <w:rsid w:val="56E9366F"/>
    <w:rsid w:val="56FD3BE3"/>
    <w:rsid w:val="57340467"/>
    <w:rsid w:val="576D087D"/>
    <w:rsid w:val="576F5785"/>
    <w:rsid w:val="57B86012"/>
    <w:rsid w:val="57D75206"/>
    <w:rsid w:val="581568F6"/>
    <w:rsid w:val="58390DFC"/>
    <w:rsid w:val="583E5133"/>
    <w:rsid w:val="587D1146"/>
    <w:rsid w:val="588224C8"/>
    <w:rsid w:val="589E0094"/>
    <w:rsid w:val="58EE7D94"/>
    <w:rsid w:val="58F221DF"/>
    <w:rsid w:val="5923074E"/>
    <w:rsid w:val="59566380"/>
    <w:rsid w:val="595C281E"/>
    <w:rsid w:val="596268B2"/>
    <w:rsid w:val="597F3282"/>
    <w:rsid w:val="598F367A"/>
    <w:rsid w:val="59CE3D73"/>
    <w:rsid w:val="59E81184"/>
    <w:rsid w:val="5A160972"/>
    <w:rsid w:val="5A3E6377"/>
    <w:rsid w:val="5A4A559B"/>
    <w:rsid w:val="5A5147FB"/>
    <w:rsid w:val="5A79496C"/>
    <w:rsid w:val="5A956356"/>
    <w:rsid w:val="5AA620B6"/>
    <w:rsid w:val="5AA8091D"/>
    <w:rsid w:val="5AAD76FB"/>
    <w:rsid w:val="5AD40639"/>
    <w:rsid w:val="5B1959F3"/>
    <w:rsid w:val="5B217439"/>
    <w:rsid w:val="5B2956B1"/>
    <w:rsid w:val="5B333BAC"/>
    <w:rsid w:val="5B5F096E"/>
    <w:rsid w:val="5B5F44EF"/>
    <w:rsid w:val="5B643801"/>
    <w:rsid w:val="5B8D5A8D"/>
    <w:rsid w:val="5BB80D50"/>
    <w:rsid w:val="5BBD4854"/>
    <w:rsid w:val="5C027B7F"/>
    <w:rsid w:val="5C0A0741"/>
    <w:rsid w:val="5C1D574A"/>
    <w:rsid w:val="5C334E92"/>
    <w:rsid w:val="5C4A17AA"/>
    <w:rsid w:val="5C5C2FCC"/>
    <w:rsid w:val="5C7443F5"/>
    <w:rsid w:val="5C9D67A1"/>
    <w:rsid w:val="5CA6785B"/>
    <w:rsid w:val="5CC20B09"/>
    <w:rsid w:val="5CDA79DE"/>
    <w:rsid w:val="5CE83418"/>
    <w:rsid w:val="5CFC40FC"/>
    <w:rsid w:val="5D1D0E9B"/>
    <w:rsid w:val="5D3573F2"/>
    <w:rsid w:val="5D4F7439"/>
    <w:rsid w:val="5D5E4DB7"/>
    <w:rsid w:val="5D904993"/>
    <w:rsid w:val="5DD61628"/>
    <w:rsid w:val="5DEF49B8"/>
    <w:rsid w:val="5E0441C3"/>
    <w:rsid w:val="5E144BE5"/>
    <w:rsid w:val="5E1A63A4"/>
    <w:rsid w:val="5E1D72D9"/>
    <w:rsid w:val="5E32748A"/>
    <w:rsid w:val="5E7E3DD2"/>
    <w:rsid w:val="5E881556"/>
    <w:rsid w:val="5EB03F07"/>
    <w:rsid w:val="5EC52A45"/>
    <w:rsid w:val="5EF32261"/>
    <w:rsid w:val="5F236EA4"/>
    <w:rsid w:val="5F2E59E0"/>
    <w:rsid w:val="5FF15C69"/>
    <w:rsid w:val="601B0D3D"/>
    <w:rsid w:val="604947A0"/>
    <w:rsid w:val="60824919"/>
    <w:rsid w:val="60A54328"/>
    <w:rsid w:val="60BB052D"/>
    <w:rsid w:val="60C63C94"/>
    <w:rsid w:val="60DC111C"/>
    <w:rsid w:val="60DE3368"/>
    <w:rsid w:val="60EB233A"/>
    <w:rsid w:val="60F7241D"/>
    <w:rsid w:val="61113999"/>
    <w:rsid w:val="61217271"/>
    <w:rsid w:val="615D5386"/>
    <w:rsid w:val="61633289"/>
    <w:rsid w:val="61A03900"/>
    <w:rsid w:val="61D45FB1"/>
    <w:rsid w:val="61DE19A1"/>
    <w:rsid w:val="62134117"/>
    <w:rsid w:val="62180060"/>
    <w:rsid w:val="621902D5"/>
    <w:rsid w:val="623161EC"/>
    <w:rsid w:val="623253DF"/>
    <w:rsid w:val="62536BFB"/>
    <w:rsid w:val="62633656"/>
    <w:rsid w:val="6282007F"/>
    <w:rsid w:val="628F56E6"/>
    <w:rsid w:val="62996B41"/>
    <w:rsid w:val="62C85F44"/>
    <w:rsid w:val="62FF2E18"/>
    <w:rsid w:val="630B4F11"/>
    <w:rsid w:val="632F463C"/>
    <w:rsid w:val="63306E78"/>
    <w:rsid w:val="63521CD8"/>
    <w:rsid w:val="63626FD1"/>
    <w:rsid w:val="63640C4D"/>
    <w:rsid w:val="6369045E"/>
    <w:rsid w:val="637671AA"/>
    <w:rsid w:val="63E56902"/>
    <w:rsid w:val="641541F8"/>
    <w:rsid w:val="641B4E4C"/>
    <w:rsid w:val="641C56FF"/>
    <w:rsid w:val="642068BD"/>
    <w:rsid w:val="6429366B"/>
    <w:rsid w:val="645B726D"/>
    <w:rsid w:val="646B330C"/>
    <w:rsid w:val="64816351"/>
    <w:rsid w:val="64B75D94"/>
    <w:rsid w:val="64C47D1F"/>
    <w:rsid w:val="64CD796D"/>
    <w:rsid w:val="65114A69"/>
    <w:rsid w:val="654103B5"/>
    <w:rsid w:val="6590214C"/>
    <w:rsid w:val="65A61601"/>
    <w:rsid w:val="65AC569D"/>
    <w:rsid w:val="65C92FEA"/>
    <w:rsid w:val="65DA071A"/>
    <w:rsid w:val="65EB1D20"/>
    <w:rsid w:val="66273246"/>
    <w:rsid w:val="66530AC3"/>
    <w:rsid w:val="66572BF9"/>
    <w:rsid w:val="668C5F3F"/>
    <w:rsid w:val="668E0381"/>
    <w:rsid w:val="66B5531C"/>
    <w:rsid w:val="66D1050E"/>
    <w:rsid w:val="66D24F13"/>
    <w:rsid w:val="670342D9"/>
    <w:rsid w:val="67140294"/>
    <w:rsid w:val="67143206"/>
    <w:rsid w:val="67173AD1"/>
    <w:rsid w:val="67914166"/>
    <w:rsid w:val="67DF3D2E"/>
    <w:rsid w:val="67E80127"/>
    <w:rsid w:val="68622E8F"/>
    <w:rsid w:val="68820F2B"/>
    <w:rsid w:val="689C5636"/>
    <w:rsid w:val="68AE4C3C"/>
    <w:rsid w:val="68B311AA"/>
    <w:rsid w:val="68C71E2C"/>
    <w:rsid w:val="68CF6B69"/>
    <w:rsid w:val="68DE6509"/>
    <w:rsid w:val="68E94ED4"/>
    <w:rsid w:val="69011EBD"/>
    <w:rsid w:val="690F5DE6"/>
    <w:rsid w:val="692E4BF2"/>
    <w:rsid w:val="69575BA3"/>
    <w:rsid w:val="696D2CD1"/>
    <w:rsid w:val="69717F37"/>
    <w:rsid w:val="69880454"/>
    <w:rsid w:val="6A057F50"/>
    <w:rsid w:val="6A23621C"/>
    <w:rsid w:val="6A243D9B"/>
    <w:rsid w:val="6A2E358F"/>
    <w:rsid w:val="6A2F768C"/>
    <w:rsid w:val="6A30060E"/>
    <w:rsid w:val="6A36535E"/>
    <w:rsid w:val="6A8B299F"/>
    <w:rsid w:val="6A9B4D03"/>
    <w:rsid w:val="6AD60178"/>
    <w:rsid w:val="6ADF0EED"/>
    <w:rsid w:val="6AEC79FA"/>
    <w:rsid w:val="6B715260"/>
    <w:rsid w:val="6BA67A25"/>
    <w:rsid w:val="6BCA721D"/>
    <w:rsid w:val="6BCB386B"/>
    <w:rsid w:val="6BD23E9D"/>
    <w:rsid w:val="6BDA577E"/>
    <w:rsid w:val="6C661592"/>
    <w:rsid w:val="6C742F07"/>
    <w:rsid w:val="6C80538A"/>
    <w:rsid w:val="6CA87D12"/>
    <w:rsid w:val="6CAD29A8"/>
    <w:rsid w:val="6CB17511"/>
    <w:rsid w:val="6CB247D3"/>
    <w:rsid w:val="6CBD263E"/>
    <w:rsid w:val="6D085B48"/>
    <w:rsid w:val="6D2B39D1"/>
    <w:rsid w:val="6D431FC4"/>
    <w:rsid w:val="6D655CEE"/>
    <w:rsid w:val="6D7E0FC2"/>
    <w:rsid w:val="6D9035E3"/>
    <w:rsid w:val="6DA109B9"/>
    <w:rsid w:val="6DBE3898"/>
    <w:rsid w:val="6E172AFA"/>
    <w:rsid w:val="6E1E687A"/>
    <w:rsid w:val="6E493B2A"/>
    <w:rsid w:val="6E7064BC"/>
    <w:rsid w:val="6E735D58"/>
    <w:rsid w:val="6E986B5E"/>
    <w:rsid w:val="6EA304AB"/>
    <w:rsid w:val="6EB86DDA"/>
    <w:rsid w:val="6F25767A"/>
    <w:rsid w:val="6F33219C"/>
    <w:rsid w:val="6F39066C"/>
    <w:rsid w:val="6F590B06"/>
    <w:rsid w:val="6F81233F"/>
    <w:rsid w:val="6F8B490E"/>
    <w:rsid w:val="6F8B66CB"/>
    <w:rsid w:val="6FB86448"/>
    <w:rsid w:val="6FE40D44"/>
    <w:rsid w:val="6FE5193F"/>
    <w:rsid w:val="6FEB7870"/>
    <w:rsid w:val="700A7221"/>
    <w:rsid w:val="70390298"/>
    <w:rsid w:val="70822713"/>
    <w:rsid w:val="70B14D5E"/>
    <w:rsid w:val="70D05DE9"/>
    <w:rsid w:val="70D13174"/>
    <w:rsid w:val="70DD0191"/>
    <w:rsid w:val="70EC2F79"/>
    <w:rsid w:val="71037A28"/>
    <w:rsid w:val="711F45B0"/>
    <w:rsid w:val="713A123F"/>
    <w:rsid w:val="713B2DFA"/>
    <w:rsid w:val="716140E8"/>
    <w:rsid w:val="71687B5B"/>
    <w:rsid w:val="717A57AC"/>
    <w:rsid w:val="717E037B"/>
    <w:rsid w:val="71A469C4"/>
    <w:rsid w:val="71D12B19"/>
    <w:rsid w:val="71DD4760"/>
    <w:rsid w:val="71F2298A"/>
    <w:rsid w:val="724452C3"/>
    <w:rsid w:val="724B47FF"/>
    <w:rsid w:val="726E468E"/>
    <w:rsid w:val="7285033A"/>
    <w:rsid w:val="728C559F"/>
    <w:rsid w:val="72A74D4D"/>
    <w:rsid w:val="72C967A9"/>
    <w:rsid w:val="735E1EFF"/>
    <w:rsid w:val="73856ACB"/>
    <w:rsid w:val="73D66758"/>
    <w:rsid w:val="73EB44CD"/>
    <w:rsid w:val="740464F5"/>
    <w:rsid w:val="752D3475"/>
    <w:rsid w:val="75306BE1"/>
    <w:rsid w:val="75310FE9"/>
    <w:rsid w:val="757301AF"/>
    <w:rsid w:val="758127C3"/>
    <w:rsid w:val="75DB6B62"/>
    <w:rsid w:val="75F264EC"/>
    <w:rsid w:val="75FF5D78"/>
    <w:rsid w:val="7610256F"/>
    <w:rsid w:val="76200A04"/>
    <w:rsid w:val="767833EF"/>
    <w:rsid w:val="76A84CBC"/>
    <w:rsid w:val="76CD16FE"/>
    <w:rsid w:val="76D5118A"/>
    <w:rsid w:val="76DF6E98"/>
    <w:rsid w:val="76E518CE"/>
    <w:rsid w:val="76EE5FBB"/>
    <w:rsid w:val="775D3592"/>
    <w:rsid w:val="77A62561"/>
    <w:rsid w:val="77CB50C8"/>
    <w:rsid w:val="77CE017C"/>
    <w:rsid w:val="780A57D4"/>
    <w:rsid w:val="78204033"/>
    <w:rsid w:val="78244C21"/>
    <w:rsid w:val="78395A26"/>
    <w:rsid w:val="787224B2"/>
    <w:rsid w:val="787938FC"/>
    <w:rsid w:val="787A2A24"/>
    <w:rsid w:val="78CE73DE"/>
    <w:rsid w:val="78E54844"/>
    <w:rsid w:val="79290A35"/>
    <w:rsid w:val="794F14E8"/>
    <w:rsid w:val="79674112"/>
    <w:rsid w:val="79892D1A"/>
    <w:rsid w:val="79AB7776"/>
    <w:rsid w:val="79BF0C4D"/>
    <w:rsid w:val="79D57D57"/>
    <w:rsid w:val="79E40305"/>
    <w:rsid w:val="7A0A02F0"/>
    <w:rsid w:val="7A2B5BC9"/>
    <w:rsid w:val="7A4B413C"/>
    <w:rsid w:val="7A582091"/>
    <w:rsid w:val="7A7E6DE7"/>
    <w:rsid w:val="7AB65BB0"/>
    <w:rsid w:val="7AC1201C"/>
    <w:rsid w:val="7AE715D4"/>
    <w:rsid w:val="7AF64073"/>
    <w:rsid w:val="7B1046C3"/>
    <w:rsid w:val="7B270B55"/>
    <w:rsid w:val="7B2F2052"/>
    <w:rsid w:val="7B706698"/>
    <w:rsid w:val="7B84648F"/>
    <w:rsid w:val="7B913A11"/>
    <w:rsid w:val="7B934E7F"/>
    <w:rsid w:val="7BA7765F"/>
    <w:rsid w:val="7BC95036"/>
    <w:rsid w:val="7BCC510C"/>
    <w:rsid w:val="7BE81B55"/>
    <w:rsid w:val="7BF934E5"/>
    <w:rsid w:val="7BFD065E"/>
    <w:rsid w:val="7C164934"/>
    <w:rsid w:val="7C1F359C"/>
    <w:rsid w:val="7C345209"/>
    <w:rsid w:val="7C583360"/>
    <w:rsid w:val="7C730814"/>
    <w:rsid w:val="7C8370BE"/>
    <w:rsid w:val="7C866F61"/>
    <w:rsid w:val="7CA860CB"/>
    <w:rsid w:val="7CB22B68"/>
    <w:rsid w:val="7CC156B8"/>
    <w:rsid w:val="7CCC5147"/>
    <w:rsid w:val="7CE12FAE"/>
    <w:rsid w:val="7D030585"/>
    <w:rsid w:val="7D197CA0"/>
    <w:rsid w:val="7D350F96"/>
    <w:rsid w:val="7D6E7AC4"/>
    <w:rsid w:val="7D7C14CD"/>
    <w:rsid w:val="7DA76A2F"/>
    <w:rsid w:val="7DC16935"/>
    <w:rsid w:val="7DC97164"/>
    <w:rsid w:val="7DCA5592"/>
    <w:rsid w:val="7E0D2E3F"/>
    <w:rsid w:val="7E4C17F1"/>
    <w:rsid w:val="7E4D5A6F"/>
    <w:rsid w:val="7E60713A"/>
    <w:rsid w:val="7E7C6F92"/>
    <w:rsid w:val="7E832490"/>
    <w:rsid w:val="7E920413"/>
    <w:rsid w:val="7EEC0DE3"/>
    <w:rsid w:val="7F050090"/>
    <w:rsid w:val="7F361D5B"/>
    <w:rsid w:val="7F3A0B85"/>
    <w:rsid w:val="7F6122BA"/>
    <w:rsid w:val="7F682702"/>
    <w:rsid w:val="7F83599C"/>
    <w:rsid w:val="7FB472A6"/>
    <w:rsid w:val="7FCD7885"/>
    <w:rsid w:val="7FD84883"/>
    <w:rsid w:val="7FFA0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unhideWhenUsed/>
    <w:qFormat/>
    <w:uiPriority w:val="9"/>
    <w:pPr>
      <w:ind w:firstLine="480"/>
      <w:outlineLvl w:val="2"/>
    </w:pPr>
    <w:rPr>
      <w:color w:val="000000"/>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qFormat/>
    <w:uiPriority w:val="0"/>
    <w:pPr>
      <w:ind w:firstLine="420"/>
      <w:textAlignment w:val="center"/>
    </w:pPr>
    <w:rPr>
      <w:rFonts w:ascii="Calibri" w:hAnsi="Calibri"/>
      <w:szCs w:val="20"/>
    </w:rPr>
  </w:style>
  <w:style w:type="paragraph" w:styleId="8">
    <w:name w:val="annotation text"/>
    <w:basedOn w:val="1"/>
    <w:link w:val="56"/>
    <w:qFormat/>
    <w:uiPriority w:val="0"/>
    <w:pPr>
      <w:jc w:val="left"/>
    </w:p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styleId="10">
    <w:name w:val="List Bullet 5"/>
    <w:basedOn w:val="1"/>
    <w:qFormat/>
    <w:uiPriority w:val="0"/>
    <w:pPr>
      <w:numPr>
        <w:ilvl w:val="0"/>
        <w:numId w:val="1"/>
      </w:numPr>
    </w:pPr>
  </w:style>
  <w:style w:type="paragraph" w:styleId="11">
    <w:name w:val="Body Text Indent"/>
    <w:basedOn w:val="1"/>
    <w:qFormat/>
    <w:uiPriority w:val="0"/>
    <w:pPr>
      <w:spacing w:after="120"/>
      <w:ind w:left="420" w:leftChars="200"/>
    </w:pPr>
    <w:rPr>
      <w:kern w:val="0"/>
      <w:szCs w:val="20"/>
    </w:rPr>
  </w:style>
  <w:style w:type="paragraph" w:styleId="12">
    <w:name w:val="Block Text"/>
    <w:basedOn w:val="1"/>
    <w:qFormat/>
    <w:uiPriority w:val="99"/>
    <w:pPr>
      <w:spacing w:line="460" w:lineRule="exact"/>
      <w:ind w:left="-540" w:leftChars="-257" w:right="-60" w:firstLine="510"/>
    </w:pPr>
    <w:rPr>
      <w:sz w:val="28"/>
    </w:rPr>
  </w:style>
  <w:style w:type="paragraph" w:styleId="13">
    <w:name w:val="Plain Text"/>
    <w:basedOn w:val="1"/>
    <w:next w:val="14"/>
    <w:unhideWhenUsed/>
    <w:qFormat/>
    <w:uiPriority w:val="99"/>
    <w:pPr>
      <w:widowControl/>
      <w:jc w:val="left"/>
    </w:pPr>
    <w:rPr>
      <w:rFonts w:ascii="宋体" w:hAnsi="Courier New"/>
      <w:kern w:val="0"/>
      <w:szCs w:val="20"/>
    </w:rPr>
  </w:style>
  <w:style w:type="paragraph" w:styleId="14">
    <w:name w:val="List Number 5"/>
    <w:basedOn w:val="1"/>
    <w:qFormat/>
    <w:uiPriority w:val="0"/>
    <w:pPr>
      <w:numPr>
        <w:ilvl w:val="0"/>
        <w:numId w:val="2"/>
      </w:numPr>
    </w:pPr>
  </w:style>
  <w:style w:type="paragraph" w:styleId="15">
    <w:name w:val="Date"/>
    <w:basedOn w:val="1"/>
    <w:next w:val="1"/>
    <w:qFormat/>
    <w:uiPriority w:val="0"/>
    <w:pPr>
      <w:ind w:left="100" w:leftChars="2500"/>
    </w:pPr>
    <w:rPr>
      <w:kern w:val="0"/>
      <w:sz w:val="24"/>
      <w:szCs w:val="20"/>
    </w:rPr>
  </w:style>
  <w:style w:type="paragraph" w:styleId="16">
    <w:name w:val="Body Text Indent 2"/>
    <w:basedOn w:val="1"/>
    <w:qFormat/>
    <w:uiPriority w:val="99"/>
    <w:pPr>
      <w:autoSpaceDE w:val="0"/>
      <w:autoSpaceDN w:val="0"/>
      <w:adjustRightInd w:val="0"/>
      <w:spacing w:after="120" w:line="480" w:lineRule="auto"/>
      <w:ind w:left="420" w:leftChars="200" w:firstLine="0" w:firstLineChars="0"/>
      <w:jc w:val="left"/>
    </w:pPr>
    <w:rPr>
      <w:rFonts w:ascii="Arial" w:hAnsi="Arial"/>
      <w:kern w:val="0"/>
    </w:rPr>
  </w:style>
  <w:style w:type="paragraph" w:styleId="17">
    <w:name w:val="Balloon Text"/>
    <w:basedOn w:val="1"/>
    <w:link w:val="58"/>
    <w:qFormat/>
    <w:uiPriority w:val="0"/>
    <w:pPr>
      <w:spacing w:line="240" w:lineRule="auto"/>
    </w:pPr>
    <w:rPr>
      <w:sz w:val="18"/>
      <w:szCs w:val="18"/>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uiPriority w:val="0"/>
  </w:style>
  <w:style w:type="paragraph" w:styleId="21">
    <w:name w:val="List"/>
    <w:basedOn w:val="1"/>
    <w:next w:val="1"/>
    <w:semiHidden/>
    <w:unhideWhenUsed/>
    <w:qFormat/>
    <w:uiPriority w:val="99"/>
    <w:pPr>
      <w:ind w:left="200" w:hanging="200" w:hangingChars="200"/>
      <w:contextualSpacing/>
    </w:pPr>
  </w:style>
  <w:style w:type="paragraph" w:styleId="22">
    <w:name w:val="table of figures"/>
    <w:basedOn w:val="1"/>
    <w:next w:val="1"/>
    <w:unhideWhenUsed/>
    <w:qFormat/>
    <w:uiPriority w:val="99"/>
    <w:pPr>
      <w:jc w:val="center"/>
    </w:pPr>
    <w:rPr>
      <w:sz w:val="24"/>
    </w:rPr>
  </w:style>
  <w:style w:type="paragraph" w:styleId="23">
    <w:name w:val="Body Text 2"/>
    <w:basedOn w:val="1"/>
    <w:unhideWhenUsed/>
    <w:qFormat/>
    <w:uiPriority w:val="99"/>
    <w:pPr>
      <w:spacing w:after="120" w:line="480" w:lineRule="auto"/>
    </w:pPr>
  </w:style>
  <w:style w:type="paragraph" w:styleId="24">
    <w:name w:val="Normal (Web)"/>
    <w:basedOn w:val="1"/>
    <w:qFormat/>
    <w:uiPriority w:val="99"/>
    <w:pPr>
      <w:widowControl/>
      <w:spacing w:before="100" w:beforeAutospacing="1" w:after="100" w:afterAutospacing="1"/>
      <w:jc w:val="left"/>
    </w:pPr>
    <w:rPr>
      <w:rFonts w:ascii="宋体" w:hAnsi="宋体"/>
      <w:kern w:val="0"/>
      <w:szCs w:val="20"/>
    </w:rPr>
  </w:style>
  <w:style w:type="paragraph" w:styleId="25">
    <w:name w:val="index 1"/>
    <w:basedOn w:val="1"/>
    <w:next w:val="1"/>
    <w:qFormat/>
    <w:uiPriority w:val="0"/>
    <w:rPr>
      <w:szCs w:val="22"/>
    </w:rPr>
  </w:style>
  <w:style w:type="paragraph" w:styleId="26">
    <w:name w:val="annotation subject"/>
    <w:basedOn w:val="8"/>
    <w:next w:val="8"/>
    <w:link w:val="57"/>
    <w:qFormat/>
    <w:uiPriority w:val="0"/>
    <w:rPr>
      <w:b/>
      <w:bCs/>
    </w:rPr>
  </w:style>
  <w:style w:type="paragraph" w:styleId="27">
    <w:name w:val="Body Text First Indent"/>
    <w:basedOn w:val="9"/>
    <w:next w:val="1"/>
    <w:qFormat/>
    <w:uiPriority w:val="0"/>
    <w:pPr>
      <w:spacing w:line="240" w:lineRule="auto"/>
      <w:ind w:firstLine="420"/>
    </w:pPr>
    <w:rPr>
      <w:sz w:val="21"/>
    </w:rPr>
  </w:style>
  <w:style w:type="paragraph" w:styleId="28">
    <w:name w:val="Body Text First Indent 2"/>
    <w:basedOn w:val="11"/>
    <w:next w:val="11"/>
    <w:qFormat/>
    <w:uiPriority w:val="0"/>
    <w:pPr>
      <w:ind w:firstLine="420"/>
    </w:pPr>
    <w:rPr>
      <w:kern w:val="2"/>
      <w:sz w:val="21"/>
      <w:szCs w:val="24"/>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qFormat/>
    <w:uiPriority w:val="0"/>
  </w:style>
  <w:style w:type="character" w:styleId="34">
    <w:name w:val="Hyperlink"/>
    <w:basedOn w:val="31"/>
    <w:qFormat/>
    <w:uiPriority w:val="0"/>
    <w:rPr>
      <w:color w:val="0000FF"/>
      <w:u w:val="single"/>
    </w:rPr>
  </w:style>
  <w:style w:type="character" w:styleId="35">
    <w:name w:val="annotation reference"/>
    <w:basedOn w:val="31"/>
    <w:qFormat/>
    <w:uiPriority w:val="0"/>
    <w:rPr>
      <w:sz w:val="21"/>
      <w:szCs w:val="21"/>
    </w:rPr>
  </w:style>
  <w:style w:type="paragraph" w:customStyle="1" w:styleId="36">
    <w:name w:val="1"/>
    <w:basedOn w:val="20"/>
    <w:next w:val="23"/>
    <w:autoRedefine/>
    <w:semiHidden/>
    <w:qFormat/>
    <w:uiPriority w:val="0"/>
    <w:pPr>
      <w:tabs>
        <w:tab w:val="right" w:leader="dot" w:pos="8296"/>
      </w:tabs>
    </w:pPr>
  </w:style>
  <w:style w:type="paragraph" w:customStyle="1" w:styleId="37">
    <w:name w:val="表头"/>
    <w:basedOn w:val="38"/>
    <w:next w:val="1"/>
    <w:link w:val="63"/>
    <w:qFormat/>
    <w:uiPriority w:val="0"/>
    <w:pPr>
      <w:adjustRightInd w:val="0"/>
      <w:spacing w:line="240" w:lineRule="auto"/>
      <w:ind w:firstLine="0" w:firstLineChars="0"/>
      <w:jc w:val="center"/>
      <w:textAlignment w:val="baseline"/>
    </w:pPr>
    <w:rPr>
      <w:rFonts w:ascii="黑体"/>
      <w:b/>
      <w:kern w:val="0"/>
      <w:sz w:val="21"/>
      <w:szCs w:val="20"/>
    </w:rPr>
  </w:style>
  <w:style w:type="paragraph" w:customStyle="1" w:styleId="38">
    <w:name w:val="表格"/>
    <w:basedOn w:val="39"/>
    <w:next w:val="1"/>
    <w:qFormat/>
    <w:uiPriority w:val="0"/>
    <w:pPr>
      <w:adjustRightInd w:val="0"/>
      <w:snapToGrid w:val="0"/>
      <w:spacing w:beforeLines="10" w:afterLines="10" w:line="259" w:lineRule="auto"/>
      <w:jc w:val="center"/>
    </w:pPr>
    <w:rPr>
      <w:rFonts w:ascii="宋体"/>
      <w:kern w:val="0"/>
      <w:szCs w:val="20"/>
    </w:rPr>
  </w:style>
  <w:style w:type="paragraph" w:customStyle="1" w:styleId="39">
    <w:name w:val="Table Paragraph"/>
    <w:basedOn w:val="1"/>
    <w:autoRedefine/>
    <w:qFormat/>
    <w:uiPriority w:val="1"/>
    <w:rPr>
      <w:rFonts w:ascii="宋体" w:hAnsi="宋体" w:eastAsia="宋体" w:cs="宋体"/>
      <w:lang w:val="zh-CN" w:eastAsia="zh-CN" w:bidi="zh-CN"/>
    </w:rPr>
  </w:style>
  <w:style w:type="paragraph" w:customStyle="1" w:styleId="40">
    <w:name w:val="样式 标题 2 + 首行缩进:  2 字符"/>
    <w:basedOn w:val="4"/>
    <w:next w:val="41"/>
    <w:autoRedefine/>
    <w:qFormat/>
    <w:uiPriority w:val="0"/>
    <w:pPr>
      <w:widowControl/>
      <w:autoSpaceDE/>
      <w:autoSpaceDN/>
      <w:spacing w:before="0" w:after="0" w:line="300" w:lineRule="auto"/>
      <w:ind w:left="1320" w:hanging="420"/>
      <w:outlineLvl w:val="1"/>
    </w:pPr>
    <w:rPr>
      <w:rFonts w:ascii="Times New Roman" w:eastAsia="黑体"/>
      <w:b w:val="0"/>
      <w:sz w:val="30"/>
    </w:rPr>
  </w:style>
  <w:style w:type="paragraph" w:customStyle="1" w:styleId="41">
    <w:name w:val="图号"/>
    <w:next w:val="42"/>
    <w:autoRedefine/>
    <w:qFormat/>
    <w:uiPriority w:val="0"/>
    <w:pPr>
      <w:widowControl w:val="0"/>
      <w:spacing w:line="529" w:lineRule="exact"/>
      <w:ind w:left="198"/>
    </w:pPr>
    <w:rPr>
      <w:rFonts w:ascii="宋体" w:hAnsi="Times New Roman" w:eastAsia="宋体" w:cs="Times New Roman"/>
      <w:b/>
      <w:sz w:val="24"/>
      <w:lang w:val="en-US" w:eastAsia="zh-CN" w:bidi="ar-SA"/>
    </w:rPr>
  </w:style>
  <w:style w:type="paragraph" w:customStyle="1" w:styleId="42">
    <w:name w:val=" Char Char Char Char Char Char Char Char Char Char Char Char Char Char Char Char Char Char Char Char Char Char"/>
    <w:basedOn w:val="1"/>
    <w:next w:val="1"/>
    <w:autoRedefine/>
    <w:qFormat/>
    <w:uiPriority w:val="0"/>
    <w:pPr>
      <w:widowControl w:val="0"/>
      <w:autoSpaceDE/>
      <w:autoSpaceDN/>
      <w:spacing w:before="0" w:after="0" w:line="360" w:lineRule="auto"/>
      <w:ind w:left="0" w:firstLine="200"/>
    </w:pPr>
    <w:rPr>
      <w:rFonts w:ascii="宋体" w:eastAsia="宋体"/>
      <w:sz w:val="24"/>
    </w:rPr>
  </w:style>
  <w:style w:type="paragraph" w:customStyle="1" w:styleId="43">
    <w:name w:val="样式 正文文本缩进 + 行距: 1.5 倍行距"/>
    <w:basedOn w:val="11"/>
    <w:autoRedefine/>
    <w:qFormat/>
    <w:uiPriority w:val="0"/>
    <w:pPr>
      <w:spacing w:line="360" w:lineRule="auto"/>
      <w:ind w:firstLine="560"/>
    </w:pPr>
    <w:rPr>
      <w:rFonts w:ascii="Times New Roman" w:hAnsi="Times New Roman" w:eastAsia="宋体" w:cs="宋体"/>
      <w:sz w:val="28"/>
    </w:rPr>
  </w:style>
  <w:style w:type="paragraph" w:customStyle="1" w:styleId="44">
    <w:name w:val="Default"/>
    <w:basedOn w:val="45"/>
    <w:next w:val="1"/>
    <w:qFormat/>
    <w:uiPriority w:val="0"/>
    <w:pPr>
      <w:autoSpaceDE w:val="0"/>
      <w:autoSpaceDN w:val="0"/>
    </w:pPr>
    <w:rPr>
      <w:rFonts w:ascii="宋体" w:hAnsi="Calibri" w:cs="宋体"/>
      <w:sz w:val="24"/>
      <w:szCs w:val="24"/>
    </w:rPr>
  </w:style>
  <w:style w:type="paragraph" w:customStyle="1" w:styleId="4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6">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47">
    <w:name w:val="表格文字2"/>
    <w:basedOn w:val="1"/>
    <w:link w:val="61"/>
    <w:qFormat/>
    <w:uiPriority w:val="0"/>
    <w:pPr>
      <w:tabs>
        <w:tab w:val="left" w:pos="277"/>
        <w:tab w:val="left" w:pos="600"/>
        <w:tab w:val="left" w:pos="780"/>
        <w:tab w:val="left" w:pos="2517"/>
      </w:tabs>
      <w:adjustRightInd w:val="0"/>
      <w:spacing w:line="240" w:lineRule="auto"/>
      <w:ind w:firstLine="0" w:firstLineChars="0"/>
      <w:jc w:val="center"/>
    </w:pPr>
    <w:rPr>
      <w:rFonts w:ascii="宋体" w:hAnsi="宋体" w:cs="宋体"/>
      <w:bCs/>
      <w:spacing w:val="5"/>
      <w:kern w:val="0"/>
      <w:sz w:val="20"/>
      <w:szCs w:val="21"/>
    </w:rPr>
  </w:style>
  <w:style w:type="paragraph" w:customStyle="1" w:styleId="48">
    <w:name w:val="li_正文"/>
    <w:basedOn w:val="1"/>
    <w:qFormat/>
    <w:uiPriority w:val="0"/>
    <w:pPr>
      <w:jc w:val="left"/>
    </w:pPr>
  </w:style>
  <w:style w:type="paragraph" w:customStyle="1" w:styleId="49">
    <w:name w:val="表格内容格式"/>
    <w:basedOn w:val="1"/>
    <w:qFormat/>
    <w:uiPriority w:val="0"/>
    <w:pPr>
      <w:tabs>
        <w:tab w:val="left" w:pos="1755"/>
      </w:tabs>
      <w:adjustRightInd w:val="0"/>
      <w:ind w:firstLine="0" w:firstLineChars="0"/>
      <w:jc w:val="center"/>
      <w:textAlignment w:val="baseline"/>
    </w:pPr>
    <w:rPr>
      <w:rFonts w:ascii="宋体" w:hAnsi="宋体"/>
      <w:snapToGrid w:val="0"/>
      <w:w w:val="95"/>
      <w:kern w:val="0"/>
      <w:sz w:val="21"/>
      <w:szCs w:val="20"/>
    </w:rPr>
  </w:style>
  <w:style w:type="paragraph" w:customStyle="1" w:styleId="50">
    <w:name w:val="文本"/>
    <w:basedOn w:val="1"/>
    <w:qFormat/>
    <w:uiPriority w:val="0"/>
    <w:pPr>
      <w:adjustRightInd w:val="0"/>
      <w:snapToGrid w:val="0"/>
      <w:spacing w:line="520" w:lineRule="exact"/>
    </w:pPr>
    <w:rPr>
      <w:rFonts w:ascii="宋体" w:hAnsi="Calibri" w:eastAsia="仿宋_GB2312"/>
      <w:kern w:val="0"/>
      <w:lang w:bidi="ug-CN"/>
    </w:rPr>
  </w:style>
  <w:style w:type="paragraph" w:customStyle="1" w:styleId="51">
    <w:name w:val="。正文格式"/>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52">
    <w:name w:val="表题"/>
    <w:basedOn w:val="1"/>
    <w:next w:val="1"/>
    <w:qFormat/>
    <w:uiPriority w:val="0"/>
    <w:pPr>
      <w:spacing w:before="50" w:beforeLines="50"/>
      <w:jc w:val="center"/>
      <w:textAlignment w:val="center"/>
    </w:pPr>
    <w:rPr>
      <w:b/>
      <w:szCs w:val="22"/>
    </w:rPr>
  </w:style>
  <w:style w:type="paragraph" w:customStyle="1" w:styleId="53">
    <w:name w:val="正文2"/>
    <w:basedOn w:val="9"/>
    <w:link w:val="62"/>
    <w:qFormat/>
    <w:uiPriority w:val="0"/>
    <w:pPr>
      <w:widowControl w:val="0"/>
      <w:snapToGrid/>
      <w:spacing w:before="0" w:after="0" w:line="360" w:lineRule="auto"/>
      <w:ind w:right="0"/>
    </w:pPr>
    <w:rPr>
      <w:kern w:val="2"/>
      <w:sz w:val="24"/>
      <w:szCs w:val="22"/>
    </w:rPr>
  </w:style>
  <w:style w:type="paragraph" w:customStyle="1" w:styleId="54">
    <w:name w:val="。。。。。。。。。2级标题"/>
    <w:qFormat/>
    <w:uiPriority w:val="0"/>
    <w:pPr>
      <w:keepNext/>
      <w:keepLines/>
      <w:widowControl w:val="0"/>
      <w:tabs>
        <w:tab w:val="left" w:pos="425"/>
        <w:tab w:val="left" w:pos="567"/>
      </w:tabs>
      <w:spacing w:line="360" w:lineRule="auto"/>
      <w:jc w:val="both"/>
      <w:outlineLvl w:val="1"/>
    </w:pPr>
    <w:rPr>
      <w:rFonts w:ascii="Times New Roman" w:hAnsi="Times New Roman" w:eastAsia="宋体" w:cs="Times New Roman"/>
      <w:b/>
      <w:bCs/>
      <w:kern w:val="2"/>
      <w:sz w:val="30"/>
      <w:szCs w:val="30"/>
      <w:lang w:val="en-US" w:eastAsia="zh-CN" w:bidi="ar-SA"/>
    </w:rPr>
  </w:style>
  <w:style w:type="paragraph" w:customStyle="1" w:styleId="55">
    <w:name w:val="图名、表头"/>
    <w:next w:val="1"/>
    <w:unhideWhenUsed/>
    <w:qFormat/>
    <w:uiPriority w:val="0"/>
    <w:pPr>
      <w:widowControl w:val="0"/>
      <w:ind w:firstLine="640" w:firstLineChars="200"/>
      <w:jc w:val="center"/>
    </w:pPr>
    <w:rPr>
      <w:rFonts w:ascii="Times New Roman" w:hAnsi="Times New Roman" w:eastAsia="宋体" w:cs="Times New Roman"/>
      <w:b/>
      <w:color w:val="FF0000"/>
      <w:kern w:val="2"/>
      <w:sz w:val="24"/>
      <w:lang w:val="en-US" w:eastAsia="zh-CN" w:bidi="ar-SA"/>
    </w:rPr>
  </w:style>
  <w:style w:type="character" w:customStyle="1" w:styleId="56">
    <w:name w:val="批注文字 字符"/>
    <w:basedOn w:val="31"/>
    <w:link w:val="8"/>
    <w:qFormat/>
    <w:uiPriority w:val="0"/>
    <w:rPr>
      <w:kern w:val="2"/>
      <w:sz w:val="24"/>
      <w:szCs w:val="24"/>
    </w:rPr>
  </w:style>
  <w:style w:type="character" w:customStyle="1" w:styleId="57">
    <w:name w:val="批注主题 字符"/>
    <w:basedOn w:val="56"/>
    <w:link w:val="26"/>
    <w:qFormat/>
    <w:uiPriority w:val="0"/>
    <w:rPr>
      <w:b/>
      <w:bCs/>
      <w:kern w:val="2"/>
      <w:sz w:val="24"/>
      <w:szCs w:val="24"/>
    </w:rPr>
  </w:style>
  <w:style w:type="character" w:customStyle="1" w:styleId="58">
    <w:name w:val="批注框文本 字符"/>
    <w:basedOn w:val="31"/>
    <w:link w:val="17"/>
    <w:qFormat/>
    <w:uiPriority w:val="0"/>
    <w:rPr>
      <w:kern w:val="2"/>
      <w:sz w:val="18"/>
      <w:szCs w:val="18"/>
    </w:rPr>
  </w:style>
  <w:style w:type="paragraph" w:styleId="59">
    <w:name w:val="List Paragraph"/>
    <w:basedOn w:val="1"/>
    <w:qFormat/>
    <w:uiPriority w:val="34"/>
    <w:pPr>
      <w:ind w:firstLine="420"/>
    </w:pPr>
  </w:style>
  <w:style w:type="paragraph" w:customStyle="1" w:styleId="60">
    <w:name w:val="正文(首行缩进)"/>
    <w:basedOn w:val="1"/>
    <w:next w:val="4"/>
    <w:qFormat/>
    <w:uiPriority w:val="0"/>
    <w:pPr>
      <w:ind w:firstLine="480"/>
    </w:pPr>
    <w:rPr>
      <w:bCs/>
      <w:color w:val="000000"/>
      <w:kern w:val="24"/>
    </w:rPr>
  </w:style>
  <w:style w:type="character" w:customStyle="1" w:styleId="61">
    <w:name w:val="表格文字2 Char"/>
    <w:link w:val="47"/>
    <w:qFormat/>
    <w:locked/>
    <w:uiPriority w:val="0"/>
    <w:rPr>
      <w:rFonts w:ascii="宋体" w:hAnsi="宋体" w:cs="宋体"/>
      <w:bCs/>
      <w:spacing w:val="5"/>
      <w:szCs w:val="21"/>
    </w:rPr>
  </w:style>
  <w:style w:type="character" w:customStyle="1" w:styleId="62">
    <w:name w:val="正文2 Char"/>
    <w:basedOn w:val="31"/>
    <w:link w:val="53"/>
    <w:qFormat/>
    <w:uiPriority w:val="0"/>
    <w:rPr>
      <w:kern w:val="2"/>
      <w:sz w:val="24"/>
      <w:szCs w:val="22"/>
    </w:rPr>
  </w:style>
  <w:style w:type="character" w:customStyle="1" w:styleId="63">
    <w:name w:val="表头 Char"/>
    <w:link w:val="37"/>
    <w:qFormat/>
    <w:uiPriority w:val="0"/>
    <w:rPr>
      <w:rFonts w:ascii="黑体"/>
      <w:b/>
      <w:sz w:val="21"/>
    </w:rPr>
  </w:style>
  <w:style w:type="paragraph" w:customStyle="1" w:styleId="64">
    <w:name w:val="正文1"/>
    <w:basedOn w:val="1"/>
    <w:link w:val="65"/>
    <w:qFormat/>
    <w:uiPriority w:val="0"/>
    <w:pPr>
      <w:ind w:firstLine="482" w:firstLineChars="0"/>
    </w:pPr>
    <w:rPr>
      <w:kern w:val="0"/>
      <w:szCs w:val="22"/>
      <w:lang w:val="zh-CN"/>
    </w:rPr>
  </w:style>
  <w:style w:type="character" w:customStyle="1" w:styleId="65">
    <w:name w:val="正文 Char"/>
    <w:basedOn w:val="31"/>
    <w:link w:val="64"/>
    <w:qFormat/>
    <w:uiPriority w:val="0"/>
    <w:rPr>
      <w:sz w:val="24"/>
      <w:szCs w:val="22"/>
      <w:lang w:val="zh-CN"/>
    </w:rPr>
  </w:style>
  <w:style w:type="paragraph" w:customStyle="1" w:styleId="66">
    <w:name w:val="图表名称"/>
    <w:basedOn w:val="1"/>
    <w:next w:val="1"/>
    <w:qFormat/>
    <w:uiPriority w:val="0"/>
    <w:pPr>
      <w:autoSpaceDE w:val="0"/>
      <w:autoSpaceDN w:val="0"/>
      <w:adjustRightInd w:val="0"/>
      <w:snapToGrid w:val="0"/>
      <w:spacing w:line="240" w:lineRule="auto"/>
      <w:ind w:firstLine="0" w:firstLineChars="0"/>
      <w:jc w:val="center"/>
      <w:textAlignment w:val="baseline"/>
    </w:pPr>
    <w:rPr>
      <w:b/>
      <w:kern w:val="0"/>
      <w:szCs w:val="20"/>
    </w:rPr>
  </w:style>
  <w:style w:type="paragraph" w:styleId="67">
    <w:name w:val="No Spacing"/>
    <w:basedOn w:val="21"/>
    <w:next w:val="1"/>
    <w:qFormat/>
    <w:uiPriority w:val="1"/>
    <w:pPr>
      <w:spacing w:line="240" w:lineRule="auto"/>
      <w:ind w:left="0" w:firstLine="0" w:firstLineChars="0"/>
      <w:jc w:val="center"/>
    </w:pPr>
    <w:rPr>
      <w:color w:val="000000" w:themeColor="text1"/>
      <w:sz w:val="21"/>
      <w:szCs w:val="21"/>
      <w14:textFill>
        <w14:solidFill>
          <w14:schemeClr w14:val="tx1"/>
        </w14:solidFill>
      </w14:textFill>
    </w:rPr>
  </w:style>
  <w:style w:type="paragraph" w:customStyle="1" w:styleId="68">
    <w:name w:val="表中文字"/>
    <w:basedOn w:val="1"/>
    <w:qFormat/>
    <w:uiPriority w:val="0"/>
    <w:pPr>
      <w:tabs>
        <w:tab w:val="left" w:pos="2700"/>
      </w:tabs>
      <w:spacing w:line="240" w:lineRule="auto"/>
      <w:ind w:firstLine="0" w:firstLineChars="0"/>
      <w:jc w:val="center"/>
      <w:textAlignment w:val="center"/>
    </w:pPr>
    <w:rPr>
      <w:sz w:val="21"/>
      <w:szCs w:val="21"/>
    </w:rPr>
  </w:style>
  <w:style w:type="paragraph" w:customStyle="1" w:styleId="69">
    <w:name w:val="正文格式"/>
    <w:basedOn w:val="27"/>
    <w:next w:val="70"/>
    <w:qFormat/>
    <w:uiPriority w:val="0"/>
    <w:pPr>
      <w:adjustRightInd w:val="0"/>
      <w:snapToGrid w:val="0"/>
      <w:spacing w:line="360" w:lineRule="auto"/>
      <w:ind w:firstLine="560"/>
    </w:pPr>
    <w:rPr>
      <w:rFonts w:cs="Times New Roman"/>
      <w:color w:val="000000"/>
      <w:lang w:val="zh-CN"/>
    </w:rPr>
  </w:style>
  <w:style w:type="paragraph" w:customStyle="1" w:styleId="70">
    <w:name w:val="_Style 5"/>
    <w:basedOn w:val="1"/>
    <w:qFormat/>
    <w:uiPriority w:val="0"/>
    <w:pPr>
      <w:ind w:firstLine="420"/>
    </w:pPr>
    <w:rPr>
      <w:rFonts w:ascii="Calibri" w:hAnsi="Calibri"/>
    </w:rPr>
  </w:style>
  <w:style w:type="paragraph" w:customStyle="1" w:styleId="71">
    <w:name w:val="翔一表格"/>
    <w:basedOn w:val="1"/>
    <w:next w:val="1"/>
    <w:semiHidden/>
    <w:qFormat/>
    <w:uiPriority w:val="0"/>
    <w:pPr>
      <w:autoSpaceDE w:val="0"/>
      <w:autoSpaceDN w:val="0"/>
      <w:jc w:val="center"/>
      <w:textAlignment w:val="baseline"/>
    </w:pPr>
    <w:rPr>
      <w:kern w:val="0"/>
      <w:szCs w:val="21"/>
    </w:rPr>
  </w:style>
  <w:style w:type="character" w:customStyle="1" w:styleId="72">
    <w:name w:val="批注引用1"/>
    <w:qFormat/>
    <w:uiPriority w:val="0"/>
    <w:rPr>
      <w:sz w:val="21"/>
      <w:szCs w:val="21"/>
    </w:rPr>
  </w:style>
  <w:style w:type="paragraph" w:customStyle="1" w:styleId="73">
    <w:name w:val="表头及表尾"/>
    <w:autoRedefine/>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szCs w:val="21"/>
      <w:lang w:val="en-US" w:eastAsia="zh-CN" w:bidi="ar-SA"/>
    </w:rPr>
  </w:style>
  <w:style w:type="paragraph" w:customStyle="1" w:styleId="74">
    <w:name w:val="Table Text"/>
    <w:basedOn w:val="1"/>
    <w:semiHidden/>
    <w:qFormat/>
    <w:uiPriority w:val="0"/>
    <w:rPr>
      <w:rFonts w:ascii="宋体" w:hAnsi="宋体" w:eastAsia="宋体" w:cs="宋体"/>
      <w:sz w:val="24"/>
      <w:szCs w:val="24"/>
      <w:lang w:val="en-US" w:eastAsia="en-US" w:bidi="ar-SA"/>
    </w:rPr>
  </w:style>
  <w:style w:type="table" w:customStyle="1" w:styleId="75">
    <w:name w:val="Table Normal"/>
    <w:semiHidden/>
    <w:unhideWhenUsed/>
    <w:qFormat/>
    <w:uiPriority w:val="0"/>
    <w:tblPr>
      <w:tblCellMar>
        <w:top w:w="0" w:type="dxa"/>
        <w:left w:w="0" w:type="dxa"/>
        <w:bottom w:w="0" w:type="dxa"/>
        <w:right w:w="0" w:type="dxa"/>
      </w:tblCellMar>
    </w:tblPr>
  </w:style>
  <w:style w:type="paragraph" w:customStyle="1" w:styleId="76">
    <w:name w:val="表格文字"/>
    <w:basedOn w:val="27"/>
    <w:next w:val="1"/>
    <w:qFormat/>
    <w:uiPriority w:val="0"/>
    <w:pPr>
      <w:adjustRightInd w:val="0"/>
      <w:snapToGrid w:val="0"/>
      <w:spacing w:line="240" w:lineRule="auto"/>
      <w:ind w:firstLine="0" w:firstLineChars="0"/>
      <w:jc w:val="center"/>
    </w:pPr>
    <w:rPr>
      <w:rFonts w:eastAsiaTheme="minorEastAsia"/>
      <w:bCs/>
      <w:color w:val="000000"/>
      <w:kern w:val="0"/>
      <w:sz w:val="21"/>
      <w:szCs w:val="28"/>
    </w:rPr>
  </w:style>
  <w:style w:type="character" w:customStyle="1" w:styleId="77">
    <w:name w:val="font51"/>
    <w:basedOn w:val="31"/>
    <w:qFormat/>
    <w:uiPriority w:val="0"/>
    <w:rPr>
      <w:rFonts w:hint="default" w:ascii="Times New Roman" w:hAnsi="Times New Roman" w:cs="Times New Roman"/>
      <w:color w:val="000000"/>
      <w:sz w:val="21"/>
      <w:szCs w:val="21"/>
      <w:u w:val="none"/>
    </w:rPr>
  </w:style>
  <w:style w:type="character" w:customStyle="1" w:styleId="78">
    <w:name w:val="font21"/>
    <w:basedOn w:val="31"/>
    <w:qFormat/>
    <w:uiPriority w:val="0"/>
    <w:rPr>
      <w:rFonts w:hint="eastAsia" w:ascii="宋体" w:hAnsi="宋体" w:eastAsia="宋体" w:cs="宋体"/>
      <w:color w:val="000000"/>
      <w:sz w:val="24"/>
      <w:szCs w:val="24"/>
      <w:u w:val="none"/>
    </w:rPr>
  </w:style>
  <w:style w:type="character" w:customStyle="1" w:styleId="79">
    <w:name w:val="font11"/>
    <w:basedOn w:val="31"/>
    <w:qFormat/>
    <w:uiPriority w:val="0"/>
    <w:rPr>
      <w:rFonts w:hint="default" w:ascii="Times New Roman" w:hAnsi="Times New Roman" w:cs="Times New Roman"/>
      <w:color w:val="000000"/>
      <w:sz w:val="24"/>
      <w:szCs w:val="24"/>
      <w:u w:val="none"/>
    </w:rPr>
  </w:style>
  <w:style w:type="character" w:customStyle="1" w:styleId="80">
    <w:name w:val="font31"/>
    <w:basedOn w:val="31"/>
    <w:qFormat/>
    <w:uiPriority w:val="0"/>
    <w:rPr>
      <w:rFonts w:hint="default" w:ascii="Times New Roman" w:hAnsi="Times New Roman" w:cs="Times New Roman"/>
      <w:color w:val="000000"/>
      <w:sz w:val="29"/>
      <w:szCs w:val="29"/>
      <w:u w:val="none"/>
      <w:vertAlign w:val="superscript"/>
    </w:rPr>
  </w:style>
  <w:style w:type="paragraph" w:customStyle="1" w:styleId="81">
    <w:name w:val="正文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2">
    <w:name w:val="京山洗沙正文"/>
    <w:basedOn w:val="1"/>
    <w:autoRedefine/>
    <w:qFormat/>
    <w:uiPriority w:val="0"/>
    <w:rPr>
      <w:szCs w:val="21"/>
    </w:rPr>
  </w:style>
  <w:style w:type="paragraph" w:customStyle="1" w:styleId="83">
    <w:name w:val="环评正文"/>
    <w:basedOn w:val="1"/>
    <w:qFormat/>
    <w:uiPriority w:val="0"/>
    <w:pPr>
      <w:autoSpaceDE w:val="0"/>
      <w:autoSpaceDN w:val="0"/>
      <w:adjustRightInd w:val="0"/>
      <w:snapToGrid w:val="0"/>
      <w:spacing w:line="360" w:lineRule="auto"/>
      <w:ind w:firstLine="200" w:firstLineChars="200"/>
    </w:pPr>
    <w:rPr>
      <w:kern w:val="0"/>
      <w:sz w:val="24"/>
    </w:rPr>
  </w:style>
  <w:style w:type="paragraph" w:customStyle="1" w:styleId="84">
    <w:name w:val="表格样式"/>
    <w:basedOn w:val="1"/>
    <w:qFormat/>
    <w:uiPriority w:val="0"/>
    <w:pPr>
      <w:autoSpaceDE w:val="0"/>
      <w:autoSpaceDN w:val="0"/>
      <w:spacing w:line="360" w:lineRule="exact"/>
      <w:jc w:val="center"/>
    </w:pPr>
    <w:rPr>
      <w:rFonts w:ascii="Times New Roman" w:hAnsi="Times New Roman"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17265</Words>
  <Characters>18612</Characters>
  <Lines>1</Lines>
  <Paragraphs>1</Paragraphs>
  <TotalTime>8</TotalTime>
  <ScaleCrop>false</ScaleCrop>
  <LinksUpToDate>false</LinksUpToDate>
  <CharactersWithSpaces>18772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2022-01-26T02:39:00Z</dcterms:created>
  <dc:creator>admin</dc:creator>
  <cp:lastModifiedBy>WPS_1562320662</cp:lastModifiedBy>
  <cp:lastPrinted>2025-09-25T08:01:00Z</cp:lastPrinted>
  <dcterms:modified xsi:type="dcterms:W3CDTF">2025-12-08T11:10:26Z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CF1465CC64314EF1BEB6BE1ECEE0F5EA_13</vt:lpwstr>
  </property>
  <property fmtid="{D5CDD505-2E9C-101B-9397-08002B2CF9AE}" pid="4" name="KSOTemplateDocerSaveRecord">
    <vt:lpwstr>eyJoZGlkIjoiNGRhODgyNjQ5YTE5ZjFmYjE2NDEwOTU4OTE2MjU0N2MiLCJ1c2VySWQiOiI2MDE2NTE5NzkifQ==</vt:lpwstr>
  </property>
</Properties>
</file>