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86918">
      <w:pPr>
        <w:rPr>
          <w:rFonts w:ascii="仿宋_GB2312" w:hAnsi="仿宋_GB2312" w:eastAsia="仿宋_GB2312" w:cs="仿宋_GB2312"/>
          <w:sz w:val="36"/>
          <w:szCs w:val="36"/>
        </w:rPr>
      </w:pPr>
    </w:p>
    <w:p w14:paraId="45C9B1B3">
      <w:pPr>
        <w:rPr>
          <w:rFonts w:ascii="仿宋_GB2312" w:hAnsi="仿宋_GB2312" w:eastAsia="仿宋_GB2312" w:cs="仿宋_GB2312"/>
          <w:sz w:val="36"/>
          <w:szCs w:val="36"/>
        </w:rPr>
      </w:pPr>
    </w:p>
    <w:p w14:paraId="40441F42">
      <w:pPr>
        <w:rPr>
          <w:rFonts w:ascii="仿宋_GB2312" w:hAnsi="仿宋_GB2312" w:eastAsia="仿宋_GB2312" w:cs="仿宋_GB2312"/>
          <w:sz w:val="36"/>
          <w:szCs w:val="36"/>
        </w:rPr>
      </w:pPr>
    </w:p>
    <w:p w14:paraId="15057C0C">
      <w:pPr>
        <w:rPr>
          <w:rFonts w:ascii="仿宋_GB2312" w:hAnsi="仿宋_GB2312" w:eastAsia="仿宋_GB2312" w:cs="仿宋_GB2312"/>
          <w:sz w:val="36"/>
          <w:szCs w:val="36"/>
        </w:rPr>
      </w:pPr>
    </w:p>
    <w:p w14:paraId="5ADD406D">
      <w:pPr>
        <w:rPr>
          <w:rFonts w:hint="eastAsia" w:ascii="仿宋_GB2312" w:hAnsi="仿宋_GB2312" w:eastAsia="仿宋_GB2312" w:cs="仿宋_GB2312"/>
          <w:sz w:val="36"/>
          <w:szCs w:val="36"/>
        </w:rPr>
      </w:pPr>
    </w:p>
    <w:p w14:paraId="5525873E">
      <w:pPr>
        <w:adjustRightInd w:val="0"/>
        <w:snapToGrid w:val="0"/>
        <w:jc w:val="center"/>
        <w:outlineLvl w:val="0"/>
        <w:rPr>
          <w:rFonts w:hint="eastAsia" w:ascii="方正小标宋_GBK" w:eastAsia="方正小标宋_GBK"/>
          <w:bCs/>
          <w:sz w:val="72"/>
          <w:szCs w:val="72"/>
        </w:rPr>
      </w:pPr>
      <w:r>
        <w:rPr>
          <w:rFonts w:hint="eastAsia" w:ascii="方正小标宋_GBK" w:eastAsia="方正小标宋_GBK"/>
          <w:bCs/>
          <w:sz w:val="72"/>
          <w:szCs w:val="72"/>
        </w:rPr>
        <w:t>建设项目环境影响报告表</w:t>
      </w:r>
    </w:p>
    <w:p w14:paraId="3047E871">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（污染影响类）</w:t>
      </w:r>
    </w:p>
    <w:p w14:paraId="26BD0C4A">
      <w:pPr>
        <w:adjustRightInd w:val="0"/>
        <w:snapToGrid w:val="0"/>
        <w:spacing w:line="288" w:lineRule="auto"/>
        <w:jc w:val="center"/>
        <w:outlineLvl w:val="0"/>
        <w:rPr>
          <w:rFonts w:ascii="华文仿宋" w:hAnsi="华文仿宋" w:eastAsia="华文仿宋" w:cs="华文仿宋"/>
          <w:color w:val="000000"/>
          <w:kern w:val="44"/>
          <w:sz w:val="44"/>
          <w:szCs w:val="44"/>
        </w:rPr>
      </w:pPr>
    </w:p>
    <w:p w14:paraId="221B2F92">
      <w:pPr>
        <w:jc w:val="center"/>
        <w:rPr>
          <w:rFonts w:eastAsia="仿宋"/>
          <w:sz w:val="52"/>
          <w:szCs w:val="52"/>
        </w:rPr>
      </w:pPr>
    </w:p>
    <w:p w14:paraId="6A2E7AB3">
      <w:pPr>
        <w:ind w:firstLine="1040"/>
        <w:rPr>
          <w:rFonts w:eastAsia="仿宋"/>
          <w:sz w:val="44"/>
          <w:szCs w:val="44"/>
        </w:rPr>
      </w:pPr>
    </w:p>
    <w:p w14:paraId="4E3954C5">
      <w:pPr>
        <w:ind w:firstLine="1040"/>
        <w:rPr>
          <w:rFonts w:eastAsia="仿宋"/>
          <w:sz w:val="44"/>
          <w:szCs w:val="44"/>
        </w:rPr>
      </w:pPr>
    </w:p>
    <w:p w14:paraId="302026E5">
      <w:pPr>
        <w:ind w:firstLine="1040"/>
        <w:rPr>
          <w:rFonts w:eastAsia="仿宋"/>
          <w:sz w:val="44"/>
          <w:szCs w:val="44"/>
        </w:rPr>
      </w:pPr>
    </w:p>
    <w:p w14:paraId="441436EB">
      <w:pPr>
        <w:ind w:firstLine="1040"/>
        <w:rPr>
          <w:rFonts w:eastAsia="仿宋"/>
          <w:sz w:val="44"/>
          <w:szCs w:val="44"/>
        </w:rPr>
      </w:pPr>
    </w:p>
    <w:p w14:paraId="33F86C08">
      <w:pPr>
        <w:keepNext w:val="0"/>
        <w:keepLines w:val="0"/>
        <w:pageBreakBefore w:val="0"/>
        <w:widowControl w:val="0"/>
        <w:kinsoku/>
        <w:wordWrap/>
        <w:overflowPunct/>
        <w:topLinePunct w:val="0"/>
        <w:autoSpaceDE/>
        <w:autoSpaceDN/>
        <w:bidi w:val="0"/>
        <w:adjustRightInd w:val="0"/>
        <w:snapToGrid w:val="0"/>
        <w:spacing w:line="288" w:lineRule="auto"/>
        <w:ind w:left="2518" w:leftChars="342" w:hanging="1800" w:hangingChars="500"/>
        <w:textAlignment w:val="auto"/>
        <w:rPr>
          <w:rFonts w:hint="eastAsia" w:ascii="仿宋_GB2312" w:eastAsia="仿宋_GB2312"/>
          <w:sz w:val="36"/>
          <w:szCs w:val="36"/>
          <w:u w:val="single"/>
        </w:rPr>
      </w:pPr>
      <w:r>
        <w:rPr>
          <w:rFonts w:hint="eastAsia" w:ascii="仿宋_GB2312" w:eastAsia="仿宋_GB2312"/>
          <w:sz w:val="36"/>
          <w:szCs w:val="36"/>
        </w:rPr>
        <w:t>项目名称：</w:t>
      </w:r>
      <w:r>
        <w:rPr>
          <w:rFonts w:hint="eastAsia" w:ascii="仿宋_GB2312" w:eastAsia="仿宋_GB2312"/>
          <w:sz w:val="36"/>
          <w:szCs w:val="36"/>
          <w:u w:val="single"/>
        </w:rPr>
        <w:t xml:space="preserve">和静县溪腾新型建材有限公司年产新型环保节能建材生产60万吨建设项目 </w:t>
      </w:r>
    </w:p>
    <w:p w14:paraId="4B0A6470">
      <w:pPr>
        <w:keepNext w:val="0"/>
        <w:keepLines w:val="0"/>
        <w:pageBreakBefore w:val="0"/>
        <w:widowControl w:val="0"/>
        <w:kinsoku/>
        <w:wordWrap/>
        <w:overflowPunct/>
        <w:topLinePunct w:val="0"/>
        <w:autoSpaceDE/>
        <w:autoSpaceDN/>
        <w:bidi w:val="0"/>
        <w:adjustRightInd w:val="0"/>
        <w:snapToGrid w:val="0"/>
        <w:spacing w:line="288" w:lineRule="auto"/>
        <w:ind w:firstLine="720" w:firstLineChars="200"/>
        <w:textAlignment w:val="auto"/>
        <w:rPr>
          <w:rFonts w:hint="eastAsia" w:ascii="仿宋_GB2312" w:eastAsia="仿宋_GB2312"/>
          <w:sz w:val="36"/>
          <w:szCs w:val="36"/>
          <w:u w:val="single"/>
        </w:rPr>
      </w:pPr>
      <w:r>
        <w:rPr>
          <w:rFonts w:hint="eastAsia" w:ascii="仿宋_GB2312" w:eastAsia="仿宋_GB2312"/>
          <w:sz w:val="36"/>
          <w:szCs w:val="36"/>
        </w:rPr>
        <w:t>建设单位（盖章）：</w:t>
      </w:r>
      <w:r>
        <w:rPr>
          <w:rFonts w:hint="eastAsia" w:ascii="仿宋_GB2312" w:eastAsia="仿宋_GB2312"/>
          <w:sz w:val="36"/>
          <w:szCs w:val="36"/>
          <w:u w:val="single"/>
        </w:rPr>
        <w:t xml:space="preserve"> 和静县溪腾新型建材有限公司</w:t>
      </w:r>
    </w:p>
    <w:p w14:paraId="4D67F331">
      <w:pPr>
        <w:keepNext w:val="0"/>
        <w:keepLines w:val="0"/>
        <w:pageBreakBefore w:val="0"/>
        <w:widowControl w:val="0"/>
        <w:kinsoku/>
        <w:wordWrap/>
        <w:overflowPunct/>
        <w:topLinePunct w:val="0"/>
        <w:autoSpaceDE/>
        <w:autoSpaceDN/>
        <w:bidi w:val="0"/>
        <w:adjustRightInd w:val="0"/>
        <w:snapToGrid w:val="0"/>
        <w:spacing w:line="288" w:lineRule="auto"/>
        <w:ind w:firstLine="720" w:firstLineChars="200"/>
        <w:textAlignment w:val="auto"/>
        <w:rPr>
          <w:rFonts w:hint="eastAsia"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lang w:val="en-US" w:eastAsia="zh-CN"/>
        </w:rPr>
        <w:t>2025年10月</w:t>
      </w:r>
      <w:r>
        <w:rPr>
          <w:rFonts w:ascii="仿宋_GB2312" w:eastAsia="仿宋_GB2312"/>
          <w:sz w:val="36"/>
          <w:szCs w:val="36"/>
          <w:u w:val="single"/>
        </w:rPr>
        <w:t xml:space="preserve">                 </w:t>
      </w:r>
      <w:r>
        <w:rPr>
          <w:rFonts w:hint="eastAsia" w:ascii="仿宋_GB2312" w:eastAsia="仿宋_GB2312"/>
          <w:sz w:val="36"/>
          <w:szCs w:val="36"/>
          <w:u w:val="single"/>
        </w:rPr>
        <w:t xml:space="preserve"> </w:t>
      </w:r>
    </w:p>
    <w:p w14:paraId="4D3A982E">
      <w:pPr>
        <w:adjustRightInd w:val="0"/>
        <w:snapToGrid w:val="0"/>
        <w:spacing w:line="288" w:lineRule="auto"/>
        <w:ind w:firstLine="1040"/>
        <w:rPr>
          <w:rFonts w:ascii="仿宋_GB2312" w:eastAsia="仿宋_GB2312"/>
          <w:sz w:val="36"/>
          <w:szCs w:val="36"/>
          <w:u w:val="single"/>
        </w:rPr>
      </w:pPr>
      <w:bookmarkStart w:id="0" w:name="_Hlk57884087"/>
    </w:p>
    <w:p w14:paraId="03A3ED28">
      <w:pPr>
        <w:adjustRightInd w:val="0"/>
        <w:snapToGrid w:val="0"/>
        <w:spacing w:line="288" w:lineRule="auto"/>
        <w:ind w:firstLine="1040"/>
        <w:rPr>
          <w:rFonts w:ascii="仿宋_GB2312" w:eastAsia="仿宋_GB2312"/>
          <w:sz w:val="36"/>
          <w:szCs w:val="36"/>
        </w:rPr>
      </w:pPr>
    </w:p>
    <w:p w14:paraId="03B59A38">
      <w:pPr>
        <w:adjustRightInd w:val="0"/>
        <w:snapToGrid w:val="0"/>
        <w:spacing w:line="288" w:lineRule="auto"/>
        <w:ind w:firstLine="1040"/>
        <w:rPr>
          <w:rFonts w:ascii="仿宋_GB2312" w:eastAsia="仿宋_GB2312"/>
          <w:sz w:val="36"/>
          <w:szCs w:val="36"/>
        </w:rPr>
      </w:pPr>
    </w:p>
    <w:p w14:paraId="3B1CBC55">
      <w:pPr>
        <w:adjustRightInd w:val="0"/>
        <w:snapToGrid w:val="0"/>
        <w:spacing w:line="288" w:lineRule="auto"/>
        <w:ind w:firstLine="1040"/>
        <w:rPr>
          <w:rFonts w:hint="eastAsia" w:ascii="仿宋_GB2312" w:eastAsia="仿宋_GB2312"/>
          <w:sz w:val="36"/>
          <w:szCs w:val="36"/>
        </w:rPr>
      </w:pPr>
    </w:p>
    <w:p w14:paraId="4DF35F0F">
      <w:pPr>
        <w:adjustRightInd w:val="0"/>
        <w:snapToGrid w:val="0"/>
        <w:spacing w:line="288" w:lineRule="auto"/>
        <w:ind w:firstLine="1040"/>
        <w:rPr>
          <w:rFonts w:hint="eastAsia" w:ascii="仿宋_GB2312" w:eastAsia="仿宋_GB2312"/>
          <w:sz w:val="36"/>
          <w:szCs w:val="36"/>
        </w:rPr>
      </w:pPr>
    </w:p>
    <w:bookmarkEnd w:id="0"/>
    <w:p w14:paraId="77E59A75">
      <w:pPr>
        <w:adjustRightInd w:val="0"/>
        <w:snapToGrid w:val="0"/>
        <w:spacing w:line="288" w:lineRule="auto"/>
        <w:jc w:val="center"/>
        <w:rPr>
          <w:rFonts w:ascii="仿宋_GB2312" w:eastAsia="仿宋_GB2312"/>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r>
        <w:rPr>
          <w:rFonts w:hint="eastAsia" w:ascii="楷体_GB2312" w:eastAsia="楷体_GB2312"/>
          <w:sz w:val="36"/>
          <w:szCs w:val="36"/>
        </w:rPr>
        <w:t>中华人民共和国生态环境部制</w:t>
      </w:r>
    </w:p>
    <w:p w14:paraId="1C6A06DD">
      <w:pPr>
        <w:sectPr>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p>
    <w:p w14:paraId="2F9A9DF0">
      <w:pPr>
        <w:pStyle w:val="19"/>
        <w:jc w:val="center"/>
        <w:outlineLvl w:val="0"/>
        <w:rPr>
          <w:rFonts w:hint="eastAsia" w:ascii="黑体" w:hAnsi="黑体" w:eastAsia="黑体"/>
          <w:snapToGrid w:val="0"/>
          <w:sz w:val="30"/>
          <w:szCs w:val="30"/>
        </w:rPr>
      </w:pPr>
      <w:r>
        <w:rPr>
          <w:rFonts w:hint="eastAsia" w:ascii="黑体" w:hAnsi="黑体" w:eastAsia="黑体"/>
          <w:snapToGrid w:val="0"/>
          <w:sz w:val="30"/>
          <w:szCs w:val="30"/>
        </w:rPr>
        <w:t>一、建设项目基本情况</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344"/>
        <w:gridCol w:w="2985"/>
        <w:gridCol w:w="2212"/>
        <w:gridCol w:w="2639"/>
      </w:tblGrid>
      <w:tr w14:paraId="33E2B7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97" w:hRule="atLeast"/>
          <w:jc w:val="center"/>
        </w:trPr>
        <w:tc>
          <w:tcPr>
            <w:tcW w:w="1344" w:type="dxa"/>
            <w:tcBorders>
              <w:tl2br w:val="nil"/>
              <w:tr2bl w:val="nil"/>
            </w:tcBorders>
            <w:noWrap w:val="0"/>
            <w:tcMar>
              <w:top w:w="16" w:type="dxa"/>
              <w:left w:w="16" w:type="dxa"/>
              <w:right w:w="16" w:type="dxa"/>
            </w:tcMar>
            <w:vAlign w:val="center"/>
          </w:tcPr>
          <w:p w14:paraId="6664D4DA">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建设项目名称</w:t>
            </w:r>
          </w:p>
        </w:tc>
        <w:tc>
          <w:tcPr>
            <w:tcW w:w="7836" w:type="dxa"/>
            <w:gridSpan w:val="3"/>
            <w:tcBorders>
              <w:tl2br w:val="nil"/>
              <w:tr2bl w:val="nil"/>
            </w:tcBorders>
            <w:noWrap w:val="0"/>
            <w:vAlign w:val="center"/>
          </w:tcPr>
          <w:p w14:paraId="4F51B7F2">
            <w:pPr>
              <w:adjustRightInd w:val="0"/>
              <w:snapToGrid w:val="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和静县溪腾新型建材有限公司年产新型环保节能建材生产60万吨建设项目</w:t>
            </w:r>
          </w:p>
        </w:tc>
      </w:tr>
      <w:tr w14:paraId="14E366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1344" w:type="dxa"/>
            <w:tcBorders>
              <w:tl2br w:val="nil"/>
              <w:tr2bl w:val="nil"/>
            </w:tcBorders>
            <w:noWrap w:val="0"/>
            <w:tcMar>
              <w:top w:w="16" w:type="dxa"/>
              <w:left w:w="16" w:type="dxa"/>
              <w:right w:w="16" w:type="dxa"/>
            </w:tcMar>
            <w:vAlign w:val="center"/>
          </w:tcPr>
          <w:p w14:paraId="11799D89">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项目代码</w:t>
            </w:r>
          </w:p>
        </w:tc>
        <w:tc>
          <w:tcPr>
            <w:tcW w:w="7836" w:type="dxa"/>
            <w:gridSpan w:val="3"/>
            <w:tcBorders>
              <w:tl2br w:val="nil"/>
              <w:tr2bl w:val="nil"/>
            </w:tcBorders>
            <w:noWrap w:val="0"/>
            <w:vAlign w:val="center"/>
          </w:tcPr>
          <w:p w14:paraId="1FB46C19">
            <w:pPr>
              <w:adjustRightInd w:val="0"/>
              <w:snapToGrid w:val="0"/>
              <w:jc w:val="center"/>
              <w:rPr>
                <w:rFonts w:hint="default" w:ascii="Times New Roman" w:hAnsi="Times New Roman" w:eastAsia="宋体" w:cs="Times New Roman"/>
                <w:sz w:val="24"/>
                <w:szCs w:val="24"/>
                <w:highlight w:val="none"/>
              </w:rPr>
            </w:pPr>
            <w:bookmarkStart w:id="21" w:name="_GoBack"/>
            <w:bookmarkEnd w:id="21"/>
          </w:p>
        </w:tc>
      </w:tr>
      <w:tr w14:paraId="6ED1FA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1344" w:type="dxa"/>
            <w:tcBorders>
              <w:tl2br w:val="nil"/>
              <w:tr2bl w:val="nil"/>
            </w:tcBorders>
            <w:noWrap w:val="0"/>
            <w:tcMar>
              <w:top w:w="16" w:type="dxa"/>
              <w:left w:w="16" w:type="dxa"/>
              <w:right w:w="16" w:type="dxa"/>
            </w:tcMar>
            <w:vAlign w:val="center"/>
          </w:tcPr>
          <w:p w14:paraId="6617F370">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建设单位联系人</w:t>
            </w:r>
          </w:p>
        </w:tc>
        <w:tc>
          <w:tcPr>
            <w:tcW w:w="2985" w:type="dxa"/>
            <w:tcBorders>
              <w:tl2br w:val="nil"/>
              <w:tr2bl w:val="nil"/>
            </w:tcBorders>
            <w:noWrap w:val="0"/>
            <w:vAlign w:val="center"/>
          </w:tcPr>
          <w:p w14:paraId="36CFCF96">
            <w:pPr>
              <w:adjustRightInd w:val="0"/>
              <w:snapToGrid w:val="0"/>
              <w:jc w:val="center"/>
              <w:rPr>
                <w:rFonts w:hint="default" w:ascii="Times New Roman" w:hAnsi="Times New Roman" w:eastAsia="宋体" w:cs="Times New Roman"/>
                <w:sz w:val="24"/>
                <w:szCs w:val="24"/>
                <w:highlight w:val="none"/>
                <w:lang w:val="en-US" w:eastAsia="zh-CN"/>
              </w:rPr>
            </w:pPr>
          </w:p>
        </w:tc>
        <w:tc>
          <w:tcPr>
            <w:tcW w:w="2212" w:type="dxa"/>
            <w:tcBorders>
              <w:tl2br w:val="nil"/>
              <w:tr2bl w:val="nil"/>
            </w:tcBorders>
            <w:noWrap w:val="0"/>
            <w:vAlign w:val="center"/>
          </w:tcPr>
          <w:p w14:paraId="3EA16745">
            <w:pPr>
              <w:adjustRightInd w:val="0"/>
              <w:snapToGrid w:val="0"/>
              <w:jc w:val="center"/>
              <w:rPr>
                <w:rFonts w:hint="default" w:ascii="Times New Roman" w:hAnsi="Times New Roman" w:eastAsia="宋体" w:cs="Times New Roman"/>
                <w:sz w:val="24"/>
                <w:szCs w:val="24"/>
                <w:highlight w:val="none"/>
              </w:rPr>
            </w:pPr>
          </w:p>
        </w:tc>
        <w:tc>
          <w:tcPr>
            <w:tcW w:w="2639" w:type="dxa"/>
            <w:tcBorders>
              <w:tl2br w:val="nil"/>
              <w:tr2bl w:val="nil"/>
            </w:tcBorders>
            <w:noWrap w:val="0"/>
            <w:vAlign w:val="center"/>
          </w:tcPr>
          <w:p w14:paraId="2EDE1479">
            <w:pPr>
              <w:adjustRightInd w:val="0"/>
              <w:snapToGrid w:val="0"/>
              <w:jc w:val="center"/>
              <w:rPr>
                <w:rFonts w:hint="default" w:ascii="Times New Roman" w:hAnsi="Times New Roman" w:eastAsia="宋体" w:cs="Times New Roman"/>
                <w:sz w:val="24"/>
                <w:szCs w:val="24"/>
                <w:highlight w:val="none"/>
              </w:rPr>
            </w:pPr>
          </w:p>
        </w:tc>
      </w:tr>
      <w:tr w14:paraId="0EE4B2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97" w:hRule="atLeast"/>
          <w:jc w:val="center"/>
        </w:trPr>
        <w:tc>
          <w:tcPr>
            <w:tcW w:w="1344" w:type="dxa"/>
            <w:tcBorders>
              <w:tl2br w:val="nil"/>
              <w:tr2bl w:val="nil"/>
            </w:tcBorders>
            <w:noWrap w:val="0"/>
            <w:tcMar>
              <w:top w:w="16" w:type="dxa"/>
              <w:left w:w="16" w:type="dxa"/>
              <w:right w:w="16" w:type="dxa"/>
            </w:tcMar>
            <w:vAlign w:val="center"/>
          </w:tcPr>
          <w:p w14:paraId="3623C60E">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建设地点</w:t>
            </w:r>
          </w:p>
        </w:tc>
        <w:tc>
          <w:tcPr>
            <w:tcW w:w="7836" w:type="dxa"/>
            <w:gridSpan w:val="3"/>
            <w:tcBorders>
              <w:tl2br w:val="nil"/>
              <w:tr2bl w:val="nil"/>
            </w:tcBorders>
            <w:noWrap w:val="0"/>
            <w:vAlign w:val="center"/>
          </w:tcPr>
          <w:p w14:paraId="275BB096">
            <w:pPr>
              <w:adjustRightInd w:val="0"/>
              <w:snapToGrid w:val="0"/>
              <w:jc w:val="center"/>
              <w:rPr>
                <w:rFonts w:hint="default" w:ascii="Times New Roman" w:hAnsi="Times New Roman" w:eastAsia="宋体" w:cs="Times New Roman"/>
                <w:sz w:val="24"/>
                <w:szCs w:val="24"/>
                <w:highlight w:val="none"/>
                <w:lang w:val="en-US" w:eastAsia="zh-CN"/>
              </w:rPr>
            </w:pPr>
          </w:p>
        </w:tc>
      </w:tr>
      <w:tr w14:paraId="5CA966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1344" w:type="dxa"/>
            <w:tcBorders>
              <w:tl2br w:val="nil"/>
              <w:tr2bl w:val="nil"/>
            </w:tcBorders>
            <w:noWrap w:val="0"/>
            <w:tcMar>
              <w:top w:w="16" w:type="dxa"/>
              <w:left w:w="16" w:type="dxa"/>
              <w:right w:w="16" w:type="dxa"/>
            </w:tcMar>
            <w:vAlign w:val="center"/>
          </w:tcPr>
          <w:p w14:paraId="348665D1">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地理坐标</w:t>
            </w:r>
          </w:p>
        </w:tc>
        <w:tc>
          <w:tcPr>
            <w:tcW w:w="7836" w:type="dxa"/>
            <w:gridSpan w:val="3"/>
            <w:tcBorders>
              <w:tl2br w:val="nil"/>
              <w:tr2bl w:val="nil"/>
            </w:tcBorders>
            <w:noWrap w:val="0"/>
            <w:vAlign w:val="center"/>
          </w:tcPr>
          <w:p w14:paraId="0196A2FC">
            <w:pPr>
              <w:jc w:val="center"/>
              <w:rPr>
                <w:rFonts w:hint="default" w:ascii="Times New Roman" w:hAnsi="Times New Roman" w:eastAsia="宋体" w:cs="Times New Roman"/>
                <w:sz w:val="24"/>
                <w:szCs w:val="24"/>
                <w:highlight w:val="none"/>
              </w:rPr>
            </w:pPr>
          </w:p>
        </w:tc>
      </w:tr>
      <w:tr w14:paraId="48E41D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1" w:hRule="atLeast"/>
          <w:jc w:val="center"/>
        </w:trPr>
        <w:tc>
          <w:tcPr>
            <w:tcW w:w="1344" w:type="dxa"/>
            <w:tcBorders>
              <w:tl2br w:val="nil"/>
              <w:tr2bl w:val="nil"/>
            </w:tcBorders>
            <w:noWrap w:val="0"/>
            <w:tcMar>
              <w:top w:w="16" w:type="dxa"/>
              <w:left w:w="16" w:type="dxa"/>
              <w:right w:w="16" w:type="dxa"/>
            </w:tcMar>
            <w:vAlign w:val="center"/>
          </w:tcPr>
          <w:p w14:paraId="749D54AB">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国民经济</w:t>
            </w:r>
          </w:p>
          <w:p w14:paraId="53F36C4E">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行业类别</w:t>
            </w:r>
          </w:p>
        </w:tc>
        <w:tc>
          <w:tcPr>
            <w:tcW w:w="2985" w:type="dxa"/>
            <w:tcBorders>
              <w:tl2br w:val="nil"/>
              <w:tr2bl w:val="nil"/>
            </w:tcBorders>
            <w:noWrap w:val="0"/>
            <w:vAlign w:val="center"/>
          </w:tcPr>
          <w:p w14:paraId="4411AEF7">
            <w:pPr>
              <w:adjustRightInd w:val="0"/>
              <w:snapToGrid w:val="0"/>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B30</w:t>
            </w:r>
            <w:r>
              <w:rPr>
                <w:rFonts w:hint="eastAsia" w:ascii="Times New Roman" w:hAnsi="Times New Roman" w:eastAsia="宋体" w:cs="Times New Roman"/>
                <w:sz w:val="24"/>
                <w:szCs w:val="24"/>
                <w:highlight w:val="none"/>
                <w:lang w:val="en-US" w:eastAsia="zh-CN"/>
              </w:rPr>
              <w:t>9</w:t>
            </w:r>
            <w:r>
              <w:rPr>
                <w:rFonts w:hint="default" w:ascii="Times New Roman" w:hAnsi="Times New Roman" w:eastAsia="宋体" w:cs="Times New Roman"/>
                <w:sz w:val="24"/>
                <w:szCs w:val="24"/>
                <w:highlight w:val="none"/>
                <w:lang w:val="en-US" w:eastAsia="zh-CN"/>
              </w:rPr>
              <w:t>9</w:t>
            </w:r>
            <w:r>
              <w:rPr>
                <w:rFonts w:hint="eastAsia" w:ascii="Times New Roman" w:hAnsi="Times New Roman" w:eastAsia="宋体" w:cs="Times New Roman"/>
                <w:sz w:val="24"/>
                <w:szCs w:val="24"/>
                <w:highlight w:val="none"/>
                <w:lang w:val="en-US" w:eastAsia="zh-CN"/>
              </w:rPr>
              <w:t>其他非金属矿物制品制造</w:t>
            </w:r>
          </w:p>
        </w:tc>
        <w:tc>
          <w:tcPr>
            <w:tcW w:w="2212" w:type="dxa"/>
            <w:tcBorders>
              <w:tl2br w:val="nil"/>
              <w:tr2bl w:val="nil"/>
            </w:tcBorders>
            <w:noWrap w:val="0"/>
            <w:vAlign w:val="center"/>
          </w:tcPr>
          <w:p w14:paraId="07AB88F0">
            <w:pPr>
              <w:adjustRightInd w:val="0"/>
              <w:snapToGrid w:val="0"/>
              <w:jc w:val="center"/>
              <w:rPr>
                <w:rFonts w:hint="default" w:ascii="Times New Roman" w:hAnsi="Times New Roman" w:eastAsia="宋体" w:cs="Times New Roman"/>
                <w:sz w:val="24"/>
                <w:szCs w:val="24"/>
                <w:highlight w:val="none"/>
              </w:rPr>
            </w:pPr>
            <w:bookmarkStart w:id="1" w:name="_Hlk49843745"/>
            <w:r>
              <w:rPr>
                <w:rFonts w:hint="default" w:ascii="Times New Roman" w:hAnsi="Times New Roman" w:eastAsia="宋体" w:cs="Times New Roman"/>
                <w:sz w:val="24"/>
                <w:szCs w:val="24"/>
                <w:highlight w:val="none"/>
              </w:rPr>
              <w:t>建设项目</w:t>
            </w:r>
          </w:p>
          <w:p w14:paraId="550F2BF3">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行业类别</w:t>
            </w:r>
            <w:bookmarkEnd w:id="1"/>
          </w:p>
        </w:tc>
        <w:tc>
          <w:tcPr>
            <w:tcW w:w="2639" w:type="dxa"/>
            <w:tcBorders>
              <w:tl2br w:val="nil"/>
              <w:tr2bl w:val="nil"/>
            </w:tcBorders>
            <w:noWrap w:val="0"/>
            <w:vAlign w:val="center"/>
          </w:tcPr>
          <w:p w14:paraId="59B1C899">
            <w:pPr>
              <w:keepNext w:val="0"/>
              <w:keepLines w:val="0"/>
              <w:widowControl/>
              <w:suppressLineNumbers w:val="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二十七、非金属矿物制品业</w:t>
            </w:r>
            <w:r>
              <w:rPr>
                <w:rFonts w:hint="default" w:ascii="Times New Roman" w:hAnsi="Times New Roman" w:eastAsia="宋体" w:cs="Times New Roman"/>
                <w:sz w:val="24"/>
                <w:szCs w:val="24"/>
                <w:highlight w:val="none"/>
                <w:lang w:val="en-US" w:eastAsia="zh-CN"/>
              </w:rPr>
              <w:t>-56-砖瓦、石材等建筑材料制造-</w:t>
            </w:r>
            <w:r>
              <w:rPr>
                <w:rFonts w:hint="default" w:ascii="Times New Roman" w:hAnsi="Times New Roman" w:eastAsia="宋体" w:cs="Times New Roman"/>
                <w:color w:val="000000"/>
                <w:kern w:val="0"/>
                <w:sz w:val="24"/>
                <w:szCs w:val="24"/>
                <w:highlight w:val="none"/>
                <w:lang w:val="en-US" w:eastAsia="zh-CN" w:bidi="ar"/>
              </w:rPr>
              <w:t>其他建筑材料制造（含干粉砂浆搅拌站）</w:t>
            </w:r>
          </w:p>
        </w:tc>
      </w:tr>
      <w:tr w14:paraId="534230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219" w:hRule="atLeast"/>
          <w:jc w:val="center"/>
        </w:trPr>
        <w:tc>
          <w:tcPr>
            <w:tcW w:w="1344" w:type="dxa"/>
            <w:tcBorders>
              <w:tl2br w:val="nil"/>
              <w:tr2bl w:val="nil"/>
            </w:tcBorders>
            <w:noWrap w:val="0"/>
            <w:tcMar>
              <w:top w:w="16" w:type="dxa"/>
              <w:left w:w="16" w:type="dxa"/>
              <w:right w:w="16" w:type="dxa"/>
            </w:tcMar>
            <w:vAlign w:val="center"/>
          </w:tcPr>
          <w:p w14:paraId="217C68FF">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建设性质</w:t>
            </w:r>
          </w:p>
        </w:tc>
        <w:tc>
          <w:tcPr>
            <w:tcW w:w="2985" w:type="dxa"/>
            <w:tcBorders>
              <w:tl2br w:val="nil"/>
              <w:tr2bl w:val="nil"/>
            </w:tcBorders>
            <w:noWrap w:val="0"/>
            <w:vAlign w:val="center"/>
          </w:tcPr>
          <w:p w14:paraId="441059DD">
            <w:pPr>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新建</w:t>
            </w:r>
          </w:p>
          <w:p w14:paraId="42997F5B">
            <w:pPr>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□改建</w:t>
            </w:r>
          </w:p>
          <w:p w14:paraId="18021352">
            <w:pPr>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□扩建</w:t>
            </w:r>
          </w:p>
          <w:p w14:paraId="0895C80C">
            <w:pPr>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□技术改造</w:t>
            </w:r>
          </w:p>
        </w:tc>
        <w:tc>
          <w:tcPr>
            <w:tcW w:w="2212" w:type="dxa"/>
            <w:tcBorders>
              <w:tl2br w:val="nil"/>
              <w:tr2bl w:val="nil"/>
            </w:tcBorders>
            <w:noWrap w:val="0"/>
            <w:vAlign w:val="center"/>
          </w:tcPr>
          <w:p w14:paraId="74361762">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建设项目</w:t>
            </w:r>
          </w:p>
          <w:p w14:paraId="365D8CF2">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申报情形</w:t>
            </w:r>
          </w:p>
        </w:tc>
        <w:tc>
          <w:tcPr>
            <w:tcW w:w="2639" w:type="dxa"/>
            <w:tcBorders>
              <w:tl2br w:val="nil"/>
              <w:tr2bl w:val="nil"/>
            </w:tcBorders>
            <w:noWrap w:val="0"/>
            <w:vAlign w:val="center"/>
          </w:tcPr>
          <w:p w14:paraId="0F34A04D">
            <w:pPr>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sym w:font="Wingdings 2" w:char="0052"/>
            </w:r>
            <w:r>
              <w:rPr>
                <w:rFonts w:hint="default" w:ascii="Times New Roman" w:hAnsi="Times New Roman" w:eastAsia="宋体" w:cs="Times New Roman"/>
                <w:sz w:val="24"/>
                <w:szCs w:val="24"/>
                <w:highlight w:val="none"/>
              </w:rPr>
              <w:t xml:space="preserve">首次申报项目             </w:t>
            </w:r>
          </w:p>
          <w:p w14:paraId="181E3707">
            <w:pPr>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□不予批准后再次申报项目</w:t>
            </w:r>
          </w:p>
          <w:p w14:paraId="785624C2">
            <w:pPr>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□超五年重新审核项目     </w:t>
            </w:r>
          </w:p>
          <w:p w14:paraId="400BF561">
            <w:pPr>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□重大变动重新报批项目</w:t>
            </w:r>
          </w:p>
        </w:tc>
      </w:tr>
      <w:tr w14:paraId="60D84D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851" w:hRule="atLeast"/>
          <w:jc w:val="center"/>
        </w:trPr>
        <w:tc>
          <w:tcPr>
            <w:tcW w:w="1344" w:type="dxa"/>
            <w:tcBorders>
              <w:tl2br w:val="nil"/>
              <w:tr2bl w:val="nil"/>
            </w:tcBorders>
            <w:noWrap w:val="0"/>
            <w:tcMar>
              <w:top w:w="16" w:type="dxa"/>
              <w:left w:w="16" w:type="dxa"/>
              <w:right w:w="16" w:type="dxa"/>
            </w:tcMar>
            <w:vAlign w:val="center"/>
          </w:tcPr>
          <w:p w14:paraId="049D831E">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项目审批部门</w:t>
            </w:r>
          </w:p>
        </w:tc>
        <w:tc>
          <w:tcPr>
            <w:tcW w:w="2985" w:type="dxa"/>
            <w:tcBorders>
              <w:tl2br w:val="nil"/>
              <w:tr2bl w:val="nil"/>
            </w:tcBorders>
            <w:noWrap w:val="0"/>
            <w:vAlign w:val="center"/>
          </w:tcPr>
          <w:p w14:paraId="30C07339">
            <w:pPr>
              <w:adjustRightInd w:val="0"/>
              <w:snapToGrid w:val="0"/>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和静县发展和改革委员会</w:t>
            </w:r>
          </w:p>
        </w:tc>
        <w:tc>
          <w:tcPr>
            <w:tcW w:w="2212" w:type="dxa"/>
            <w:tcBorders>
              <w:tl2br w:val="nil"/>
              <w:tr2bl w:val="nil"/>
            </w:tcBorders>
            <w:noWrap w:val="0"/>
            <w:vAlign w:val="center"/>
          </w:tcPr>
          <w:p w14:paraId="52436D18">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项目审批文号</w:t>
            </w:r>
          </w:p>
        </w:tc>
        <w:tc>
          <w:tcPr>
            <w:tcW w:w="2639" w:type="dxa"/>
            <w:tcBorders>
              <w:tl2br w:val="nil"/>
              <w:tr2bl w:val="nil"/>
            </w:tcBorders>
            <w:noWrap w:val="0"/>
            <w:vAlign w:val="center"/>
          </w:tcPr>
          <w:p w14:paraId="1DF0AFD8">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2509021644652827000023</w:t>
            </w:r>
          </w:p>
        </w:tc>
      </w:tr>
      <w:tr w14:paraId="4C7723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97" w:hRule="atLeast"/>
          <w:jc w:val="center"/>
        </w:trPr>
        <w:tc>
          <w:tcPr>
            <w:tcW w:w="1344" w:type="dxa"/>
            <w:tcBorders>
              <w:tl2br w:val="nil"/>
              <w:tr2bl w:val="nil"/>
            </w:tcBorders>
            <w:noWrap w:val="0"/>
            <w:tcMar>
              <w:top w:w="16" w:type="dxa"/>
              <w:left w:w="16" w:type="dxa"/>
              <w:right w:w="16" w:type="dxa"/>
            </w:tcMar>
            <w:vAlign w:val="center"/>
          </w:tcPr>
          <w:p w14:paraId="47EC8158">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总投资（万元）</w:t>
            </w:r>
          </w:p>
        </w:tc>
        <w:tc>
          <w:tcPr>
            <w:tcW w:w="2985" w:type="dxa"/>
            <w:tcBorders>
              <w:tl2br w:val="nil"/>
              <w:tr2bl w:val="nil"/>
            </w:tcBorders>
            <w:noWrap w:val="0"/>
            <w:vAlign w:val="center"/>
          </w:tcPr>
          <w:p w14:paraId="2C68C41A">
            <w:pPr>
              <w:adjustRightInd w:val="0"/>
              <w:snapToGrid w:val="0"/>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3000</w:t>
            </w:r>
          </w:p>
        </w:tc>
        <w:tc>
          <w:tcPr>
            <w:tcW w:w="2212" w:type="dxa"/>
            <w:tcBorders>
              <w:tl2br w:val="nil"/>
              <w:tr2bl w:val="nil"/>
            </w:tcBorders>
            <w:noWrap w:val="0"/>
            <w:tcMar>
              <w:top w:w="16" w:type="dxa"/>
              <w:left w:w="16" w:type="dxa"/>
              <w:right w:w="16" w:type="dxa"/>
            </w:tcMar>
            <w:vAlign w:val="center"/>
          </w:tcPr>
          <w:p w14:paraId="608EDE96">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环保投资（万元）</w:t>
            </w:r>
          </w:p>
        </w:tc>
        <w:tc>
          <w:tcPr>
            <w:tcW w:w="2639" w:type="dxa"/>
            <w:tcBorders>
              <w:tl2br w:val="nil"/>
              <w:tr2bl w:val="nil"/>
            </w:tcBorders>
            <w:noWrap w:val="0"/>
            <w:vAlign w:val="center"/>
          </w:tcPr>
          <w:p w14:paraId="26835B3A">
            <w:pPr>
              <w:adjustRightInd w:val="0"/>
              <w:snapToGrid w:val="0"/>
              <w:jc w:val="center"/>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13</w:t>
            </w:r>
          </w:p>
        </w:tc>
      </w:tr>
      <w:tr w14:paraId="043495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1344" w:type="dxa"/>
            <w:tcBorders>
              <w:tl2br w:val="nil"/>
              <w:tr2bl w:val="nil"/>
            </w:tcBorders>
            <w:noWrap w:val="0"/>
            <w:tcMar>
              <w:top w:w="16" w:type="dxa"/>
              <w:left w:w="16" w:type="dxa"/>
              <w:right w:w="16" w:type="dxa"/>
            </w:tcMar>
            <w:vAlign w:val="center"/>
          </w:tcPr>
          <w:p w14:paraId="6FB771B9">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环保投资占比（%）</w:t>
            </w:r>
          </w:p>
        </w:tc>
        <w:tc>
          <w:tcPr>
            <w:tcW w:w="2985" w:type="dxa"/>
            <w:tcBorders>
              <w:tl2br w:val="nil"/>
              <w:tr2bl w:val="nil"/>
            </w:tcBorders>
            <w:noWrap w:val="0"/>
            <w:vAlign w:val="center"/>
          </w:tcPr>
          <w:p w14:paraId="25E5693B">
            <w:pPr>
              <w:adjustRightInd w:val="0"/>
              <w:snapToGrid w:val="0"/>
              <w:jc w:val="center"/>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0.43</w:t>
            </w:r>
          </w:p>
        </w:tc>
        <w:tc>
          <w:tcPr>
            <w:tcW w:w="2212" w:type="dxa"/>
            <w:tcBorders>
              <w:tl2br w:val="nil"/>
              <w:tr2bl w:val="nil"/>
            </w:tcBorders>
            <w:noWrap w:val="0"/>
            <w:tcMar>
              <w:top w:w="16" w:type="dxa"/>
              <w:left w:w="16" w:type="dxa"/>
              <w:right w:w="16" w:type="dxa"/>
            </w:tcMar>
            <w:vAlign w:val="center"/>
          </w:tcPr>
          <w:p w14:paraId="6679F002">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施工工期</w:t>
            </w:r>
          </w:p>
        </w:tc>
        <w:tc>
          <w:tcPr>
            <w:tcW w:w="2639" w:type="dxa"/>
            <w:tcBorders>
              <w:tl2br w:val="nil"/>
              <w:tr2bl w:val="nil"/>
            </w:tcBorders>
            <w:noWrap w:val="0"/>
            <w:vAlign w:val="center"/>
          </w:tcPr>
          <w:p w14:paraId="1698AC49">
            <w:pPr>
              <w:adjustRightInd w:val="0"/>
              <w:snapToGrid w:val="0"/>
              <w:jc w:val="center"/>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10个月</w:t>
            </w:r>
          </w:p>
        </w:tc>
      </w:tr>
      <w:tr w14:paraId="4077AD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1344" w:type="dxa"/>
            <w:tcBorders>
              <w:tl2br w:val="nil"/>
              <w:tr2bl w:val="nil"/>
            </w:tcBorders>
            <w:noWrap w:val="0"/>
            <w:tcMar>
              <w:top w:w="16" w:type="dxa"/>
              <w:left w:w="16" w:type="dxa"/>
              <w:right w:w="16" w:type="dxa"/>
            </w:tcMar>
            <w:vAlign w:val="center"/>
          </w:tcPr>
          <w:p w14:paraId="45E73704">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是否开工建设</w:t>
            </w:r>
          </w:p>
        </w:tc>
        <w:tc>
          <w:tcPr>
            <w:tcW w:w="2985" w:type="dxa"/>
            <w:tcBorders>
              <w:tl2br w:val="nil"/>
              <w:tr2bl w:val="nil"/>
            </w:tcBorders>
            <w:noWrap w:val="0"/>
            <w:vAlign w:val="center"/>
          </w:tcPr>
          <w:p w14:paraId="2A0971E3">
            <w:pPr>
              <w:adjustRightInd w:val="0"/>
              <w:snapToGrid w:val="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sym w:font="Wingdings 2" w:char="0052"/>
            </w:r>
            <w:r>
              <w:rPr>
                <w:rFonts w:hint="default" w:ascii="Times New Roman" w:hAnsi="Times New Roman" w:eastAsia="宋体" w:cs="Times New Roman"/>
                <w:sz w:val="24"/>
                <w:szCs w:val="24"/>
                <w:highlight w:val="none"/>
              </w:rPr>
              <w:t>否</w:t>
            </w:r>
          </w:p>
          <w:p w14:paraId="2BCD49EC">
            <w:pPr>
              <w:adjustRightInd w:val="0"/>
              <w:snapToGrid w:val="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sym w:font="Wingdings 2" w:char="00A3"/>
            </w:r>
            <w:r>
              <w:rPr>
                <w:rFonts w:hint="default" w:ascii="Times New Roman" w:hAnsi="Times New Roman" w:eastAsia="宋体" w:cs="Times New Roman"/>
                <w:sz w:val="24"/>
                <w:szCs w:val="24"/>
                <w:highlight w:val="none"/>
              </w:rPr>
              <w:t>是：</w:t>
            </w:r>
            <w:r>
              <w:rPr>
                <w:rFonts w:hint="default" w:ascii="Times New Roman" w:hAnsi="Times New Roman" w:eastAsia="宋体" w:cs="Times New Roman"/>
                <w:sz w:val="24"/>
                <w:szCs w:val="24"/>
                <w:highlight w:val="none"/>
                <w:u w:val="single"/>
              </w:rPr>
              <w:t xml:space="preserve">             </w:t>
            </w:r>
          </w:p>
        </w:tc>
        <w:tc>
          <w:tcPr>
            <w:tcW w:w="2212" w:type="dxa"/>
            <w:tcBorders>
              <w:tl2br w:val="nil"/>
              <w:tr2bl w:val="nil"/>
            </w:tcBorders>
            <w:noWrap w:val="0"/>
            <w:tcMar>
              <w:top w:w="16" w:type="dxa"/>
              <w:left w:w="16" w:type="dxa"/>
              <w:right w:w="16" w:type="dxa"/>
            </w:tcMar>
            <w:vAlign w:val="center"/>
          </w:tcPr>
          <w:p w14:paraId="2D4250F3">
            <w:pPr>
              <w:adjustRightInd w:val="0"/>
              <w:snapToGrid w:val="0"/>
              <w:jc w:val="center"/>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用地（用海）</w:t>
            </w:r>
          </w:p>
          <w:p w14:paraId="074E1CCA">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6"/>
                <w:sz w:val="24"/>
                <w:szCs w:val="24"/>
                <w:highlight w:val="none"/>
              </w:rPr>
              <w:t>面积（m</w:t>
            </w:r>
            <w:r>
              <w:rPr>
                <w:rFonts w:hint="default" w:ascii="Times New Roman" w:hAnsi="Times New Roman" w:eastAsia="宋体" w:cs="Times New Roman"/>
                <w:spacing w:val="-6"/>
                <w:sz w:val="24"/>
                <w:szCs w:val="24"/>
                <w:highlight w:val="none"/>
                <w:vertAlign w:val="superscript"/>
              </w:rPr>
              <w:t>2</w:t>
            </w:r>
            <w:r>
              <w:rPr>
                <w:rFonts w:hint="default" w:ascii="Times New Roman" w:hAnsi="Times New Roman" w:eastAsia="宋体" w:cs="Times New Roman"/>
                <w:spacing w:val="-6"/>
                <w:sz w:val="24"/>
                <w:szCs w:val="24"/>
                <w:highlight w:val="none"/>
              </w:rPr>
              <w:t>）</w:t>
            </w:r>
          </w:p>
        </w:tc>
        <w:tc>
          <w:tcPr>
            <w:tcW w:w="2639" w:type="dxa"/>
            <w:tcBorders>
              <w:tl2br w:val="nil"/>
              <w:tr2bl w:val="nil"/>
            </w:tcBorders>
            <w:noWrap w:val="0"/>
            <w:vAlign w:val="center"/>
          </w:tcPr>
          <w:p w14:paraId="6340E7C6">
            <w:pPr>
              <w:adjustRightInd w:val="0"/>
              <w:snapToGrid w:val="0"/>
              <w:jc w:val="center"/>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19741</w:t>
            </w:r>
          </w:p>
        </w:tc>
      </w:tr>
      <w:tr w14:paraId="48425F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21" w:hRule="atLeast"/>
          <w:jc w:val="center"/>
        </w:trPr>
        <w:tc>
          <w:tcPr>
            <w:tcW w:w="1344" w:type="dxa"/>
            <w:tcBorders>
              <w:tl2br w:val="nil"/>
              <w:tr2bl w:val="nil"/>
            </w:tcBorders>
            <w:noWrap w:val="0"/>
            <w:vAlign w:val="center"/>
          </w:tcPr>
          <w:p w14:paraId="3290F5B5">
            <w:pPr>
              <w:autoSpaceDE w:val="0"/>
              <w:autoSpaceDN w:val="0"/>
              <w:adjustRightInd w:val="0"/>
              <w:snapToGrid w:val="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专项评价设置情况</w:t>
            </w:r>
          </w:p>
        </w:tc>
        <w:tc>
          <w:tcPr>
            <w:tcW w:w="7836" w:type="dxa"/>
            <w:gridSpan w:val="3"/>
            <w:tcBorders>
              <w:tl2br w:val="nil"/>
              <w:tr2bl w:val="nil"/>
            </w:tcBorders>
            <w:noWrap w:val="0"/>
            <w:vAlign w:val="center"/>
          </w:tcPr>
          <w:p w14:paraId="05525F70">
            <w:pPr>
              <w:autoSpaceDE w:val="0"/>
              <w:autoSpaceDN w:val="0"/>
              <w:adjustRightInd w:val="0"/>
              <w:snapToGrid w:val="0"/>
              <w:jc w:val="center"/>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lang w:val="en-US" w:eastAsia="zh-CN"/>
              </w:rPr>
              <w:t>无</w:t>
            </w:r>
          </w:p>
        </w:tc>
      </w:tr>
      <w:tr w14:paraId="2177E5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21" w:hRule="atLeast"/>
          <w:jc w:val="center"/>
        </w:trPr>
        <w:tc>
          <w:tcPr>
            <w:tcW w:w="1344" w:type="dxa"/>
            <w:tcBorders>
              <w:tl2br w:val="nil"/>
              <w:tr2bl w:val="nil"/>
            </w:tcBorders>
            <w:noWrap w:val="0"/>
            <w:vAlign w:val="center"/>
          </w:tcPr>
          <w:p w14:paraId="7F3C70F7">
            <w:pPr>
              <w:autoSpaceDE w:val="0"/>
              <w:autoSpaceDN w:val="0"/>
              <w:adjustRightInd w:val="0"/>
              <w:snapToGrid w:val="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sz w:val="24"/>
                <w:szCs w:val="24"/>
                <w:highlight w:val="none"/>
              </w:rPr>
              <w:t>规划情况</w:t>
            </w:r>
          </w:p>
        </w:tc>
        <w:tc>
          <w:tcPr>
            <w:tcW w:w="7836" w:type="dxa"/>
            <w:gridSpan w:val="3"/>
            <w:tcBorders>
              <w:tl2br w:val="nil"/>
              <w:tr2bl w:val="nil"/>
            </w:tcBorders>
            <w:noWrap w:val="0"/>
            <w:vAlign w:val="center"/>
          </w:tcPr>
          <w:p w14:paraId="109859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文件名称：</w:t>
            </w:r>
            <w:r>
              <w:rPr>
                <w:rFonts w:hint="eastAsia" w:ascii="Times New Roman" w:hAnsi="Times New Roman" w:eastAsia="宋体" w:cs="Times New Roman"/>
                <w:sz w:val="24"/>
                <w:szCs w:val="24"/>
                <w:highlight w:val="none"/>
                <w:lang w:val="en-US" w:eastAsia="zh-CN"/>
              </w:rPr>
              <w:t>《和静工业园区总体规划2016-2030年》</w:t>
            </w:r>
          </w:p>
          <w:p w14:paraId="081F2F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审批机关：新疆维吾尔自治区人民政府办公厅</w:t>
            </w:r>
          </w:p>
          <w:p w14:paraId="502257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审批文件名称：《关于和静工业园区总体规划2016-2030年的复函》</w:t>
            </w:r>
          </w:p>
          <w:p w14:paraId="48794A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sz w:val="24"/>
                <w:szCs w:val="24"/>
                <w:highlight w:val="none"/>
                <w:lang w:val="en-US" w:eastAsia="zh-CN"/>
              </w:rPr>
              <w:t>审批文号：新政办函〔2017〕267号</w:t>
            </w:r>
          </w:p>
        </w:tc>
      </w:tr>
      <w:tr w14:paraId="128913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21" w:hRule="atLeast"/>
          <w:jc w:val="center"/>
        </w:trPr>
        <w:tc>
          <w:tcPr>
            <w:tcW w:w="1344" w:type="dxa"/>
            <w:tcBorders>
              <w:tl2br w:val="nil"/>
              <w:tr2bl w:val="nil"/>
            </w:tcBorders>
            <w:noWrap w:val="0"/>
            <w:vAlign w:val="center"/>
          </w:tcPr>
          <w:p w14:paraId="5DEDF7A5">
            <w:pPr>
              <w:adjustRightInd w:val="0"/>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规划环境影响</w:t>
            </w:r>
          </w:p>
          <w:p w14:paraId="35325F00">
            <w:pPr>
              <w:adjustRightInd w:val="0"/>
              <w:snapToGrid w:val="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sz w:val="24"/>
                <w:szCs w:val="24"/>
                <w:highlight w:val="none"/>
              </w:rPr>
              <w:t>评价情况</w:t>
            </w:r>
          </w:p>
        </w:tc>
        <w:tc>
          <w:tcPr>
            <w:tcW w:w="7836" w:type="dxa"/>
            <w:gridSpan w:val="3"/>
            <w:tcBorders>
              <w:tl2br w:val="nil"/>
              <w:tr2bl w:val="nil"/>
            </w:tcBorders>
            <w:noWrap w:val="0"/>
            <w:vAlign w:val="center"/>
          </w:tcPr>
          <w:p w14:paraId="4A517F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文件名称：《和静工业园区总体规划</w:t>
            </w:r>
            <w:r>
              <w:rPr>
                <w:rFonts w:hint="eastAsia"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2013-2030</w:t>
            </w:r>
            <w:r>
              <w:rPr>
                <w:rFonts w:hint="eastAsia"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环境影响报告书》</w:t>
            </w:r>
          </w:p>
          <w:p w14:paraId="6FC32E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审批机关：原新疆维吾尔自治区环境保护厅</w:t>
            </w:r>
          </w:p>
          <w:p w14:paraId="55B400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审批文件名称：《关于和静工业园区总体规划</w:t>
            </w:r>
            <w:r>
              <w:rPr>
                <w:rFonts w:hint="eastAsia"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2013-2030</w:t>
            </w:r>
            <w:r>
              <w:rPr>
                <w:rFonts w:hint="eastAsia"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环境影响报告书的审查意见》</w:t>
            </w:r>
          </w:p>
          <w:p w14:paraId="08BBD0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sz w:val="24"/>
                <w:szCs w:val="24"/>
                <w:highlight w:val="none"/>
                <w:lang w:val="en-US" w:eastAsia="zh-CN"/>
              </w:rPr>
              <w:t>审批文号：新环函〔2016〕1323号</w:t>
            </w:r>
          </w:p>
        </w:tc>
      </w:tr>
      <w:tr w14:paraId="0BD45B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21" w:hRule="atLeast"/>
          <w:jc w:val="center"/>
        </w:trPr>
        <w:tc>
          <w:tcPr>
            <w:tcW w:w="1344" w:type="dxa"/>
            <w:tcBorders>
              <w:tl2br w:val="nil"/>
              <w:tr2bl w:val="nil"/>
            </w:tcBorders>
            <w:noWrap w:val="0"/>
            <w:vAlign w:val="center"/>
          </w:tcPr>
          <w:p w14:paraId="6EAEDFEA">
            <w:pPr>
              <w:autoSpaceDE w:val="0"/>
              <w:autoSpaceDN w:val="0"/>
              <w:adjustRightInd w:val="0"/>
              <w:snapToGrid w:val="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规划及规划环境</w:t>
            </w:r>
          </w:p>
          <w:p w14:paraId="267B98DD">
            <w:pPr>
              <w:autoSpaceDE w:val="0"/>
              <w:autoSpaceDN w:val="0"/>
              <w:adjustRightInd w:val="0"/>
              <w:snapToGrid w:val="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影响评价符合性分析</w:t>
            </w:r>
          </w:p>
        </w:tc>
        <w:tc>
          <w:tcPr>
            <w:tcW w:w="7836" w:type="dxa"/>
            <w:gridSpan w:val="3"/>
            <w:tcBorders>
              <w:tl2br w:val="nil"/>
              <w:tr2bl w:val="nil"/>
            </w:tcBorders>
            <w:noWrap w:val="0"/>
            <w:vAlign w:val="center"/>
          </w:tcPr>
          <w:p w14:paraId="4C7BEFF7">
            <w:pPr>
              <w:keepNext w:val="0"/>
              <w:keepLines w:val="0"/>
              <w:pageBreakBefore w:val="0"/>
              <w:widowControl/>
              <w:numPr>
                <w:ilvl w:val="0"/>
                <w:numId w:val="2"/>
              </w:numPr>
              <w:kinsoku/>
              <w:wordWrap w:val="0"/>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《和静工业园区总体规划2016-2030年》的符合性分析</w:t>
            </w:r>
          </w:p>
          <w:p w14:paraId="24B397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铁尔曼区：依托和静县丰富的铁矿资源，以钢铁产业（铁精粉生产、球团、型材、线材等）为主导产业的工业园区。</w:t>
            </w:r>
          </w:p>
          <w:p w14:paraId="0CB43B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金泉区-新兴区：以钢铁产业下游链中金属制品业、新型建材为主导产业，融合其他相关产业项目，及仓储物流服务产业为辅的循环经济产业区。 </w:t>
            </w:r>
          </w:p>
          <w:p w14:paraId="12080FD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金泉区-哈尔莫墩片区：依托矿产资源优势，建设矿产品深加工产业片区。</w:t>
            </w:r>
          </w:p>
          <w:p w14:paraId="601622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金泉区-额勒再特片区：依托县域内农副产品优势，建成农副产品、绿色有机食品、畜产品深加工产业基地。</w:t>
            </w:r>
          </w:p>
          <w:p w14:paraId="47DD8800">
            <w:pPr>
              <w:pStyle w:val="18"/>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highlight w:val="none"/>
                <w:lang w:val="en-US" w:eastAsia="zh-CN"/>
              </w:rPr>
            </w:pPr>
            <w:r>
              <w:rPr>
                <w:rFonts w:hint="eastAsia" w:ascii="Times New Roman" w:hAnsi="Times New Roman" w:eastAsia="宋体" w:cs="Times New Roman"/>
                <w:sz w:val="24"/>
                <w:szCs w:val="24"/>
                <w:highlight w:val="none"/>
                <w:lang w:val="en-US" w:eastAsia="zh-CN"/>
              </w:rPr>
              <w:t>本项目位于哈尔莫敦片区，对石灰石矿石进行破碎、磨粉后作为建材外售，属于矿产品深加工产业，符合园区规划。园区产业分区图见附图1。</w:t>
            </w:r>
          </w:p>
          <w:p w14:paraId="3807C91D">
            <w:pPr>
              <w:keepNext w:val="0"/>
              <w:keepLines w:val="0"/>
              <w:pageBreakBefore w:val="0"/>
              <w:widowControl/>
              <w:numPr>
                <w:ilvl w:val="0"/>
                <w:numId w:val="2"/>
              </w:numPr>
              <w:kinsoku/>
              <w:wordWrap w:val="0"/>
              <w:overflowPunct/>
              <w:topLinePunct w:val="0"/>
              <w:autoSpaceDE/>
              <w:autoSpaceDN/>
              <w:bidi w:val="0"/>
              <w:adjustRightInd w:val="0"/>
              <w:snapToGrid w:val="0"/>
              <w:spacing w:line="360" w:lineRule="auto"/>
              <w:ind w:left="0" w:leftChars="0" w:firstLine="482" w:firstLineChars="200"/>
              <w:jc w:val="left"/>
              <w:textAlignment w:val="auto"/>
              <w:rPr>
                <w:rFonts w:hint="eastAsia"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《和静工业园区总体规划</w:t>
            </w:r>
            <w:r>
              <w:rPr>
                <w:rFonts w:hint="eastAsia" w:cs="Times New Roman"/>
                <w:b/>
                <w:bCs/>
                <w:sz w:val="24"/>
                <w:szCs w:val="24"/>
                <w:highlight w:val="none"/>
                <w:lang w:val="en-US" w:eastAsia="zh-CN"/>
              </w:rPr>
              <w:t>（</w:t>
            </w:r>
            <w:r>
              <w:rPr>
                <w:rFonts w:hint="default" w:ascii="Times New Roman" w:hAnsi="Times New Roman" w:eastAsia="宋体" w:cs="Times New Roman"/>
                <w:b/>
                <w:bCs/>
                <w:sz w:val="24"/>
                <w:szCs w:val="24"/>
                <w:highlight w:val="none"/>
                <w:lang w:val="en-US" w:eastAsia="zh-CN"/>
              </w:rPr>
              <w:t>2013-2030</w:t>
            </w:r>
            <w:r>
              <w:rPr>
                <w:rFonts w:hint="eastAsia" w:cs="Times New Roman"/>
                <w:b/>
                <w:bCs/>
                <w:sz w:val="24"/>
                <w:szCs w:val="24"/>
                <w:highlight w:val="none"/>
                <w:lang w:val="en-US" w:eastAsia="zh-CN"/>
              </w:rPr>
              <w:t>）</w:t>
            </w:r>
            <w:r>
              <w:rPr>
                <w:rFonts w:hint="default" w:ascii="Times New Roman" w:hAnsi="Times New Roman" w:eastAsia="宋体" w:cs="Times New Roman"/>
                <w:b/>
                <w:bCs/>
                <w:sz w:val="24"/>
                <w:szCs w:val="24"/>
                <w:highlight w:val="none"/>
                <w:lang w:val="en-US" w:eastAsia="zh-CN"/>
              </w:rPr>
              <w:t>环境影响报告书》</w:t>
            </w:r>
            <w:r>
              <w:rPr>
                <w:rFonts w:hint="eastAsia" w:ascii="Times New Roman" w:hAnsi="Times New Roman" w:eastAsia="宋体" w:cs="Times New Roman"/>
                <w:b/>
                <w:bCs/>
                <w:sz w:val="24"/>
                <w:szCs w:val="24"/>
                <w:highlight w:val="none"/>
                <w:lang w:val="en-US" w:eastAsia="zh-CN"/>
              </w:rPr>
              <w:t>的符合性分析</w:t>
            </w:r>
          </w:p>
          <w:p w14:paraId="0BD9598C">
            <w:pPr>
              <w:pStyle w:val="18"/>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园区产业发展方向是以优势矿产资源及其产品深加工产业为重点，符合新疆实施优势资源转换战略的发展方向和国家的产业政策。园区的建设可以促进和静县工业经济的进一步发展。园区的建设具有突出的区位优势和资源优势，符合和静县总体规划和相关规划要求。园区开发规划得到了当地公众的支持，预测园区污染物排放能满足环境容量控制要求，各功能区的环境目标可以实现。</w:t>
            </w:r>
          </w:p>
          <w:p w14:paraId="539FAE03">
            <w:pPr>
              <w:pStyle w:val="18"/>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本项目符合园区规划，产生的废气经处理后满足</w:t>
            </w:r>
            <w:r>
              <w:rPr>
                <w:rFonts w:hint="eastAsia" w:cs="Times New Roman"/>
                <w:sz w:val="24"/>
                <w:szCs w:val="24"/>
                <w:highlight w:val="none"/>
                <w:lang w:val="en-US" w:eastAsia="zh-CN"/>
              </w:rPr>
              <w:t>《石灰、电石工业大气污染物排放标准》（GB 41618-2022）</w:t>
            </w:r>
            <w:r>
              <w:rPr>
                <w:rFonts w:hint="eastAsia" w:ascii="Times New Roman" w:hAnsi="Times New Roman" w:eastAsia="宋体" w:cs="Times New Roman"/>
                <w:sz w:val="24"/>
                <w:szCs w:val="24"/>
                <w:highlight w:val="none"/>
                <w:lang w:val="en-US" w:eastAsia="zh-CN"/>
              </w:rPr>
              <w:t>标准；生活污水进入园区下水管网最终进入和静县污水处理厂进行处理；一般固体废物集中收后交由一般固废处置单位进行处置，危险废物集中收集至危险废物贮存库内暂存，交由有资质单位进行处置。符合文件中的要求。</w:t>
            </w:r>
          </w:p>
          <w:p w14:paraId="0E4F8D66">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kern w:val="2"/>
                <w:sz w:val="24"/>
                <w:szCs w:val="24"/>
                <w:highlight w:val="none"/>
                <w:lang w:val="en-US" w:eastAsia="zh-CN" w:bidi="ar-SA"/>
              </w:rPr>
              <w:t>3、</w:t>
            </w:r>
            <w:r>
              <w:rPr>
                <w:rFonts w:hint="default" w:ascii="Times New Roman" w:hAnsi="Times New Roman" w:eastAsia="宋体" w:cs="Times New Roman"/>
                <w:b/>
                <w:bCs/>
                <w:sz w:val="24"/>
                <w:szCs w:val="24"/>
                <w:highlight w:val="none"/>
                <w:lang w:val="en-US" w:eastAsia="zh-CN"/>
              </w:rPr>
              <w:t>《关于和静工业园区总体规划</w:t>
            </w:r>
            <w:r>
              <w:rPr>
                <w:rFonts w:hint="eastAsia" w:cs="Times New Roman"/>
                <w:b/>
                <w:bCs/>
                <w:sz w:val="24"/>
                <w:szCs w:val="24"/>
                <w:highlight w:val="none"/>
                <w:lang w:val="en-US" w:eastAsia="zh-CN"/>
              </w:rPr>
              <w:t>（</w:t>
            </w:r>
            <w:r>
              <w:rPr>
                <w:rFonts w:hint="default" w:ascii="Times New Roman" w:hAnsi="Times New Roman" w:eastAsia="宋体" w:cs="Times New Roman"/>
                <w:b/>
                <w:bCs/>
                <w:sz w:val="24"/>
                <w:szCs w:val="24"/>
                <w:highlight w:val="none"/>
                <w:lang w:val="en-US" w:eastAsia="zh-CN"/>
              </w:rPr>
              <w:t>2013-2030</w:t>
            </w:r>
            <w:r>
              <w:rPr>
                <w:rFonts w:hint="eastAsia" w:cs="Times New Roman"/>
                <w:b/>
                <w:bCs/>
                <w:sz w:val="24"/>
                <w:szCs w:val="24"/>
                <w:highlight w:val="none"/>
                <w:lang w:val="en-US" w:eastAsia="zh-CN"/>
              </w:rPr>
              <w:t>）</w:t>
            </w:r>
            <w:r>
              <w:rPr>
                <w:rFonts w:hint="default" w:ascii="Times New Roman" w:hAnsi="Times New Roman" w:eastAsia="宋体" w:cs="Times New Roman"/>
                <w:b/>
                <w:bCs/>
                <w:sz w:val="24"/>
                <w:szCs w:val="24"/>
                <w:highlight w:val="none"/>
                <w:lang w:val="en-US" w:eastAsia="zh-CN"/>
              </w:rPr>
              <w:t>环境影响报告书的审查意见》</w:t>
            </w:r>
            <w:r>
              <w:rPr>
                <w:rFonts w:hint="eastAsia" w:ascii="Times New Roman" w:hAnsi="Times New Roman" w:eastAsia="宋体" w:cs="Times New Roman"/>
                <w:b/>
                <w:bCs/>
                <w:sz w:val="24"/>
                <w:szCs w:val="24"/>
                <w:highlight w:val="none"/>
                <w:lang w:val="en-US" w:eastAsia="zh-CN"/>
              </w:rPr>
              <w:t>的符合性分析</w:t>
            </w:r>
          </w:p>
          <w:p w14:paraId="7E97C305">
            <w:pPr>
              <w:pStyle w:val="18"/>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积极开展清洁生产审核，入园企业的清洁生产水平必须达到国内先进水平</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大力发展园区循环经济，制定切实可行的一般固体废弃物、废水综合利用方案，提高资源利用率</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严格按照国家有关规定进行危险废物贮存、处置和处理</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严格落实污染物总量控制要求，提出污染物减排方案和具体措施。</w:t>
            </w:r>
          </w:p>
          <w:p w14:paraId="7984302B">
            <w:pPr>
              <w:pStyle w:val="18"/>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lang w:val="en-US" w:eastAsia="zh-CN"/>
              </w:rPr>
              <w:t>本项目符合园区规划，产生的废气经处理后满足</w:t>
            </w:r>
            <w:r>
              <w:rPr>
                <w:rFonts w:hint="eastAsia" w:cs="Times New Roman"/>
                <w:sz w:val="24"/>
                <w:szCs w:val="24"/>
                <w:highlight w:val="none"/>
                <w:lang w:val="en-US" w:eastAsia="zh-CN"/>
              </w:rPr>
              <w:t>《石灰、电石工业大气污染物排放标准》（GB 41618-2022）</w:t>
            </w:r>
            <w:r>
              <w:rPr>
                <w:rFonts w:hint="default" w:ascii="Times New Roman" w:hAnsi="Times New Roman" w:eastAsia="宋体" w:cs="Times New Roman"/>
                <w:sz w:val="24"/>
                <w:szCs w:val="24"/>
                <w:highlight w:val="none"/>
                <w:lang w:val="en-US" w:eastAsia="zh-CN"/>
              </w:rPr>
              <w:t>标准；生活污水进入园区下水管网最终进入和静县污水处理厂进行处理；固体废物集中收后交由一般固废处置单位进行处置，危险废物集中收集至危险废物贮存库内暂存，交由有资质单位进行处置。符合文件中的要求。</w:t>
            </w:r>
          </w:p>
        </w:tc>
      </w:tr>
      <w:tr w14:paraId="255B14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21" w:hRule="atLeast"/>
          <w:jc w:val="center"/>
        </w:trPr>
        <w:tc>
          <w:tcPr>
            <w:tcW w:w="1344" w:type="dxa"/>
            <w:tcBorders>
              <w:tl2br w:val="nil"/>
              <w:tr2bl w:val="nil"/>
            </w:tcBorders>
            <w:noWrap w:val="0"/>
            <w:vAlign w:val="center"/>
          </w:tcPr>
          <w:p w14:paraId="2F3295C8">
            <w:pPr>
              <w:autoSpaceDE w:val="0"/>
              <w:autoSpaceDN w:val="0"/>
              <w:adjustRightInd w:val="0"/>
              <w:snapToGrid w:val="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其他符合性分析</w:t>
            </w:r>
          </w:p>
        </w:tc>
        <w:tc>
          <w:tcPr>
            <w:tcW w:w="7836" w:type="dxa"/>
            <w:gridSpan w:val="3"/>
            <w:tcBorders>
              <w:tl2br w:val="nil"/>
              <w:tr2bl w:val="nil"/>
            </w:tcBorders>
            <w:noWrap w:val="0"/>
            <w:vAlign w:val="center"/>
          </w:tcPr>
          <w:p w14:paraId="37083734">
            <w:pPr>
              <w:keepNext w:val="0"/>
              <w:keepLines w:val="0"/>
              <w:pageBreakBefore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eastAsia="宋体" w:cs="Times New Roman"/>
                <w:b/>
                <w:bCs/>
                <w:kern w:val="0"/>
                <w:sz w:val="24"/>
                <w:szCs w:val="24"/>
                <w:highlight w:val="none"/>
                <w:lang w:val="en-US" w:eastAsia="zh-CN"/>
              </w:rPr>
            </w:pPr>
            <w:r>
              <w:rPr>
                <w:rFonts w:hint="default" w:ascii="Times New Roman" w:hAnsi="Times New Roman" w:eastAsia="宋体" w:cs="Times New Roman"/>
                <w:b/>
                <w:bCs/>
                <w:kern w:val="0"/>
                <w:sz w:val="24"/>
                <w:szCs w:val="24"/>
                <w:highlight w:val="none"/>
                <w:lang w:val="en-US" w:eastAsia="zh-CN"/>
              </w:rPr>
              <w:t>1.产业政策分析</w:t>
            </w:r>
          </w:p>
          <w:p w14:paraId="262974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本项目不属于《产业结构调整指导目录（2024年本）》中的鼓励类、限制类及淘汰类项目，属于允许类，因此本项目符合产业政策的要求</w:t>
            </w:r>
            <w:r>
              <w:rPr>
                <w:rFonts w:hint="default" w:ascii="Times New Roman" w:hAnsi="Times New Roman" w:eastAsia="宋体" w:cs="Times New Roman"/>
                <w:sz w:val="24"/>
                <w:szCs w:val="24"/>
                <w:highlight w:val="none"/>
                <w:lang w:eastAsia="zh-CN"/>
              </w:rPr>
              <w:t>。</w:t>
            </w:r>
          </w:p>
          <w:p w14:paraId="6BDF8A45">
            <w:pPr>
              <w:keepNext w:val="0"/>
              <w:keepLines w:val="0"/>
              <w:pageBreakBefore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eastAsia="宋体" w:cs="Times New Roman"/>
                <w:b/>
                <w:bCs/>
                <w:kern w:val="0"/>
                <w:sz w:val="24"/>
                <w:szCs w:val="24"/>
                <w:highlight w:val="none"/>
                <w:lang w:val="en-US" w:eastAsia="zh-CN"/>
              </w:rPr>
            </w:pPr>
            <w:r>
              <w:rPr>
                <w:rFonts w:hint="default" w:ascii="Times New Roman" w:hAnsi="Times New Roman" w:eastAsia="宋体" w:cs="Times New Roman"/>
                <w:b/>
                <w:bCs/>
                <w:kern w:val="0"/>
                <w:sz w:val="24"/>
                <w:szCs w:val="24"/>
                <w:highlight w:val="none"/>
                <w:lang w:val="en-US" w:eastAsia="zh-CN"/>
              </w:rPr>
              <w:t>2.生态环境分区管控的符合性分析</w:t>
            </w:r>
          </w:p>
          <w:p w14:paraId="59DBB1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《关于印发&lt;新疆维吾尔自治区生态环境分区管控动态更新成果&gt;的通知》（新政发〔2024〕157号）的符合性分析。</w:t>
            </w:r>
          </w:p>
          <w:p w14:paraId="6BF8FB25">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表1-1 与《关于印发&lt;新疆维吾尔自治区生态环境分区管控动态更新成果&gt;的通知》（新政发〔2024〕157号）的符合性</w:t>
            </w:r>
          </w:p>
          <w:tbl>
            <w:tblPr>
              <w:tblStyle w:val="50"/>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233"/>
              <w:gridCol w:w="757"/>
              <w:gridCol w:w="3368"/>
              <w:gridCol w:w="3259"/>
            </w:tblGrid>
            <w:tr w14:paraId="6A0ABC9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16" w:type="dxa"/>
                  <w:gridSpan w:val="2"/>
                  <w:tcBorders>
                    <w:tl2br w:val="nil"/>
                    <w:tr2bl w:val="nil"/>
                  </w:tcBorders>
                  <w:noWrap w:val="0"/>
                  <w:vAlign w:val="center"/>
                </w:tcPr>
                <w:p w14:paraId="19CCB1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管控维度</w:t>
                  </w:r>
                </w:p>
              </w:tc>
              <w:tc>
                <w:tcPr>
                  <w:tcW w:w="3456" w:type="dxa"/>
                  <w:tcBorders>
                    <w:tl2br w:val="nil"/>
                    <w:tr2bl w:val="nil"/>
                  </w:tcBorders>
                  <w:noWrap w:val="0"/>
                  <w:vAlign w:val="center"/>
                </w:tcPr>
                <w:p w14:paraId="391C33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管控要求</w:t>
                  </w:r>
                </w:p>
              </w:tc>
              <w:tc>
                <w:tcPr>
                  <w:tcW w:w="3344" w:type="dxa"/>
                  <w:tcBorders>
                    <w:tl2br w:val="nil"/>
                    <w:tr2bl w:val="nil"/>
                  </w:tcBorders>
                  <w:noWrap w:val="0"/>
                  <w:vAlign w:val="center"/>
                </w:tcPr>
                <w:p w14:paraId="7D67F8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符合性分析</w:t>
                  </w:r>
                </w:p>
              </w:tc>
            </w:tr>
            <w:tr w14:paraId="5536D76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restart"/>
                  <w:tcBorders>
                    <w:tl2br w:val="nil"/>
                    <w:tr2bl w:val="nil"/>
                  </w:tcBorders>
                  <w:noWrap w:val="0"/>
                  <w:vAlign w:val="center"/>
                </w:tcPr>
                <w:p w14:paraId="39E122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A1空间布局约束</w:t>
                  </w:r>
                </w:p>
              </w:tc>
              <w:tc>
                <w:tcPr>
                  <w:tcW w:w="776" w:type="dxa"/>
                  <w:tcBorders>
                    <w:tl2br w:val="nil"/>
                    <w:tr2bl w:val="nil"/>
                  </w:tcBorders>
                  <w:noWrap w:val="0"/>
                  <w:vAlign w:val="center"/>
                </w:tcPr>
                <w:p w14:paraId="643E58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A1.1禁止开发建设的活动</w:t>
                  </w:r>
                </w:p>
              </w:tc>
              <w:tc>
                <w:tcPr>
                  <w:tcW w:w="3456" w:type="dxa"/>
                  <w:tcBorders>
                    <w:tl2br w:val="nil"/>
                    <w:tr2bl w:val="nil"/>
                  </w:tcBorders>
                  <w:noWrap w:val="0"/>
                  <w:vAlign w:val="center"/>
                </w:tcPr>
                <w:p w14:paraId="22FEC7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〔A1.1-1〕禁止新建、扩建《产业结构调整指导目录（2024年本）》中淘汰类项目。禁止引入《市场准入负面清单（2022年版）》禁止准入类事项。</w:t>
                  </w:r>
                </w:p>
              </w:tc>
              <w:tc>
                <w:tcPr>
                  <w:tcW w:w="3344" w:type="dxa"/>
                  <w:tcBorders>
                    <w:tl2br w:val="nil"/>
                    <w:tr2bl w:val="nil"/>
                  </w:tcBorders>
                  <w:noWrap w:val="0"/>
                  <w:vAlign w:val="center"/>
                </w:tcPr>
                <w:p w14:paraId="67580FE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符合，本项目属于《产业结构调整指导目录（2024 年本）》</w:t>
                  </w:r>
                  <w:r>
                    <w:rPr>
                      <w:rFonts w:hint="eastAsia" w:ascii="Times New Roman" w:hAnsi="Times New Roman" w:eastAsia="宋体" w:cs="Times New Roman"/>
                      <w:kern w:val="0"/>
                      <w:sz w:val="21"/>
                      <w:szCs w:val="21"/>
                      <w:highlight w:val="none"/>
                      <w:lang w:val="en-US" w:eastAsia="zh-CN"/>
                    </w:rPr>
                    <w:t>允许类</w:t>
                  </w:r>
                  <w:r>
                    <w:rPr>
                      <w:rFonts w:hint="default" w:ascii="Times New Roman" w:hAnsi="Times New Roman" w:eastAsia="宋体" w:cs="Times New Roman"/>
                      <w:kern w:val="0"/>
                      <w:sz w:val="21"/>
                      <w:szCs w:val="21"/>
                      <w:highlight w:val="none"/>
                      <w:lang w:val="en-US" w:eastAsia="zh-CN"/>
                    </w:rPr>
                    <w:t>项目，不属于《市场准入负面清单（20</w:t>
                  </w:r>
                  <w:r>
                    <w:rPr>
                      <w:rFonts w:hint="eastAsia" w:ascii="Times New Roman" w:hAnsi="Times New Roman" w:eastAsia="宋体" w:cs="Times New Roman"/>
                      <w:kern w:val="0"/>
                      <w:sz w:val="21"/>
                      <w:szCs w:val="21"/>
                      <w:highlight w:val="none"/>
                      <w:lang w:val="en-US" w:eastAsia="zh-CN"/>
                    </w:rPr>
                    <w:t>25</w:t>
                  </w:r>
                  <w:r>
                    <w:rPr>
                      <w:rFonts w:hint="default" w:ascii="Times New Roman" w:hAnsi="Times New Roman" w:eastAsia="宋体" w:cs="Times New Roman"/>
                      <w:kern w:val="0"/>
                      <w:sz w:val="21"/>
                      <w:szCs w:val="21"/>
                      <w:highlight w:val="none"/>
                      <w:lang w:val="en-US" w:eastAsia="zh-CN"/>
                    </w:rPr>
                    <w:t>年版）》禁止准入事项。</w:t>
                  </w:r>
                </w:p>
              </w:tc>
            </w:tr>
            <w:tr w14:paraId="1F6446A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noWrap w:val="0"/>
                  <w:vAlign w:val="center"/>
                </w:tcPr>
                <w:p w14:paraId="4A96C8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p>
              </w:tc>
              <w:tc>
                <w:tcPr>
                  <w:tcW w:w="776" w:type="dxa"/>
                  <w:vMerge w:val="restart"/>
                  <w:tcBorders>
                    <w:tl2br w:val="nil"/>
                    <w:tr2bl w:val="nil"/>
                  </w:tcBorders>
                  <w:noWrap w:val="0"/>
                  <w:vAlign w:val="center"/>
                </w:tcPr>
                <w:p w14:paraId="3B1DF4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A1.2限制开发建设的活动</w:t>
                  </w:r>
                </w:p>
              </w:tc>
              <w:tc>
                <w:tcPr>
                  <w:tcW w:w="3456" w:type="dxa"/>
                  <w:tcBorders>
                    <w:tl2br w:val="nil"/>
                    <w:tr2bl w:val="nil"/>
                  </w:tcBorders>
                  <w:noWrap w:val="0"/>
                  <w:vAlign w:val="center"/>
                </w:tcPr>
                <w:p w14:paraId="5755B9E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1.2-2〕建设项目用地原则上不得占用永久基本农田，确需占用永久基本农田的建设项目须符合《中华人民共和国基本农田保护条例》中相关要求，占用耕地、林地或草地的建设项目须按照国家、自治区相关补偿要求进行补偿。</w:t>
                  </w:r>
                </w:p>
              </w:tc>
              <w:tc>
                <w:tcPr>
                  <w:tcW w:w="3344" w:type="dxa"/>
                  <w:tcBorders>
                    <w:tl2br w:val="nil"/>
                    <w:tr2bl w:val="nil"/>
                  </w:tcBorders>
                  <w:noWrap w:val="0"/>
                  <w:vAlign w:val="center"/>
                </w:tcPr>
                <w:p w14:paraId="49745B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符合，本项目</w:t>
                  </w:r>
                  <w:r>
                    <w:rPr>
                      <w:rFonts w:hint="eastAsia" w:ascii="Times New Roman" w:hAnsi="Times New Roman" w:eastAsia="宋体" w:cs="Times New Roman"/>
                      <w:kern w:val="0"/>
                      <w:sz w:val="21"/>
                      <w:szCs w:val="21"/>
                      <w:highlight w:val="none"/>
                      <w:lang w:val="en-US" w:eastAsia="zh-CN"/>
                    </w:rPr>
                    <w:t>不涉及</w:t>
                  </w:r>
                  <w:r>
                    <w:rPr>
                      <w:rFonts w:hint="default" w:ascii="Times New Roman" w:hAnsi="Times New Roman" w:eastAsia="宋体" w:cs="Times New Roman"/>
                      <w:kern w:val="0"/>
                      <w:sz w:val="21"/>
                      <w:szCs w:val="21"/>
                      <w:highlight w:val="none"/>
                      <w:lang w:val="en-US" w:eastAsia="zh-CN"/>
                    </w:rPr>
                    <w:t>。</w:t>
                  </w:r>
                </w:p>
              </w:tc>
            </w:tr>
            <w:tr w14:paraId="1A9693E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noWrap w:val="0"/>
                  <w:vAlign w:val="center"/>
                </w:tcPr>
                <w:p w14:paraId="0B5DFA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p>
              </w:tc>
              <w:tc>
                <w:tcPr>
                  <w:tcW w:w="776" w:type="dxa"/>
                  <w:vMerge w:val="continue"/>
                  <w:tcBorders>
                    <w:tl2br w:val="nil"/>
                    <w:tr2bl w:val="nil"/>
                  </w:tcBorders>
                  <w:noWrap w:val="0"/>
                  <w:vAlign w:val="center"/>
                </w:tcPr>
                <w:p w14:paraId="1919A9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p>
              </w:tc>
              <w:tc>
                <w:tcPr>
                  <w:tcW w:w="3456" w:type="dxa"/>
                  <w:tcBorders>
                    <w:tl2br w:val="nil"/>
                    <w:tr2bl w:val="nil"/>
                  </w:tcBorders>
                  <w:noWrap w:val="0"/>
                  <w:vAlign w:val="center"/>
                </w:tcPr>
                <w:p w14:paraId="0AAD83B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〔A1.2-3〕以用途变更为住宅、公共管理与公共服务用地的地块为重点，严格建设用地准入管理和风险管控，未依法完成土壤污染状况调查或风险评估的地块，不得开工建设与风险管控和修复无关的项目。</w:t>
                  </w:r>
                </w:p>
              </w:tc>
              <w:tc>
                <w:tcPr>
                  <w:tcW w:w="3344" w:type="dxa"/>
                  <w:tcBorders>
                    <w:tl2br w:val="nil"/>
                    <w:tr2bl w:val="nil"/>
                  </w:tcBorders>
                  <w:noWrap w:val="0"/>
                  <w:vAlign w:val="center"/>
                </w:tcPr>
                <w:p w14:paraId="3EB7BE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本项目</w:t>
                  </w:r>
                  <w:r>
                    <w:rPr>
                      <w:rFonts w:hint="eastAsia" w:ascii="Times New Roman" w:hAnsi="Times New Roman" w:eastAsia="宋体" w:cs="Times New Roman"/>
                      <w:kern w:val="0"/>
                      <w:sz w:val="21"/>
                      <w:szCs w:val="21"/>
                      <w:highlight w:val="none"/>
                      <w:lang w:val="en-US" w:eastAsia="zh-CN"/>
                    </w:rPr>
                    <w:t xml:space="preserve">不涉及 </w:t>
                  </w:r>
                  <w:r>
                    <w:rPr>
                      <w:rFonts w:hint="default" w:ascii="Times New Roman" w:hAnsi="Times New Roman" w:eastAsia="宋体" w:cs="Times New Roman"/>
                      <w:kern w:val="0"/>
                      <w:sz w:val="21"/>
                      <w:szCs w:val="21"/>
                      <w:highlight w:val="none"/>
                      <w:lang w:val="en-US" w:eastAsia="zh-CN"/>
                    </w:rPr>
                    <w:t>。</w:t>
                  </w:r>
                </w:p>
              </w:tc>
            </w:tr>
            <w:tr w14:paraId="4B8AF28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noWrap w:val="0"/>
                  <w:vAlign w:val="center"/>
                </w:tcPr>
                <w:p w14:paraId="6EB24A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p>
              </w:tc>
              <w:tc>
                <w:tcPr>
                  <w:tcW w:w="776" w:type="dxa"/>
                  <w:tcBorders>
                    <w:tl2br w:val="nil"/>
                    <w:tr2bl w:val="nil"/>
                  </w:tcBorders>
                  <w:noWrap w:val="0"/>
                  <w:vAlign w:val="center"/>
                </w:tcPr>
                <w:p w14:paraId="4FA70D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A1.3不符合空间布局要求活动的退出要求</w:t>
                  </w:r>
                </w:p>
              </w:tc>
              <w:tc>
                <w:tcPr>
                  <w:tcW w:w="3456" w:type="dxa"/>
                  <w:tcBorders>
                    <w:tl2br w:val="nil"/>
                    <w:tr2bl w:val="nil"/>
                  </w:tcBorders>
                  <w:noWrap w:val="0"/>
                  <w:vAlign w:val="center"/>
                </w:tcPr>
                <w:p w14:paraId="6363FB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〔A1.3-1〕任何单位和个人不得在水源涵养区、饮用水水源保护区内和河流、湖泊、水库周围建设重化工、涉重金属等工业污染项目；对已建成的工业污染项目，当地人民政府应当组织限期搬迁。</w:t>
                  </w:r>
                </w:p>
              </w:tc>
              <w:tc>
                <w:tcPr>
                  <w:tcW w:w="3344" w:type="dxa"/>
                  <w:tcBorders>
                    <w:tl2br w:val="nil"/>
                    <w:tr2bl w:val="nil"/>
                  </w:tcBorders>
                  <w:noWrap w:val="0"/>
                  <w:vAlign w:val="center"/>
                </w:tcPr>
                <w:p w14:paraId="4850CDB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本项目</w:t>
                  </w:r>
                  <w:r>
                    <w:rPr>
                      <w:rFonts w:hint="eastAsia" w:ascii="Times New Roman" w:hAnsi="Times New Roman" w:eastAsia="宋体" w:cs="Times New Roman"/>
                      <w:kern w:val="0"/>
                      <w:sz w:val="21"/>
                      <w:szCs w:val="21"/>
                      <w:highlight w:val="none"/>
                      <w:lang w:val="en-US" w:eastAsia="zh-CN"/>
                    </w:rPr>
                    <w:t>不属于重化工、涉重金属等工业污染项目</w:t>
                  </w:r>
                  <w:r>
                    <w:rPr>
                      <w:rFonts w:hint="default" w:ascii="Times New Roman" w:hAnsi="Times New Roman" w:eastAsia="宋体" w:cs="Times New Roman"/>
                      <w:kern w:val="0"/>
                      <w:sz w:val="21"/>
                      <w:szCs w:val="21"/>
                      <w:highlight w:val="none"/>
                      <w:lang w:val="en-US" w:eastAsia="zh-CN"/>
                    </w:rPr>
                    <w:t>。</w:t>
                  </w:r>
                </w:p>
              </w:tc>
            </w:tr>
            <w:tr w14:paraId="2CE9BB4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noWrap w:val="0"/>
                  <w:vAlign w:val="center"/>
                </w:tcPr>
                <w:p w14:paraId="13AF18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p>
              </w:tc>
              <w:tc>
                <w:tcPr>
                  <w:tcW w:w="776" w:type="dxa"/>
                  <w:tcBorders>
                    <w:tl2br w:val="nil"/>
                    <w:tr2bl w:val="nil"/>
                  </w:tcBorders>
                  <w:noWrap w:val="0"/>
                  <w:vAlign w:val="center"/>
                </w:tcPr>
                <w:p w14:paraId="747E26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A1.4其它布局要求</w:t>
                  </w:r>
                </w:p>
              </w:tc>
              <w:tc>
                <w:tcPr>
                  <w:tcW w:w="3456" w:type="dxa"/>
                  <w:tcBorders>
                    <w:tl2br w:val="nil"/>
                    <w:tr2bl w:val="nil"/>
                  </w:tcBorders>
                  <w:noWrap w:val="0"/>
                  <w:vAlign w:val="center"/>
                </w:tcPr>
                <w:p w14:paraId="0AD0246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1.4-1〕一切开发建设活动应符合国家、自治区主体功能区规划、自治区和各地颁布实施的生态环境功能区划、国民经济发展规划、产业发展规划、国土空间规划等相关规划及重点生态功能区负面清单要求，符合区域或产业规划环评要求。</w:t>
                  </w:r>
                </w:p>
              </w:tc>
              <w:tc>
                <w:tcPr>
                  <w:tcW w:w="3344" w:type="dxa"/>
                  <w:tcBorders>
                    <w:tl2br w:val="nil"/>
                    <w:tr2bl w:val="nil"/>
                  </w:tcBorders>
                  <w:noWrap w:val="0"/>
                  <w:vAlign w:val="center"/>
                </w:tcPr>
                <w:p w14:paraId="4578A6F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符合，本项目位于</w:t>
                  </w:r>
                  <w:r>
                    <w:rPr>
                      <w:rFonts w:hint="eastAsia" w:ascii="Times New Roman" w:hAnsi="Times New Roman" w:eastAsia="宋体" w:cs="Times New Roman"/>
                      <w:kern w:val="0"/>
                      <w:sz w:val="21"/>
                      <w:szCs w:val="21"/>
                      <w:highlight w:val="none"/>
                      <w:lang w:val="en-US" w:eastAsia="zh-CN"/>
                    </w:rPr>
                    <w:t>和静工业园区哈尔莫墩矿业片区。</w:t>
                  </w:r>
                  <w:r>
                    <w:rPr>
                      <w:rFonts w:hint="default" w:ascii="Times New Roman" w:hAnsi="Times New Roman" w:eastAsia="宋体" w:cs="Times New Roman"/>
                      <w:kern w:val="0"/>
                      <w:sz w:val="21"/>
                      <w:szCs w:val="21"/>
                      <w:highlight w:val="none"/>
                      <w:lang w:val="en-US" w:eastAsia="zh-CN"/>
                    </w:rPr>
                    <w:t>用地性质为工业用地，本项目符合和静县工业园的总体规划。</w:t>
                  </w:r>
                </w:p>
              </w:tc>
            </w:tr>
            <w:tr w14:paraId="7CD8283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restart"/>
                  <w:tcBorders>
                    <w:tl2br w:val="nil"/>
                    <w:tr2bl w:val="nil"/>
                  </w:tcBorders>
                  <w:noWrap w:val="0"/>
                  <w:vAlign w:val="center"/>
                </w:tcPr>
                <w:p w14:paraId="5042BF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A2污染物排放管控</w:t>
                  </w:r>
                </w:p>
              </w:tc>
              <w:tc>
                <w:tcPr>
                  <w:tcW w:w="776" w:type="dxa"/>
                  <w:vMerge w:val="restart"/>
                  <w:tcBorders>
                    <w:tl2br w:val="nil"/>
                    <w:tr2bl w:val="nil"/>
                  </w:tcBorders>
                  <w:noWrap w:val="0"/>
                  <w:vAlign w:val="center"/>
                </w:tcPr>
                <w:p w14:paraId="7F4C37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A2.1污染物削减/替代要求</w:t>
                  </w:r>
                </w:p>
              </w:tc>
              <w:tc>
                <w:tcPr>
                  <w:tcW w:w="3456" w:type="dxa"/>
                  <w:tcBorders>
                    <w:tl2br w:val="nil"/>
                    <w:tr2bl w:val="nil"/>
                  </w:tcBorders>
                  <w:noWrap w:val="0"/>
                  <w:vAlign w:val="center"/>
                </w:tcPr>
                <w:p w14:paraId="0D4168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2.1-1〕新、改、扩建重点行业建设项目应符合“三线一单”、产业政策、区域环评、规划环评和行业环境准入管控要求。重点区域的新、改、扩建重点行业建设项目应遵循重点重金属污染物排放“减量替代”原则。</w:t>
                  </w:r>
                </w:p>
              </w:tc>
              <w:tc>
                <w:tcPr>
                  <w:tcW w:w="3344" w:type="dxa"/>
                  <w:tcBorders>
                    <w:tl2br w:val="nil"/>
                    <w:tr2bl w:val="nil"/>
                  </w:tcBorders>
                  <w:noWrap w:val="0"/>
                  <w:vAlign w:val="center"/>
                </w:tcPr>
                <w:p w14:paraId="0E2C1C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本项目不涉及</w:t>
                  </w:r>
                  <w:r>
                    <w:rPr>
                      <w:rFonts w:hint="default" w:ascii="Times New Roman" w:hAnsi="Times New Roman" w:eastAsia="宋体" w:cs="Times New Roman"/>
                      <w:kern w:val="0"/>
                      <w:sz w:val="21"/>
                      <w:szCs w:val="21"/>
                      <w:highlight w:val="none"/>
                      <w:lang w:val="en-US" w:eastAsia="zh-CN"/>
                    </w:rPr>
                    <w:t>。</w:t>
                  </w:r>
                </w:p>
              </w:tc>
            </w:tr>
            <w:tr w14:paraId="4981110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noWrap w:val="0"/>
                  <w:vAlign w:val="center"/>
                </w:tcPr>
                <w:p w14:paraId="31C9EC6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p>
              </w:tc>
              <w:tc>
                <w:tcPr>
                  <w:tcW w:w="776" w:type="dxa"/>
                  <w:vMerge w:val="continue"/>
                  <w:tcBorders>
                    <w:tl2br w:val="nil"/>
                    <w:tr2bl w:val="nil"/>
                  </w:tcBorders>
                  <w:noWrap w:val="0"/>
                  <w:vAlign w:val="center"/>
                </w:tcPr>
                <w:p w14:paraId="60B782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p>
              </w:tc>
              <w:tc>
                <w:tcPr>
                  <w:tcW w:w="3456" w:type="dxa"/>
                  <w:tcBorders>
                    <w:tl2br w:val="nil"/>
                    <w:tr2bl w:val="nil"/>
                  </w:tcBorders>
                  <w:noWrap w:val="0"/>
                  <w:vAlign w:val="center"/>
                </w:tcPr>
                <w:p w14:paraId="0852B0F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2.1-3〕促进大气污染物与温室气体协同控制。实施污染物和温室气体协同控制，实现减污降碳协同效应。开展工业、农业温室气体和污染减排协同控制研究，减少温室气体和污染物排放。强化污水、垃圾等集中处置设施环境管理，协同控制氢氟碳化物、甲烷、氧化亚氮等温室气体。加强节约能源与大气污染防治协同有效衔接，促进大气污染防治协同增效。</w:t>
                  </w:r>
                </w:p>
              </w:tc>
              <w:tc>
                <w:tcPr>
                  <w:tcW w:w="3344" w:type="dxa"/>
                  <w:tcBorders>
                    <w:tl2br w:val="nil"/>
                    <w:tr2bl w:val="nil"/>
                  </w:tcBorders>
                  <w:noWrap w:val="0"/>
                  <w:vAlign w:val="center"/>
                </w:tcPr>
                <w:p w14:paraId="48F95B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符合，</w:t>
                  </w:r>
                  <w:r>
                    <w:rPr>
                      <w:rFonts w:hint="eastAsia" w:ascii="Times New Roman" w:hAnsi="Times New Roman" w:eastAsia="宋体" w:cs="Times New Roman"/>
                      <w:sz w:val="21"/>
                      <w:szCs w:val="21"/>
                      <w:highlight w:val="none"/>
                      <w:lang w:val="en-US" w:eastAsia="zh-CN"/>
                    </w:rPr>
                    <w:t>本项目不涉及。</w:t>
                  </w:r>
                </w:p>
              </w:tc>
            </w:tr>
            <w:tr w14:paraId="416557A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noWrap w:val="0"/>
                  <w:vAlign w:val="center"/>
                </w:tcPr>
                <w:p w14:paraId="5441DB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p>
              </w:tc>
              <w:tc>
                <w:tcPr>
                  <w:tcW w:w="776" w:type="dxa"/>
                  <w:vMerge w:val="restart"/>
                  <w:tcBorders>
                    <w:tl2br w:val="nil"/>
                    <w:tr2bl w:val="nil"/>
                  </w:tcBorders>
                  <w:noWrap w:val="0"/>
                  <w:vAlign w:val="center"/>
                </w:tcPr>
                <w:p w14:paraId="0713C37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A2.2污染控制措施要求</w:t>
                  </w:r>
                </w:p>
              </w:tc>
              <w:tc>
                <w:tcPr>
                  <w:tcW w:w="3456" w:type="dxa"/>
                  <w:tcBorders>
                    <w:tl2br w:val="nil"/>
                    <w:tr2bl w:val="nil"/>
                  </w:tcBorders>
                  <w:noWrap w:val="0"/>
                  <w:vAlign w:val="center"/>
                </w:tcPr>
                <w:p w14:paraId="06DEF74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2.2-1〕推动能源、钢铁、建材、有色、电力、化工等重点领域技术升级，控制工业过程温室气体排放，推动工业领域绿色低碳发展。积极鼓励发展二氧化碳捕集利用与封存等低碳技术。促进大气污染物与温室气体协同控制。实施污染物和温室气体协同控制，实现减污降碳协同效应。强化污水、垃圾等集中处置设施环境管理，协同控制氢氟碳化物、甲烷、氧化亚氮等温室气体。加强节约能源与大气污染防治协同有效衔接，促进大气污染防治协同增效。</w:t>
                  </w:r>
                </w:p>
              </w:tc>
              <w:tc>
                <w:tcPr>
                  <w:tcW w:w="3344" w:type="dxa"/>
                  <w:tcBorders>
                    <w:tl2br w:val="nil"/>
                    <w:tr2bl w:val="nil"/>
                  </w:tcBorders>
                  <w:noWrap w:val="0"/>
                  <w:vAlign w:val="center"/>
                </w:tcPr>
                <w:p w14:paraId="350101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本项目不涉及。</w:t>
                  </w:r>
                </w:p>
              </w:tc>
            </w:tr>
            <w:tr w14:paraId="7BECC02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noWrap w:val="0"/>
                  <w:vAlign w:val="center"/>
                </w:tcPr>
                <w:p w14:paraId="5BDA22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p>
              </w:tc>
              <w:tc>
                <w:tcPr>
                  <w:tcW w:w="776" w:type="dxa"/>
                  <w:vMerge w:val="continue"/>
                  <w:tcBorders>
                    <w:tl2br w:val="nil"/>
                    <w:tr2bl w:val="nil"/>
                  </w:tcBorders>
                  <w:noWrap w:val="0"/>
                  <w:vAlign w:val="center"/>
                </w:tcPr>
                <w:p w14:paraId="58FF27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p>
              </w:tc>
              <w:tc>
                <w:tcPr>
                  <w:tcW w:w="3456" w:type="dxa"/>
                  <w:tcBorders>
                    <w:tl2br w:val="nil"/>
                    <w:tr2bl w:val="nil"/>
                  </w:tcBorders>
                  <w:noWrap w:val="0"/>
                  <w:vAlign w:val="center"/>
                </w:tcPr>
                <w:p w14:paraId="35E46D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2.2-3〕强化重点区域大气污染联防联控，合理确定产业布局，推动区域内统一产业准入和排放标准。实施水泥行业错峰生产，推进散煤整治、挥发性有机污染物综合治理、钢铁、水泥、焦化和燃煤工业锅炉行业超低排放改造、燃气锅炉低氮燃烧改造、工业园区内轨道运输（大宗货物“公转铁”）、柴油货车治理、锅炉炉窑综合治理等工程项目。全面推行绿色施工，持续推动城市建成区重污染企业搬迁或关闭退出。</w:t>
                  </w:r>
                </w:p>
              </w:tc>
              <w:tc>
                <w:tcPr>
                  <w:tcW w:w="3344" w:type="dxa"/>
                  <w:tcBorders>
                    <w:tl2br w:val="nil"/>
                    <w:tr2bl w:val="nil"/>
                  </w:tcBorders>
                  <w:noWrap w:val="0"/>
                  <w:vAlign w:val="center"/>
                </w:tcPr>
                <w:p w14:paraId="0A7288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符合，本项目</w:t>
                  </w:r>
                  <w:r>
                    <w:rPr>
                      <w:rFonts w:hint="eastAsia" w:ascii="Times New Roman" w:hAnsi="Times New Roman" w:eastAsia="宋体" w:cs="Times New Roman"/>
                      <w:kern w:val="0"/>
                      <w:sz w:val="21"/>
                      <w:szCs w:val="21"/>
                      <w:highlight w:val="none"/>
                      <w:lang w:val="en-US" w:eastAsia="zh-CN"/>
                    </w:rPr>
                    <w:t>不在</w:t>
                  </w:r>
                  <w:r>
                    <w:rPr>
                      <w:rFonts w:hint="default" w:ascii="Times New Roman" w:hAnsi="Times New Roman" w:eastAsia="宋体" w:cs="Times New Roman"/>
                      <w:kern w:val="0"/>
                      <w:sz w:val="21"/>
                      <w:szCs w:val="21"/>
                      <w:highlight w:val="none"/>
                      <w:lang w:val="en-US" w:eastAsia="zh-CN"/>
                    </w:rPr>
                    <w:t>重点控制区内</w:t>
                  </w:r>
                  <w:r>
                    <w:rPr>
                      <w:rFonts w:hint="eastAsia" w:ascii="Times New Roman" w:hAnsi="Times New Roman" w:eastAsia="宋体" w:cs="Times New Roman"/>
                      <w:sz w:val="21"/>
                      <w:szCs w:val="21"/>
                      <w:highlight w:val="none"/>
                      <w:lang w:val="en-US" w:eastAsia="zh-CN"/>
                    </w:rPr>
                    <w:t>。</w:t>
                  </w:r>
                </w:p>
              </w:tc>
            </w:tr>
            <w:tr w14:paraId="47C3DBF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restart"/>
                  <w:tcBorders>
                    <w:tl2br w:val="nil"/>
                    <w:tr2bl w:val="nil"/>
                  </w:tcBorders>
                  <w:noWrap w:val="0"/>
                  <w:vAlign w:val="center"/>
                </w:tcPr>
                <w:p w14:paraId="6C6AA81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A3环境风险防控</w:t>
                  </w:r>
                </w:p>
              </w:tc>
              <w:tc>
                <w:tcPr>
                  <w:tcW w:w="776" w:type="dxa"/>
                  <w:tcBorders>
                    <w:tl2br w:val="nil"/>
                    <w:tr2bl w:val="nil"/>
                  </w:tcBorders>
                  <w:noWrap w:val="0"/>
                  <w:vAlign w:val="center"/>
                </w:tcPr>
                <w:p w14:paraId="52F37B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A3.1人居环境要求</w:t>
                  </w:r>
                </w:p>
              </w:tc>
              <w:tc>
                <w:tcPr>
                  <w:tcW w:w="3456" w:type="dxa"/>
                  <w:tcBorders>
                    <w:tl2br w:val="nil"/>
                    <w:tr2bl w:val="nil"/>
                  </w:tcBorders>
                  <w:noWrap w:val="0"/>
                  <w:vAlign w:val="center"/>
                </w:tcPr>
                <w:p w14:paraId="58D532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〔A3.1-1〕建立和完善重污染天气兵地联合应急预案、预报预警应急机制和会商联动机制。“乌一昌一石”区域内可能影响相邻行政区域大气环境的项目，兵地间、城市间必须相互征求意见。</w:t>
                  </w:r>
                </w:p>
              </w:tc>
              <w:tc>
                <w:tcPr>
                  <w:tcW w:w="3344" w:type="dxa"/>
                  <w:tcBorders>
                    <w:tl2br w:val="nil"/>
                    <w:tr2bl w:val="nil"/>
                  </w:tcBorders>
                  <w:noWrap w:val="0"/>
                  <w:vAlign w:val="center"/>
                </w:tcPr>
                <w:p w14:paraId="23DE23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符</w:t>
                  </w:r>
                  <w:r>
                    <w:rPr>
                      <w:rFonts w:hint="eastAsia" w:cs="Times New Roman"/>
                      <w:kern w:val="0"/>
                      <w:sz w:val="21"/>
                      <w:szCs w:val="21"/>
                      <w:highlight w:val="none"/>
                      <w:lang w:val="en-US" w:eastAsia="zh-CN"/>
                    </w:rPr>
                    <w:t>合，</w:t>
                  </w:r>
                  <w:r>
                    <w:rPr>
                      <w:rFonts w:hint="eastAsia" w:ascii="Times New Roman" w:hAnsi="Times New Roman" w:eastAsia="宋体" w:cs="Times New Roman"/>
                      <w:kern w:val="0"/>
                      <w:sz w:val="21"/>
                      <w:szCs w:val="21"/>
                      <w:highlight w:val="none"/>
                      <w:lang w:val="en-US" w:eastAsia="zh-CN"/>
                    </w:rPr>
                    <w:t>本项目不涉及</w:t>
                  </w:r>
                </w:p>
              </w:tc>
            </w:tr>
            <w:tr w14:paraId="68822BB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noWrap w:val="0"/>
                  <w:vAlign w:val="center"/>
                </w:tcPr>
                <w:p w14:paraId="7555FA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p>
              </w:tc>
              <w:tc>
                <w:tcPr>
                  <w:tcW w:w="776" w:type="dxa"/>
                  <w:vMerge w:val="restart"/>
                  <w:tcBorders>
                    <w:tl2br w:val="nil"/>
                    <w:tr2bl w:val="nil"/>
                  </w:tcBorders>
                  <w:noWrap w:val="0"/>
                  <w:vAlign w:val="center"/>
                </w:tcPr>
                <w:p w14:paraId="5C5A6FB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p>
              </w:tc>
              <w:tc>
                <w:tcPr>
                  <w:tcW w:w="3456" w:type="dxa"/>
                  <w:tcBorders>
                    <w:tl2br w:val="nil"/>
                    <w:tr2bl w:val="nil"/>
                  </w:tcBorders>
                  <w:noWrap w:val="0"/>
                  <w:vAlign w:val="center"/>
                </w:tcPr>
                <w:p w14:paraId="008F5A5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3.2-3〕加强新污染物多环境介质协同治理。排放重点管控新污染物的企事业单位应采取污染控制措施，达到相关污染物排放标准及环境质量目标要求；按照排污许可管理有关要求，依法申领排污许可证或填写排污登记表，并在其中载明执行的污染控制标准要求及采取的污染控制措施。排放重点管控新污染物的企事业单位和其他生产经营者应按照相关法律法规要求，对排放（污）口及其周边环境定期开展环境监测，评估环境风险，排查整治环境安全隐患，依法公开新污染物信息，采取措施防范环境风险。土壤污染重点监管单位应严格控制有毒有害物质排放，建立土壤污染隐患排查制度，防止有毒有害物质渗漏、流失、扬散。</w:t>
                  </w:r>
                </w:p>
              </w:tc>
              <w:tc>
                <w:tcPr>
                  <w:tcW w:w="3344" w:type="dxa"/>
                  <w:tcBorders>
                    <w:tl2br w:val="nil"/>
                    <w:tr2bl w:val="nil"/>
                  </w:tcBorders>
                  <w:noWrap w:val="0"/>
                  <w:vAlign w:val="center"/>
                </w:tcPr>
                <w:p w14:paraId="543E327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本项目不涉及新污染物排放。</w:t>
                  </w:r>
                </w:p>
              </w:tc>
            </w:tr>
            <w:tr w14:paraId="432B077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noWrap w:val="0"/>
                  <w:vAlign w:val="center"/>
                </w:tcPr>
                <w:p w14:paraId="3359CB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p>
              </w:tc>
              <w:tc>
                <w:tcPr>
                  <w:tcW w:w="776" w:type="dxa"/>
                  <w:vMerge w:val="continue"/>
                  <w:tcBorders>
                    <w:tl2br w:val="nil"/>
                    <w:tr2bl w:val="nil"/>
                  </w:tcBorders>
                  <w:noWrap w:val="0"/>
                  <w:vAlign w:val="center"/>
                </w:tcPr>
                <w:p w14:paraId="249B037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p>
              </w:tc>
              <w:tc>
                <w:tcPr>
                  <w:tcW w:w="3456" w:type="dxa"/>
                  <w:tcBorders>
                    <w:tl2br w:val="nil"/>
                    <w:tr2bl w:val="nil"/>
                  </w:tcBorders>
                  <w:noWrap w:val="0"/>
                  <w:vAlign w:val="center"/>
                </w:tcPr>
                <w:p w14:paraId="2DB70E1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3.2-5〕强化生态环境应急管理。实施企业突发生态环境应急预案电子化备案，完成县级以上政府突发环境事件应急预案修编。完善区域和企业应急处置物资储备系统，结合新疆各地特征污染物的特性，加强应急物资储备及应急物资信息化建设，掌握社会应急物资储备动态信息，妥善应对各类突发生态环境事件。加强应急监测装备配置，定期开展应急演练，增强实战能力。</w:t>
                  </w:r>
                </w:p>
              </w:tc>
              <w:tc>
                <w:tcPr>
                  <w:tcW w:w="3344" w:type="dxa"/>
                  <w:tcBorders>
                    <w:tl2br w:val="nil"/>
                    <w:tr2bl w:val="nil"/>
                  </w:tcBorders>
                  <w:noWrap w:val="0"/>
                  <w:vAlign w:val="center"/>
                </w:tcPr>
                <w:p w14:paraId="7B9640B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符合，本项目建成后需编制突发环境事件应急预案。</w:t>
                  </w:r>
                </w:p>
              </w:tc>
            </w:tr>
            <w:tr w14:paraId="526501A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noWrap w:val="0"/>
                  <w:vAlign w:val="center"/>
                </w:tcPr>
                <w:p w14:paraId="3D32F57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p>
              </w:tc>
              <w:tc>
                <w:tcPr>
                  <w:tcW w:w="776" w:type="dxa"/>
                  <w:vMerge w:val="continue"/>
                  <w:tcBorders>
                    <w:tl2br w:val="nil"/>
                    <w:tr2bl w:val="nil"/>
                  </w:tcBorders>
                  <w:noWrap w:val="0"/>
                  <w:vAlign w:val="center"/>
                </w:tcPr>
                <w:p w14:paraId="139BE8A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p>
              </w:tc>
              <w:tc>
                <w:tcPr>
                  <w:tcW w:w="3456" w:type="dxa"/>
                  <w:tcBorders>
                    <w:tl2br w:val="nil"/>
                    <w:tr2bl w:val="nil"/>
                  </w:tcBorders>
                  <w:noWrap w:val="0"/>
                  <w:vAlign w:val="center"/>
                </w:tcPr>
                <w:p w14:paraId="385611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3.2-6〕强化兵地联防联控联治，落实兵地统一规划、统一政策、统一标准、统一要求、统一推进的防治管理措施，完善重大项目环境影响评价区域会商、重污染天气兵地联合应急联动机制。建立兵地生态环境联合执法和联合监测长效机制。</w:t>
                  </w:r>
                </w:p>
              </w:tc>
              <w:tc>
                <w:tcPr>
                  <w:tcW w:w="3344" w:type="dxa"/>
                  <w:tcBorders>
                    <w:tl2br w:val="nil"/>
                    <w:tr2bl w:val="nil"/>
                  </w:tcBorders>
                  <w:noWrap w:val="0"/>
                  <w:vAlign w:val="center"/>
                </w:tcPr>
                <w:p w14:paraId="1B998A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符合，本项目</w:t>
                  </w:r>
                  <w:r>
                    <w:rPr>
                      <w:rFonts w:hint="eastAsia" w:ascii="Times New Roman" w:hAnsi="Times New Roman" w:eastAsia="宋体" w:cs="Times New Roman"/>
                      <w:kern w:val="0"/>
                      <w:sz w:val="21"/>
                      <w:szCs w:val="21"/>
                      <w:highlight w:val="none"/>
                      <w:lang w:val="en-US" w:eastAsia="zh-CN"/>
                    </w:rPr>
                    <w:t>不涉及</w:t>
                  </w:r>
                  <w:r>
                    <w:rPr>
                      <w:rFonts w:hint="default" w:ascii="Times New Roman" w:hAnsi="Times New Roman" w:eastAsia="宋体" w:cs="Times New Roman"/>
                      <w:kern w:val="0"/>
                      <w:sz w:val="21"/>
                      <w:szCs w:val="21"/>
                      <w:highlight w:val="none"/>
                      <w:lang w:val="en-US" w:eastAsia="zh-CN"/>
                    </w:rPr>
                    <w:t>。</w:t>
                  </w:r>
                </w:p>
              </w:tc>
            </w:tr>
            <w:tr w14:paraId="1FA9679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restart"/>
                  <w:tcBorders>
                    <w:tl2br w:val="nil"/>
                    <w:tr2bl w:val="nil"/>
                  </w:tcBorders>
                  <w:noWrap w:val="0"/>
                  <w:vAlign w:val="center"/>
                </w:tcPr>
                <w:p w14:paraId="113E1C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A4资源利用要求</w:t>
                  </w:r>
                </w:p>
              </w:tc>
              <w:tc>
                <w:tcPr>
                  <w:tcW w:w="776" w:type="dxa"/>
                  <w:tcBorders>
                    <w:tl2br w:val="nil"/>
                    <w:tr2bl w:val="nil"/>
                  </w:tcBorders>
                  <w:noWrap w:val="0"/>
                  <w:vAlign w:val="center"/>
                </w:tcPr>
                <w:p w14:paraId="218F57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A4.1水资源</w:t>
                  </w:r>
                </w:p>
              </w:tc>
              <w:tc>
                <w:tcPr>
                  <w:tcW w:w="3456" w:type="dxa"/>
                  <w:tcBorders>
                    <w:tl2br w:val="nil"/>
                    <w:tr2bl w:val="nil"/>
                  </w:tcBorders>
                  <w:noWrap w:val="0"/>
                  <w:vAlign w:val="center"/>
                </w:tcPr>
                <w:p w14:paraId="1837D31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4.1-2〕加大城镇污水再生利用工程建设力度，推进区域再生水循环利用，到2025年，城市生活污水再生利用率力争达到60%。〔A4.1-3〕加强农村水利基础设施建设，推进农村供水保障工程，农村自来水普及率、集中供水率分别达到99.3%、99.7%。</w:t>
                  </w:r>
                </w:p>
              </w:tc>
              <w:tc>
                <w:tcPr>
                  <w:tcW w:w="3344" w:type="dxa"/>
                  <w:tcBorders>
                    <w:tl2br w:val="nil"/>
                    <w:tr2bl w:val="nil"/>
                  </w:tcBorders>
                  <w:noWrap w:val="0"/>
                  <w:vAlign w:val="center"/>
                </w:tcPr>
                <w:p w14:paraId="19280AD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符合，本项目</w:t>
                  </w:r>
                  <w:r>
                    <w:rPr>
                      <w:rFonts w:hint="eastAsia" w:ascii="Times New Roman" w:hAnsi="Times New Roman" w:eastAsia="宋体" w:cs="Times New Roman"/>
                      <w:kern w:val="0"/>
                      <w:sz w:val="21"/>
                      <w:szCs w:val="21"/>
                      <w:highlight w:val="none"/>
                      <w:lang w:val="en-US" w:eastAsia="zh-CN"/>
                    </w:rPr>
                    <w:t>不涉及</w:t>
                  </w:r>
                  <w:r>
                    <w:rPr>
                      <w:rFonts w:hint="default" w:ascii="Times New Roman" w:hAnsi="Times New Roman" w:eastAsia="宋体" w:cs="Times New Roman"/>
                      <w:kern w:val="0"/>
                      <w:sz w:val="21"/>
                      <w:szCs w:val="21"/>
                      <w:highlight w:val="none"/>
                      <w:lang w:val="en-US" w:eastAsia="zh-CN"/>
                    </w:rPr>
                    <w:t>。</w:t>
                  </w:r>
                </w:p>
              </w:tc>
            </w:tr>
            <w:tr w14:paraId="1AAF7A6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noWrap w:val="0"/>
                  <w:vAlign w:val="center"/>
                </w:tcPr>
                <w:p w14:paraId="5B6ABC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p>
              </w:tc>
              <w:tc>
                <w:tcPr>
                  <w:tcW w:w="776" w:type="dxa"/>
                  <w:tcBorders>
                    <w:tl2br w:val="nil"/>
                    <w:tr2bl w:val="nil"/>
                  </w:tcBorders>
                  <w:noWrap w:val="0"/>
                  <w:vAlign w:val="center"/>
                </w:tcPr>
                <w:p w14:paraId="3F582D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A4.2土地资源</w:t>
                  </w:r>
                </w:p>
              </w:tc>
              <w:tc>
                <w:tcPr>
                  <w:tcW w:w="3456" w:type="dxa"/>
                  <w:tcBorders>
                    <w:tl2br w:val="nil"/>
                    <w:tr2bl w:val="nil"/>
                  </w:tcBorders>
                  <w:noWrap w:val="0"/>
                  <w:vAlign w:val="center"/>
                </w:tcPr>
                <w:p w14:paraId="6CE19FF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〔A4.2-1〕土地资源上线指标控制在最终批复的国土空间规划控制指标内。</w:t>
                  </w:r>
                </w:p>
              </w:tc>
              <w:tc>
                <w:tcPr>
                  <w:tcW w:w="3344" w:type="dxa"/>
                  <w:tcBorders>
                    <w:tl2br w:val="nil"/>
                    <w:tr2bl w:val="nil"/>
                  </w:tcBorders>
                  <w:noWrap w:val="0"/>
                  <w:vAlign w:val="center"/>
                </w:tcPr>
                <w:p w14:paraId="59E70A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符合，本项目</w:t>
                  </w:r>
                  <w:r>
                    <w:rPr>
                      <w:rFonts w:hint="eastAsia" w:ascii="Times New Roman" w:hAnsi="Times New Roman" w:eastAsia="宋体" w:cs="Times New Roman"/>
                      <w:kern w:val="0"/>
                      <w:sz w:val="21"/>
                      <w:szCs w:val="21"/>
                      <w:highlight w:val="none"/>
                      <w:lang w:val="en-US" w:eastAsia="zh-CN"/>
                    </w:rPr>
                    <w:t>不涉及</w:t>
                  </w:r>
                  <w:r>
                    <w:rPr>
                      <w:rFonts w:hint="default" w:ascii="Times New Roman" w:hAnsi="Times New Roman" w:eastAsia="宋体" w:cs="Times New Roman"/>
                      <w:kern w:val="0"/>
                      <w:sz w:val="21"/>
                      <w:szCs w:val="21"/>
                      <w:highlight w:val="none"/>
                      <w:lang w:val="en-US" w:eastAsia="zh-CN"/>
                    </w:rPr>
                    <w:t>。</w:t>
                  </w:r>
                </w:p>
              </w:tc>
            </w:tr>
            <w:tr w14:paraId="27008DF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noWrap w:val="0"/>
                  <w:vAlign w:val="center"/>
                </w:tcPr>
                <w:p w14:paraId="6D573F6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p>
              </w:tc>
              <w:tc>
                <w:tcPr>
                  <w:tcW w:w="776" w:type="dxa"/>
                  <w:tcBorders>
                    <w:tl2br w:val="nil"/>
                    <w:tr2bl w:val="nil"/>
                  </w:tcBorders>
                  <w:noWrap w:val="0"/>
                  <w:vAlign w:val="center"/>
                </w:tcPr>
                <w:p w14:paraId="72E2CD3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A4.4禁燃区要求</w:t>
                  </w:r>
                </w:p>
              </w:tc>
              <w:tc>
                <w:tcPr>
                  <w:tcW w:w="3456" w:type="dxa"/>
                  <w:tcBorders>
                    <w:tl2br w:val="nil"/>
                    <w:tr2bl w:val="nil"/>
                  </w:tcBorders>
                  <w:noWrap w:val="0"/>
                  <w:vAlign w:val="center"/>
                </w:tcPr>
                <w:p w14:paraId="6E8F2B2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〔A4.4-1〕在禁燃区内，禁止销售、燃用高污染燃料；禁止新建、扩建燃用高污染燃料的设施。已建成的，应当在规定期限内改用清洁能源。</w:t>
                  </w:r>
                </w:p>
              </w:tc>
              <w:tc>
                <w:tcPr>
                  <w:tcW w:w="3344" w:type="dxa"/>
                  <w:tcBorders>
                    <w:tl2br w:val="nil"/>
                    <w:tr2bl w:val="nil"/>
                  </w:tcBorders>
                  <w:noWrap w:val="0"/>
                  <w:vAlign w:val="center"/>
                </w:tcPr>
                <w:p w14:paraId="338335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符合，本项目不涉及。</w:t>
                  </w:r>
                </w:p>
              </w:tc>
            </w:tr>
            <w:tr w14:paraId="77CC446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noWrap w:val="0"/>
                  <w:vAlign w:val="center"/>
                </w:tcPr>
                <w:p w14:paraId="060F8C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p>
              </w:tc>
              <w:tc>
                <w:tcPr>
                  <w:tcW w:w="776" w:type="dxa"/>
                  <w:tcBorders>
                    <w:tl2br w:val="nil"/>
                    <w:tr2bl w:val="nil"/>
                  </w:tcBorders>
                  <w:noWrap w:val="0"/>
                  <w:vAlign w:val="center"/>
                </w:tcPr>
                <w:p w14:paraId="115E32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A4.5资源综合利用</w:t>
                  </w:r>
                </w:p>
              </w:tc>
              <w:tc>
                <w:tcPr>
                  <w:tcW w:w="3456" w:type="dxa"/>
                  <w:tcBorders>
                    <w:tl2br w:val="nil"/>
                    <w:tr2bl w:val="nil"/>
                  </w:tcBorders>
                  <w:noWrap w:val="0"/>
                  <w:vAlign w:val="center"/>
                </w:tcPr>
                <w:p w14:paraId="1C51574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A4.5-1〕加强固体废物源头减量、资源化利用和无害化处置，最大限度减少填埋量。推进工业固体废物精细化、名录化环境管理，促进大宗工业固废综合利用、主要农业废弃物全量利用。加快构建废旧物资回收和循环利用体系，健全强制报废制度和废旧家电、消费电子等耐用消费品回收处理体系，推行生产企业“逆向回收”等模式。以尾矿和共伴生矿、煤矸石、炉渣、粉煤灰、脱硫石膏、冶炼渣、建筑垃圾等为重点，持续推进固体废物综合利用和环境整治，不断提高大宗固体废物资源化利用水平。推行生活垃圾分类，加快建设县（市）生活垃圾处理设施，到2025年，全疆城市生活垃圾无害化处理率达到99%以上。</w:t>
                  </w:r>
                </w:p>
              </w:tc>
              <w:tc>
                <w:tcPr>
                  <w:tcW w:w="3344" w:type="dxa"/>
                  <w:tcBorders>
                    <w:tl2br w:val="nil"/>
                    <w:tr2bl w:val="nil"/>
                  </w:tcBorders>
                  <w:noWrap w:val="0"/>
                  <w:vAlign w:val="center"/>
                </w:tcPr>
                <w:p w14:paraId="6B89D9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0"/>
                      <w:sz w:val="21"/>
                      <w:szCs w:val="21"/>
                      <w:highlight w:val="none"/>
                      <w:lang w:val="en-US" w:eastAsia="zh-CN"/>
                    </w:rPr>
                    <w:t>符合，本项目产生的废布袋、废包装袋集中收后交由一般固废处置单位进行处置，危险废物集中收集至危险废物贮存库内暂存，交由有资质单位进行处置。</w:t>
                  </w:r>
                </w:p>
              </w:tc>
            </w:tr>
          </w:tbl>
          <w:p w14:paraId="64CF6379">
            <w:pPr>
              <w:pStyle w:val="53"/>
              <w:bidi w:val="0"/>
              <w:rPr>
                <w:rFonts w:hint="eastAsia"/>
                <w:highlight w:val="none"/>
                <w:lang w:eastAsia="zh-CN"/>
              </w:rPr>
            </w:pPr>
            <w:r>
              <w:rPr>
                <w:rFonts w:hint="eastAsia"/>
                <w:highlight w:val="none"/>
                <w:lang w:val="en-US" w:eastAsia="zh-CN"/>
              </w:rPr>
              <w:t>综上所述，本项目符合《关于印发&lt;新疆维吾尔自治区生态环境分区管控动态更新成果&gt;的通知》（新政发〔2024〕157号）管控要求</w:t>
            </w:r>
            <w:r>
              <w:rPr>
                <w:rFonts w:hint="eastAsia"/>
                <w:highlight w:val="none"/>
                <w:lang w:eastAsia="zh-CN"/>
              </w:rPr>
              <w:t>。</w:t>
            </w:r>
          </w:p>
          <w:p w14:paraId="41D48EAC">
            <w:pPr>
              <w:pStyle w:val="53"/>
              <w:bidi w:val="0"/>
              <w:rPr>
                <w:rFonts w:hint="eastAsia"/>
                <w:highlight w:val="none"/>
                <w:lang w:eastAsia="zh-CN"/>
              </w:rPr>
            </w:pPr>
            <w:r>
              <w:rPr>
                <w:rFonts w:hint="eastAsia"/>
                <w:highlight w:val="none"/>
                <w:lang w:val="en-US" w:eastAsia="zh-CN"/>
              </w:rPr>
              <w:t>本项目与</w:t>
            </w:r>
            <w:r>
              <w:rPr>
                <w:rFonts w:hint="eastAsia"/>
                <w:highlight w:val="none"/>
              </w:rPr>
              <w:t>《新疆维吾尔自治区七大片区</w:t>
            </w:r>
            <w:r>
              <w:rPr>
                <w:rFonts w:hint="eastAsia"/>
                <w:highlight w:val="none"/>
                <w:lang w:eastAsia="zh-CN"/>
              </w:rPr>
              <w:t>“</w:t>
            </w:r>
            <w:r>
              <w:rPr>
                <w:rFonts w:hint="eastAsia"/>
                <w:highlight w:val="none"/>
              </w:rPr>
              <w:t>三线一单</w:t>
            </w:r>
            <w:r>
              <w:rPr>
                <w:rFonts w:hint="eastAsia"/>
                <w:highlight w:val="none"/>
                <w:lang w:eastAsia="zh-CN"/>
              </w:rPr>
              <w:t>”</w:t>
            </w:r>
            <w:r>
              <w:rPr>
                <w:rFonts w:hint="eastAsia"/>
                <w:highlight w:val="none"/>
              </w:rPr>
              <w:t>生态环境分区管控要求》（2021年版）（新环环评发〔2021〕162号）</w:t>
            </w:r>
            <w:r>
              <w:rPr>
                <w:rFonts w:hint="eastAsia"/>
                <w:highlight w:val="none"/>
                <w:lang w:val="en-US" w:eastAsia="zh-CN"/>
              </w:rPr>
              <w:t>符合性分析见表1-2</w:t>
            </w:r>
            <w:r>
              <w:rPr>
                <w:rFonts w:hint="eastAsia"/>
                <w:highlight w:val="none"/>
                <w:lang w:eastAsia="zh-CN"/>
              </w:rPr>
              <w:t>。</w:t>
            </w:r>
          </w:p>
          <w:p w14:paraId="550FDB5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表1-</w:t>
            </w:r>
            <w:r>
              <w:rPr>
                <w:rFonts w:hint="eastAsia" w:ascii="Times New Roman" w:hAnsi="Times New Roman" w:eastAsia="宋体" w:cs="Times New Roman"/>
                <w:b/>
                <w:bCs/>
                <w:sz w:val="24"/>
                <w:szCs w:val="24"/>
                <w:highlight w:val="none"/>
                <w:lang w:val="en-US" w:eastAsia="zh-CN"/>
              </w:rPr>
              <w:t>2</w:t>
            </w:r>
            <w:r>
              <w:rPr>
                <w:rFonts w:hint="default" w:ascii="Times New Roman" w:hAnsi="Times New Roman" w:eastAsia="宋体" w:cs="Times New Roman"/>
                <w:b/>
                <w:bCs/>
                <w:sz w:val="24"/>
                <w:szCs w:val="24"/>
                <w:highlight w:val="none"/>
                <w:lang w:val="en-US" w:eastAsia="zh-CN"/>
              </w:rPr>
              <w:t xml:space="preserve"> 新疆维吾尔自治区七大片区“三线一单”分析</w:t>
            </w: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863"/>
              <w:gridCol w:w="2783"/>
              <w:gridCol w:w="323"/>
            </w:tblGrid>
            <w:tr w14:paraId="31CBBE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425" w:type="pct"/>
                  <w:tcBorders>
                    <w:tl2br w:val="nil"/>
                    <w:tr2bl w:val="nil"/>
                  </w:tcBorders>
                  <w:noWrap w:val="0"/>
                  <w:vAlign w:val="center"/>
                </w:tcPr>
                <w:p w14:paraId="37C66025">
                  <w:pPr>
                    <w:widowControl/>
                    <w:autoSpaceDE/>
                    <w:autoSpaceDN/>
                    <w:spacing w:line="320" w:lineRule="exact"/>
                    <w:jc w:val="center"/>
                    <w:rPr>
                      <w:rFonts w:hint="eastAsia" w:ascii="Times New Roman" w:hAnsi="Times New Roman" w:eastAsia="宋体" w:cs="Times New Roman"/>
                      <w:b/>
                      <w:bCs/>
                      <w:color w:val="000000"/>
                      <w:spacing w:val="0"/>
                      <w:kern w:val="0"/>
                      <w:sz w:val="21"/>
                      <w:szCs w:val="21"/>
                      <w:highlight w:val="none"/>
                      <w:lang w:val="en-US" w:eastAsia="zh-CN"/>
                    </w:rPr>
                  </w:pPr>
                  <w:r>
                    <w:rPr>
                      <w:rFonts w:hint="eastAsia" w:ascii="Times New Roman" w:hAnsi="Times New Roman" w:eastAsia="宋体" w:cs="Times New Roman"/>
                      <w:b/>
                      <w:bCs/>
                      <w:color w:val="000000"/>
                      <w:spacing w:val="0"/>
                      <w:kern w:val="0"/>
                      <w:sz w:val="21"/>
                      <w:szCs w:val="21"/>
                      <w:highlight w:val="none"/>
                      <w:lang w:val="en-US" w:eastAsia="zh-CN"/>
                    </w:rPr>
                    <w:t>管控要求</w:t>
                  </w:r>
                </w:p>
              </w:tc>
              <w:tc>
                <w:tcPr>
                  <w:tcW w:w="2535" w:type="pct"/>
                  <w:tcBorders>
                    <w:tl2br w:val="nil"/>
                    <w:tr2bl w:val="nil"/>
                  </w:tcBorders>
                  <w:noWrap w:val="0"/>
                  <w:vAlign w:val="center"/>
                </w:tcPr>
                <w:p w14:paraId="312206A8">
                  <w:pPr>
                    <w:widowControl/>
                    <w:autoSpaceDE/>
                    <w:autoSpaceDN/>
                    <w:spacing w:line="320" w:lineRule="exact"/>
                    <w:jc w:val="center"/>
                    <w:rPr>
                      <w:rFonts w:hint="eastAsia" w:ascii="Times New Roman" w:hAnsi="Times New Roman" w:eastAsia="宋体" w:cs="Times New Roman"/>
                      <w:b/>
                      <w:bCs/>
                      <w:color w:val="000000"/>
                      <w:spacing w:val="0"/>
                      <w:kern w:val="0"/>
                      <w:sz w:val="21"/>
                      <w:szCs w:val="21"/>
                      <w:highlight w:val="none"/>
                      <w:lang w:val="en-US" w:eastAsia="zh-CN"/>
                    </w:rPr>
                  </w:pPr>
                  <w:r>
                    <w:rPr>
                      <w:rFonts w:hint="eastAsia" w:ascii="Times New Roman" w:hAnsi="Times New Roman" w:eastAsia="宋体" w:cs="Times New Roman"/>
                      <w:b/>
                      <w:bCs/>
                      <w:color w:val="000000"/>
                      <w:spacing w:val="0"/>
                      <w:kern w:val="0"/>
                      <w:sz w:val="21"/>
                      <w:szCs w:val="21"/>
                      <w:highlight w:val="none"/>
                      <w:lang w:val="en-US" w:eastAsia="zh-CN"/>
                    </w:rPr>
                    <w:t>“三线一单”要求</w:t>
                  </w:r>
                </w:p>
              </w:tc>
              <w:tc>
                <w:tcPr>
                  <w:tcW w:w="1826" w:type="pct"/>
                  <w:tcBorders>
                    <w:tl2br w:val="nil"/>
                    <w:tr2bl w:val="nil"/>
                  </w:tcBorders>
                  <w:noWrap w:val="0"/>
                  <w:vAlign w:val="center"/>
                </w:tcPr>
                <w:p w14:paraId="67274065">
                  <w:pPr>
                    <w:widowControl/>
                    <w:autoSpaceDE/>
                    <w:autoSpaceDN/>
                    <w:spacing w:line="320" w:lineRule="exact"/>
                    <w:jc w:val="center"/>
                    <w:rPr>
                      <w:rFonts w:hint="eastAsia" w:ascii="Times New Roman" w:hAnsi="Times New Roman" w:eastAsia="宋体" w:cs="Times New Roman"/>
                      <w:b/>
                      <w:bCs/>
                      <w:color w:val="000000"/>
                      <w:spacing w:val="0"/>
                      <w:kern w:val="0"/>
                      <w:sz w:val="21"/>
                      <w:szCs w:val="21"/>
                      <w:highlight w:val="none"/>
                      <w:lang w:val="en-US" w:eastAsia="zh-CN"/>
                    </w:rPr>
                  </w:pPr>
                  <w:r>
                    <w:rPr>
                      <w:rFonts w:hint="eastAsia" w:ascii="Times New Roman" w:hAnsi="Times New Roman" w:eastAsia="宋体" w:cs="Times New Roman"/>
                      <w:b/>
                      <w:bCs/>
                      <w:color w:val="000000"/>
                      <w:spacing w:val="0"/>
                      <w:kern w:val="0"/>
                      <w:sz w:val="21"/>
                      <w:szCs w:val="21"/>
                      <w:highlight w:val="none"/>
                      <w:lang w:val="en-US" w:eastAsia="zh-CN"/>
                    </w:rPr>
                    <w:t>工程具体情况</w:t>
                  </w:r>
                </w:p>
              </w:tc>
              <w:tc>
                <w:tcPr>
                  <w:tcW w:w="212" w:type="pct"/>
                  <w:tcBorders>
                    <w:tl2br w:val="nil"/>
                    <w:tr2bl w:val="nil"/>
                  </w:tcBorders>
                  <w:noWrap w:val="0"/>
                  <w:vAlign w:val="center"/>
                </w:tcPr>
                <w:p w14:paraId="73133E68">
                  <w:pPr>
                    <w:widowControl/>
                    <w:autoSpaceDE/>
                    <w:autoSpaceDN/>
                    <w:spacing w:line="320" w:lineRule="exact"/>
                    <w:jc w:val="center"/>
                    <w:rPr>
                      <w:rFonts w:hint="eastAsia" w:ascii="Times New Roman" w:hAnsi="Times New Roman" w:eastAsia="宋体" w:cs="Times New Roman"/>
                      <w:b/>
                      <w:bCs/>
                      <w:color w:val="000000"/>
                      <w:spacing w:val="0"/>
                      <w:kern w:val="0"/>
                      <w:sz w:val="21"/>
                      <w:szCs w:val="21"/>
                      <w:highlight w:val="none"/>
                      <w:lang w:val="en-US" w:eastAsia="zh-CN"/>
                    </w:rPr>
                  </w:pPr>
                  <w:r>
                    <w:rPr>
                      <w:rFonts w:hint="eastAsia" w:ascii="Times New Roman" w:hAnsi="Times New Roman" w:eastAsia="宋体" w:cs="Times New Roman"/>
                      <w:b/>
                      <w:bCs/>
                      <w:color w:val="000000"/>
                      <w:spacing w:val="0"/>
                      <w:kern w:val="0"/>
                      <w:sz w:val="21"/>
                      <w:szCs w:val="21"/>
                      <w:highlight w:val="none"/>
                      <w:lang w:val="en-US" w:eastAsia="zh-CN"/>
                    </w:rPr>
                    <w:t>符合性</w:t>
                  </w:r>
                </w:p>
              </w:tc>
            </w:tr>
            <w:tr w14:paraId="4E311B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425" w:type="pct"/>
                  <w:tcBorders>
                    <w:tl2br w:val="nil"/>
                    <w:tr2bl w:val="nil"/>
                  </w:tcBorders>
                  <w:noWrap w:val="0"/>
                  <w:vAlign w:val="center"/>
                </w:tcPr>
                <w:p w14:paraId="0A94754E">
                  <w:pPr>
                    <w:pStyle w:val="54"/>
                    <w:keepNext w:val="0"/>
                    <w:keepLines w:val="0"/>
                    <w:pageBreakBefore w:val="0"/>
                    <w:widowControl w:val="0"/>
                    <w:kinsoku/>
                    <w:wordWrap/>
                    <w:overflowPunct/>
                    <w:topLinePunct w:val="0"/>
                    <w:autoSpaceDE/>
                    <w:autoSpaceDN/>
                    <w:bidi w:val="0"/>
                    <w:adjustRightInd w:val="0"/>
                    <w:snapToGrid/>
                    <w:jc w:val="center"/>
                    <w:textAlignment w:val="baseline"/>
                    <w:rPr>
                      <w:rFonts w:hint="eastAsia"/>
                      <w:spacing w:val="0"/>
                      <w:kern w:val="0"/>
                      <w:highlight w:val="none"/>
                    </w:rPr>
                  </w:pPr>
                  <w:r>
                    <w:rPr>
                      <w:rFonts w:hint="eastAsia"/>
                      <w:spacing w:val="0"/>
                      <w:kern w:val="0"/>
                      <w:highlight w:val="none"/>
                    </w:rPr>
                    <w:t>空间布局约束</w:t>
                  </w:r>
                </w:p>
              </w:tc>
              <w:tc>
                <w:tcPr>
                  <w:tcW w:w="2535" w:type="pct"/>
                  <w:tcBorders>
                    <w:tl2br w:val="nil"/>
                    <w:tr2bl w:val="nil"/>
                  </w:tcBorders>
                  <w:noWrap w:val="0"/>
                  <w:vAlign w:val="center"/>
                </w:tcPr>
                <w:p w14:paraId="795F9BF9">
                  <w:pPr>
                    <w:pStyle w:val="54"/>
                    <w:keepNext w:val="0"/>
                    <w:keepLines w:val="0"/>
                    <w:pageBreakBefore w:val="0"/>
                    <w:widowControl w:val="0"/>
                    <w:kinsoku/>
                    <w:wordWrap/>
                    <w:overflowPunct/>
                    <w:topLinePunct w:val="0"/>
                    <w:autoSpaceDE/>
                    <w:autoSpaceDN/>
                    <w:bidi w:val="0"/>
                    <w:adjustRightInd w:val="0"/>
                    <w:snapToGrid/>
                    <w:jc w:val="center"/>
                    <w:textAlignment w:val="baseline"/>
                    <w:rPr>
                      <w:rFonts w:hint="eastAsia"/>
                      <w:spacing w:val="0"/>
                      <w:kern w:val="0"/>
                      <w:highlight w:val="none"/>
                    </w:rPr>
                  </w:pPr>
                  <w:r>
                    <w:rPr>
                      <w:rFonts w:hint="eastAsia"/>
                      <w:spacing w:val="0"/>
                      <w:kern w:val="0"/>
                      <w:highlight w:val="none"/>
                    </w:rPr>
                    <w:t>严格执行国家、自治区产业政策和环境准入要求，严禁</w:t>
                  </w:r>
                  <w:r>
                    <w:rPr>
                      <w:rFonts w:hint="eastAsia"/>
                      <w:spacing w:val="0"/>
                      <w:kern w:val="0"/>
                      <w:highlight w:val="none"/>
                      <w:lang w:eastAsia="zh-CN"/>
                    </w:rPr>
                    <w:t>“</w:t>
                  </w:r>
                  <w:r>
                    <w:rPr>
                      <w:rFonts w:hint="eastAsia"/>
                      <w:spacing w:val="0"/>
                      <w:kern w:val="0"/>
                      <w:highlight w:val="none"/>
                    </w:rPr>
                    <w:t>三高</w:t>
                  </w:r>
                  <w:r>
                    <w:rPr>
                      <w:rFonts w:hint="eastAsia"/>
                      <w:spacing w:val="0"/>
                      <w:kern w:val="0"/>
                      <w:highlight w:val="none"/>
                      <w:lang w:eastAsia="zh-CN"/>
                    </w:rPr>
                    <w:t>”</w:t>
                  </w:r>
                  <w:r>
                    <w:rPr>
                      <w:rFonts w:hint="eastAsia"/>
                      <w:spacing w:val="0"/>
                      <w:kern w:val="0"/>
                      <w:highlight w:val="none"/>
                    </w:rPr>
                    <w:t>项目进入新疆，坚决遏制</w:t>
                  </w:r>
                  <w:r>
                    <w:rPr>
                      <w:rFonts w:hint="eastAsia"/>
                      <w:spacing w:val="0"/>
                      <w:kern w:val="0"/>
                      <w:highlight w:val="none"/>
                      <w:lang w:eastAsia="zh-CN"/>
                    </w:rPr>
                    <w:t>“</w:t>
                  </w:r>
                  <w:r>
                    <w:rPr>
                      <w:rFonts w:hint="eastAsia"/>
                      <w:spacing w:val="0"/>
                      <w:kern w:val="0"/>
                      <w:highlight w:val="none"/>
                    </w:rPr>
                    <w:t>两高</w:t>
                  </w:r>
                  <w:r>
                    <w:rPr>
                      <w:rFonts w:hint="eastAsia"/>
                      <w:spacing w:val="0"/>
                      <w:kern w:val="0"/>
                      <w:highlight w:val="none"/>
                      <w:lang w:eastAsia="zh-CN"/>
                    </w:rPr>
                    <w:t>”</w:t>
                  </w:r>
                  <w:r>
                    <w:rPr>
                      <w:rFonts w:hint="eastAsia"/>
                      <w:spacing w:val="0"/>
                      <w:kern w:val="0"/>
                      <w:highlight w:val="none"/>
                    </w:rPr>
                    <w:t>项目盲目发展。不得在水源涵养区、饮用水水源保护区内和河流、湖泊、水库周围建设重化工、涉重金属等工业污染项目。推动项目集聚发展，新建、改建、扩建工业项目原则应布置于县级及以上人民政府批准建立、环境保护设施完善的产业园区、工业聚集区或规划矿区，并且符合相关规划和规划环评要求。</w:t>
                  </w:r>
                </w:p>
              </w:tc>
              <w:tc>
                <w:tcPr>
                  <w:tcW w:w="1826" w:type="pct"/>
                  <w:tcBorders>
                    <w:tl2br w:val="nil"/>
                    <w:tr2bl w:val="nil"/>
                  </w:tcBorders>
                  <w:noWrap w:val="0"/>
                  <w:vAlign w:val="center"/>
                </w:tcPr>
                <w:p w14:paraId="03120472">
                  <w:pPr>
                    <w:pStyle w:val="54"/>
                    <w:keepNext w:val="0"/>
                    <w:keepLines w:val="0"/>
                    <w:pageBreakBefore w:val="0"/>
                    <w:widowControl w:val="0"/>
                    <w:kinsoku/>
                    <w:wordWrap/>
                    <w:overflowPunct/>
                    <w:topLinePunct w:val="0"/>
                    <w:autoSpaceDE/>
                    <w:autoSpaceDN/>
                    <w:bidi w:val="0"/>
                    <w:adjustRightInd w:val="0"/>
                    <w:snapToGrid/>
                    <w:jc w:val="center"/>
                    <w:textAlignment w:val="baseline"/>
                    <w:rPr>
                      <w:spacing w:val="0"/>
                      <w:kern w:val="0"/>
                      <w:highlight w:val="none"/>
                    </w:rPr>
                  </w:pPr>
                  <w:r>
                    <w:rPr>
                      <w:rFonts w:hint="eastAsia"/>
                      <w:spacing w:val="0"/>
                      <w:kern w:val="0"/>
                      <w:highlight w:val="none"/>
                    </w:rPr>
                    <w:t>本项目不属于</w:t>
                  </w:r>
                  <w:r>
                    <w:rPr>
                      <w:rFonts w:hint="eastAsia"/>
                      <w:spacing w:val="0"/>
                      <w:kern w:val="0"/>
                      <w:highlight w:val="none"/>
                      <w:lang w:eastAsia="zh-CN"/>
                    </w:rPr>
                    <w:t>“</w:t>
                  </w:r>
                  <w:r>
                    <w:rPr>
                      <w:rFonts w:hint="eastAsia"/>
                      <w:spacing w:val="0"/>
                      <w:kern w:val="0"/>
                      <w:highlight w:val="none"/>
                    </w:rPr>
                    <w:t>三高项目</w:t>
                  </w:r>
                  <w:r>
                    <w:rPr>
                      <w:rFonts w:hint="eastAsia"/>
                      <w:spacing w:val="0"/>
                      <w:kern w:val="0"/>
                      <w:highlight w:val="none"/>
                      <w:lang w:eastAsia="zh-CN"/>
                    </w:rPr>
                    <w:t>”</w:t>
                  </w:r>
                  <w:r>
                    <w:rPr>
                      <w:rFonts w:hint="eastAsia"/>
                      <w:spacing w:val="0"/>
                      <w:kern w:val="0"/>
                      <w:highlight w:val="none"/>
                    </w:rPr>
                    <w:t>。项目周边无水源涵养区、饮用水水源</w:t>
                  </w:r>
                  <w:r>
                    <w:rPr>
                      <w:rFonts w:hint="eastAsia"/>
                      <w:spacing w:val="0"/>
                      <w:kern w:val="0"/>
                      <w:highlight w:val="none"/>
                      <w:lang w:eastAsia="zh-CN"/>
                    </w:rPr>
                    <w:t>保护区</w:t>
                  </w:r>
                  <w:r>
                    <w:rPr>
                      <w:rFonts w:hint="eastAsia"/>
                      <w:spacing w:val="0"/>
                      <w:kern w:val="0"/>
                      <w:highlight w:val="none"/>
                    </w:rPr>
                    <w:t>和河流、湖泊、水库。本项目</w:t>
                  </w:r>
                  <w:r>
                    <w:rPr>
                      <w:rFonts w:hint="eastAsia"/>
                      <w:spacing w:val="0"/>
                      <w:kern w:val="0"/>
                      <w:highlight w:val="none"/>
                      <w:lang w:val="en-US" w:eastAsia="zh-CN"/>
                    </w:rPr>
                    <w:t>符合</w:t>
                  </w:r>
                  <w:r>
                    <w:rPr>
                      <w:rFonts w:hint="eastAsia" w:cs="Times New Roman"/>
                      <w:color w:val="auto"/>
                      <w:spacing w:val="0"/>
                      <w:kern w:val="0"/>
                      <w:sz w:val="21"/>
                      <w:szCs w:val="21"/>
                      <w:highlight w:val="none"/>
                      <w:vertAlign w:val="baseline"/>
                      <w:lang w:val="en-US" w:eastAsia="zh-CN"/>
                    </w:rPr>
                    <w:t>和静工业园区总体规划及规划环评要求</w:t>
                  </w:r>
                  <w:r>
                    <w:rPr>
                      <w:rFonts w:hint="eastAsia"/>
                      <w:spacing w:val="0"/>
                      <w:kern w:val="0"/>
                      <w:highlight w:val="none"/>
                    </w:rPr>
                    <w:t>；符合空间布局约束要求。</w:t>
                  </w:r>
                </w:p>
              </w:tc>
              <w:tc>
                <w:tcPr>
                  <w:tcW w:w="212" w:type="pct"/>
                  <w:tcBorders>
                    <w:tl2br w:val="nil"/>
                    <w:tr2bl w:val="nil"/>
                  </w:tcBorders>
                  <w:noWrap w:val="0"/>
                  <w:vAlign w:val="center"/>
                </w:tcPr>
                <w:p w14:paraId="770752B5">
                  <w:pPr>
                    <w:pStyle w:val="54"/>
                    <w:bidi w:val="0"/>
                    <w:jc w:val="center"/>
                    <w:rPr>
                      <w:rFonts w:hint="eastAsia"/>
                      <w:spacing w:val="0"/>
                      <w:kern w:val="0"/>
                      <w:highlight w:val="none"/>
                    </w:rPr>
                  </w:pPr>
                  <w:r>
                    <w:rPr>
                      <w:rFonts w:hint="eastAsia"/>
                      <w:spacing w:val="0"/>
                      <w:kern w:val="0"/>
                      <w:highlight w:val="none"/>
                    </w:rPr>
                    <w:t>符合</w:t>
                  </w:r>
                </w:p>
              </w:tc>
            </w:tr>
            <w:tr w14:paraId="747C12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25" w:type="pct"/>
                  <w:tcBorders>
                    <w:tl2br w:val="nil"/>
                    <w:tr2bl w:val="nil"/>
                  </w:tcBorders>
                  <w:noWrap w:val="0"/>
                  <w:vAlign w:val="center"/>
                </w:tcPr>
                <w:p w14:paraId="49461857">
                  <w:pPr>
                    <w:pStyle w:val="54"/>
                    <w:keepNext w:val="0"/>
                    <w:keepLines w:val="0"/>
                    <w:pageBreakBefore w:val="0"/>
                    <w:widowControl w:val="0"/>
                    <w:kinsoku/>
                    <w:wordWrap/>
                    <w:overflowPunct/>
                    <w:topLinePunct w:val="0"/>
                    <w:autoSpaceDE/>
                    <w:autoSpaceDN/>
                    <w:bidi w:val="0"/>
                    <w:adjustRightInd w:val="0"/>
                    <w:snapToGrid/>
                    <w:jc w:val="center"/>
                    <w:textAlignment w:val="baseline"/>
                    <w:rPr>
                      <w:rFonts w:hint="eastAsia"/>
                      <w:spacing w:val="0"/>
                      <w:kern w:val="0"/>
                      <w:highlight w:val="none"/>
                    </w:rPr>
                  </w:pPr>
                  <w:r>
                    <w:rPr>
                      <w:rFonts w:hint="eastAsia"/>
                      <w:spacing w:val="0"/>
                      <w:kern w:val="0"/>
                      <w:highlight w:val="none"/>
                    </w:rPr>
                    <w:t>污染物排放管控</w:t>
                  </w:r>
                </w:p>
              </w:tc>
              <w:tc>
                <w:tcPr>
                  <w:tcW w:w="2535" w:type="pct"/>
                  <w:tcBorders>
                    <w:tl2br w:val="nil"/>
                    <w:tr2bl w:val="nil"/>
                  </w:tcBorders>
                  <w:noWrap w:val="0"/>
                  <w:vAlign w:val="center"/>
                </w:tcPr>
                <w:p w14:paraId="68D5FECC">
                  <w:pPr>
                    <w:pStyle w:val="54"/>
                    <w:keepNext w:val="0"/>
                    <w:keepLines w:val="0"/>
                    <w:pageBreakBefore w:val="0"/>
                    <w:widowControl w:val="0"/>
                    <w:kinsoku/>
                    <w:wordWrap/>
                    <w:overflowPunct/>
                    <w:topLinePunct w:val="0"/>
                    <w:autoSpaceDE/>
                    <w:autoSpaceDN/>
                    <w:bidi w:val="0"/>
                    <w:adjustRightInd w:val="0"/>
                    <w:snapToGrid/>
                    <w:jc w:val="center"/>
                    <w:textAlignment w:val="baseline"/>
                    <w:rPr>
                      <w:rFonts w:hint="eastAsia"/>
                      <w:spacing w:val="0"/>
                      <w:kern w:val="0"/>
                      <w:highlight w:val="none"/>
                    </w:rPr>
                  </w:pPr>
                  <w:r>
                    <w:rPr>
                      <w:rFonts w:hint="eastAsia"/>
                      <w:spacing w:val="0"/>
                      <w:kern w:val="0"/>
                      <w:highlight w:val="none"/>
                    </w:rPr>
                    <w:t>深化行业污染源头治理，深入开展火电行业减排，全力推进钢铁行业超低排放改造，有序推进石化行业</w:t>
                  </w:r>
                  <w:r>
                    <w:rPr>
                      <w:rFonts w:hint="eastAsia"/>
                      <w:spacing w:val="0"/>
                      <w:kern w:val="0"/>
                      <w:highlight w:val="none"/>
                      <w:lang w:eastAsia="zh-CN"/>
                    </w:rPr>
                    <w:t>“</w:t>
                  </w:r>
                  <w:r>
                    <w:rPr>
                      <w:rFonts w:hint="eastAsia"/>
                      <w:spacing w:val="0"/>
                      <w:kern w:val="0"/>
                      <w:highlight w:val="none"/>
                    </w:rPr>
                    <w:t>泄漏检测与修复</w:t>
                  </w:r>
                  <w:r>
                    <w:rPr>
                      <w:rFonts w:hint="eastAsia"/>
                      <w:spacing w:val="0"/>
                      <w:kern w:val="0"/>
                      <w:highlight w:val="none"/>
                      <w:lang w:eastAsia="zh-CN"/>
                    </w:rPr>
                    <w:t>”</w:t>
                  </w:r>
                  <w:r>
                    <w:rPr>
                      <w:rFonts w:hint="eastAsia"/>
                      <w:spacing w:val="0"/>
                      <w:kern w:val="0"/>
                      <w:highlight w:val="none"/>
                    </w:rPr>
                    <w:t>技术改造。强化煤化工、石化、有机化工、表面涂装、包装印刷等重点行业挥发性有机物控制。深入开展燃煤锅炉污染综合整治，深化工业炉窑综合治理。加强</w:t>
                  </w:r>
                  <w:r>
                    <w:rPr>
                      <w:rFonts w:hint="eastAsia"/>
                      <w:spacing w:val="0"/>
                      <w:kern w:val="0"/>
                      <w:highlight w:val="none"/>
                      <w:lang w:eastAsia="zh-CN"/>
                    </w:rPr>
                    <w:t>“</w:t>
                  </w:r>
                  <w:r>
                    <w:rPr>
                      <w:rFonts w:hint="eastAsia"/>
                      <w:spacing w:val="0"/>
                      <w:kern w:val="0"/>
                      <w:highlight w:val="none"/>
                    </w:rPr>
                    <w:t>散乱污</w:t>
                  </w:r>
                  <w:r>
                    <w:rPr>
                      <w:rFonts w:hint="eastAsia"/>
                      <w:spacing w:val="0"/>
                      <w:kern w:val="0"/>
                      <w:highlight w:val="none"/>
                      <w:lang w:eastAsia="zh-CN"/>
                    </w:rPr>
                    <w:t>”</w:t>
                  </w:r>
                  <w:r>
                    <w:rPr>
                      <w:rFonts w:hint="eastAsia"/>
                      <w:spacing w:val="0"/>
                      <w:kern w:val="0"/>
                      <w:highlight w:val="none"/>
                    </w:rPr>
                    <w:t>企业综合整治。优化区域交通运输结构，加快货物运输绿色转型，做好车油联合管控。</w:t>
                  </w:r>
                </w:p>
              </w:tc>
              <w:tc>
                <w:tcPr>
                  <w:tcW w:w="1826" w:type="pct"/>
                  <w:tcBorders>
                    <w:tl2br w:val="nil"/>
                    <w:tr2bl w:val="nil"/>
                  </w:tcBorders>
                  <w:noWrap w:val="0"/>
                  <w:vAlign w:val="center"/>
                </w:tcPr>
                <w:p w14:paraId="5D1F21AE">
                  <w:pPr>
                    <w:pStyle w:val="54"/>
                    <w:keepNext w:val="0"/>
                    <w:keepLines w:val="0"/>
                    <w:pageBreakBefore w:val="0"/>
                    <w:widowControl w:val="0"/>
                    <w:kinsoku/>
                    <w:wordWrap/>
                    <w:overflowPunct/>
                    <w:topLinePunct w:val="0"/>
                    <w:autoSpaceDE/>
                    <w:autoSpaceDN/>
                    <w:bidi w:val="0"/>
                    <w:adjustRightInd w:val="0"/>
                    <w:snapToGrid/>
                    <w:jc w:val="center"/>
                    <w:textAlignment w:val="baseline"/>
                    <w:rPr>
                      <w:rFonts w:hint="default"/>
                      <w:spacing w:val="0"/>
                      <w:kern w:val="0"/>
                      <w:highlight w:val="none"/>
                      <w:lang w:val="en-US" w:eastAsia="zh-CN"/>
                    </w:rPr>
                  </w:pPr>
                  <w:r>
                    <w:rPr>
                      <w:rFonts w:hint="eastAsia" w:ascii="Times New Roman" w:hAnsi="Times New Roman" w:eastAsia="宋体" w:cs="Times New Roman"/>
                      <w:sz w:val="21"/>
                      <w:szCs w:val="21"/>
                      <w:highlight w:val="none"/>
                      <w:lang w:val="en-US" w:eastAsia="zh-CN"/>
                    </w:rPr>
                    <w:t>本项目</w:t>
                  </w:r>
                  <w:r>
                    <w:rPr>
                      <w:rFonts w:hint="eastAsia" w:cs="Times New Roman"/>
                      <w:sz w:val="21"/>
                      <w:szCs w:val="21"/>
                      <w:highlight w:val="none"/>
                      <w:lang w:val="en-US" w:eastAsia="zh-CN"/>
                    </w:rPr>
                    <w:t>不涉及燃煤锅炉</w:t>
                  </w:r>
                  <w:r>
                    <w:rPr>
                      <w:rFonts w:hint="eastAsia" w:ascii="Times New Roman" w:hAnsi="Times New Roman" w:eastAsia="宋体" w:cs="Times New Roman"/>
                      <w:sz w:val="21"/>
                      <w:szCs w:val="21"/>
                      <w:highlight w:val="none"/>
                      <w:lang w:val="en-US" w:eastAsia="zh-CN"/>
                    </w:rPr>
                    <w:t>。</w:t>
                  </w:r>
                </w:p>
              </w:tc>
              <w:tc>
                <w:tcPr>
                  <w:tcW w:w="212" w:type="pct"/>
                  <w:tcBorders>
                    <w:tl2br w:val="nil"/>
                    <w:tr2bl w:val="nil"/>
                  </w:tcBorders>
                  <w:noWrap w:val="0"/>
                  <w:vAlign w:val="center"/>
                </w:tcPr>
                <w:p w14:paraId="50116ECB">
                  <w:pPr>
                    <w:pStyle w:val="54"/>
                    <w:bidi w:val="0"/>
                    <w:jc w:val="center"/>
                    <w:rPr>
                      <w:rFonts w:hint="eastAsia"/>
                      <w:spacing w:val="0"/>
                      <w:kern w:val="0"/>
                      <w:highlight w:val="none"/>
                    </w:rPr>
                  </w:pPr>
                  <w:r>
                    <w:rPr>
                      <w:rFonts w:hint="eastAsia"/>
                      <w:spacing w:val="0"/>
                      <w:kern w:val="0"/>
                      <w:highlight w:val="none"/>
                    </w:rPr>
                    <w:t>符合</w:t>
                  </w:r>
                </w:p>
              </w:tc>
            </w:tr>
            <w:tr w14:paraId="3233A6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25" w:type="pct"/>
                  <w:tcBorders>
                    <w:tl2br w:val="nil"/>
                    <w:tr2bl w:val="nil"/>
                  </w:tcBorders>
                  <w:noWrap w:val="0"/>
                  <w:vAlign w:val="center"/>
                </w:tcPr>
                <w:p w14:paraId="5B28BC2D">
                  <w:pPr>
                    <w:pStyle w:val="54"/>
                    <w:keepNext w:val="0"/>
                    <w:keepLines w:val="0"/>
                    <w:pageBreakBefore w:val="0"/>
                    <w:widowControl w:val="0"/>
                    <w:kinsoku/>
                    <w:wordWrap/>
                    <w:overflowPunct/>
                    <w:topLinePunct w:val="0"/>
                    <w:autoSpaceDE/>
                    <w:autoSpaceDN/>
                    <w:bidi w:val="0"/>
                    <w:adjustRightInd w:val="0"/>
                    <w:snapToGrid/>
                    <w:jc w:val="center"/>
                    <w:textAlignment w:val="baseline"/>
                    <w:rPr>
                      <w:rFonts w:hint="eastAsia"/>
                      <w:spacing w:val="0"/>
                      <w:kern w:val="0"/>
                      <w:highlight w:val="none"/>
                    </w:rPr>
                  </w:pPr>
                  <w:r>
                    <w:rPr>
                      <w:rFonts w:hint="eastAsia"/>
                      <w:spacing w:val="0"/>
                      <w:kern w:val="0"/>
                      <w:highlight w:val="none"/>
                    </w:rPr>
                    <w:t>环境风险防控</w:t>
                  </w:r>
                </w:p>
              </w:tc>
              <w:tc>
                <w:tcPr>
                  <w:tcW w:w="2535" w:type="pct"/>
                  <w:tcBorders>
                    <w:tl2br w:val="nil"/>
                    <w:tr2bl w:val="nil"/>
                  </w:tcBorders>
                  <w:noWrap w:val="0"/>
                  <w:vAlign w:val="center"/>
                </w:tcPr>
                <w:p w14:paraId="1949B5F2">
                  <w:pPr>
                    <w:pStyle w:val="54"/>
                    <w:keepNext w:val="0"/>
                    <w:keepLines w:val="0"/>
                    <w:pageBreakBefore w:val="0"/>
                    <w:widowControl w:val="0"/>
                    <w:kinsoku/>
                    <w:wordWrap/>
                    <w:overflowPunct/>
                    <w:topLinePunct w:val="0"/>
                    <w:autoSpaceDE/>
                    <w:autoSpaceDN/>
                    <w:bidi w:val="0"/>
                    <w:adjustRightInd w:val="0"/>
                    <w:snapToGrid/>
                    <w:jc w:val="center"/>
                    <w:textAlignment w:val="baseline"/>
                    <w:rPr>
                      <w:rFonts w:hint="eastAsia"/>
                      <w:spacing w:val="0"/>
                      <w:kern w:val="0"/>
                      <w:highlight w:val="none"/>
                    </w:rPr>
                  </w:pPr>
                  <w:r>
                    <w:rPr>
                      <w:rFonts w:hint="eastAsia"/>
                      <w:spacing w:val="0"/>
                      <w:kern w:val="0"/>
                      <w:highlight w:val="none"/>
                    </w:rPr>
                    <w:t>禁止在化工园区外新建、扩建危险化学品生产项目。严格落实危险废物处置相关要求。加强重点流域水环境风险管控，保障水环境安全。</w:t>
                  </w:r>
                </w:p>
              </w:tc>
              <w:tc>
                <w:tcPr>
                  <w:tcW w:w="1826" w:type="pct"/>
                  <w:tcBorders>
                    <w:tl2br w:val="nil"/>
                    <w:tr2bl w:val="nil"/>
                  </w:tcBorders>
                  <w:noWrap w:val="0"/>
                  <w:vAlign w:val="center"/>
                </w:tcPr>
                <w:p w14:paraId="222F5566">
                  <w:pPr>
                    <w:pStyle w:val="54"/>
                    <w:keepNext w:val="0"/>
                    <w:keepLines w:val="0"/>
                    <w:pageBreakBefore w:val="0"/>
                    <w:widowControl w:val="0"/>
                    <w:kinsoku/>
                    <w:wordWrap/>
                    <w:overflowPunct/>
                    <w:topLinePunct w:val="0"/>
                    <w:autoSpaceDE/>
                    <w:autoSpaceDN/>
                    <w:bidi w:val="0"/>
                    <w:adjustRightInd w:val="0"/>
                    <w:snapToGrid/>
                    <w:jc w:val="center"/>
                    <w:textAlignment w:val="baseline"/>
                    <w:rPr>
                      <w:spacing w:val="0"/>
                      <w:kern w:val="0"/>
                      <w:highlight w:val="none"/>
                    </w:rPr>
                  </w:pPr>
                  <w:r>
                    <w:rPr>
                      <w:rFonts w:hint="eastAsia"/>
                      <w:spacing w:val="0"/>
                      <w:kern w:val="0"/>
                      <w:highlight w:val="none"/>
                      <w:lang w:val="en-US" w:eastAsia="zh-CN"/>
                    </w:rPr>
                    <w:t>本项目不涉及</w:t>
                  </w:r>
                  <w:r>
                    <w:rPr>
                      <w:rFonts w:hint="eastAsia"/>
                      <w:spacing w:val="0"/>
                      <w:kern w:val="0"/>
                      <w:highlight w:val="none"/>
                    </w:rPr>
                    <w:t>。</w:t>
                  </w:r>
                </w:p>
              </w:tc>
              <w:tc>
                <w:tcPr>
                  <w:tcW w:w="212" w:type="pct"/>
                  <w:tcBorders>
                    <w:tl2br w:val="nil"/>
                    <w:tr2bl w:val="nil"/>
                  </w:tcBorders>
                  <w:noWrap w:val="0"/>
                  <w:vAlign w:val="center"/>
                </w:tcPr>
                <w:p w14:paraId="0958DBA9">
                  <w:pPr>
                    <w:pStyle w:val="54"/>
                    <w:bidi w:val="0"/>
                    <w:jc w:val="center"/>
                    <w:rPr>
                      <w:rFonts w:hint="eastAsia"/>
                      <w:spacing w:val="0"/>
                      <w:kern w:val="0"/>
                      <w:highlight w:val="none"/>
                    </w:rPr>
                  </w:pPr>
                  <w:r>
                    <w:rPr>
                      <w:rFonts w:hint="eastAsia"/>
                      <w:spacing w:val="0"/>
                      <w:kern w:val="0"/>
                      <w:highlight w:val="none"/>
                    </w:rPr>
                    <w:t>符合</w:t>
                  </w:r>
                </w:p>
              </w:tc>
            </w:tr>
            <w:tr w14:paraId="3E3116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25" w:type="pct"/>
                  <w:tcBorders>
                    <w:tl2br w:val="nil"/>
                    <w:tr2bl w:val="nil"/>
                  </w:tcBorders>
                  <w:noWrap w:val="0"/>
                  <w:vAlign w:val="center"/>
                </w:tcPr>
                <w:p w14:paraId="1EA97D51">
                  <w:pPr>
                    <w:pStyle w:val="54"/>
                    <w:keepNext w:val="0"/>
                    <w:keepLines w:val="0"/>
                    <w:pageBreakBefore w:val="0"/>
                    <w:widowControl w:val="0"/>
                    <w:kinsoku/>
                    <w:wordWrap/>
                    <w:overflowPunct/>
                    <w:topLinePunct w:val="0"/>
                    <w:autoSpaceDE/>
                    <w:autoSpaceDN/>
                    <w:bidi w:val="0"/>
                    <w:adjustRightInd w:val="0"/>
                    <w:snapToGrid/>
                    <w:jc w:val="center"/>
                    <w:textAlignment w:val="baseline"/>
                    <w:rPr>
                      <w:rFonts w:hint="eastAsia"/>
                      <w:spacing w:val="0"/>
                      <w:kern w:val="0"/>
                      <w:highlight w:val="none"/>
                    </w:rPr>
                  </w:pPr>
                  <w:r>
                    <w:rPr>
                      <w:rFonts w:hint="eastAsia"/>
                      <w:spacing w:val="0"/>
                      <w:kern w:val="0"/>
                      <w:highlight w:val="none"/>
                    </w:rPr>
                    <w:t>资源利用效率要求</w:t>
                  </w:r>
                </w:p>
              </w:tc>
              <w:tc>
                <w:tcPr>
                  <w:tcW w:w="2535" w:type="pct"/>
                  <w:tcBorders>
                    <w:tl2br w:val="nil"/>
                    <w:tr2bl w:val="nil"/>
                  </w:tcBorders>
                  <w:noWrap w:val="0"/>
                  <w:vAlign w:val="center"/>
                </w:tcPr>
                <w:p w14:paraId="30418A93">
                  <w:pPr>
                    <w:pStyle w:val="54"/>
                    <w:keepNext w:val="0"/>
                    <w:keepLines w:val="0"/>
                    <w:pageBreakBefore w:val="0"/>
                    <w:widowControl w:val="0"/>
                    <w:kinsoku/>
                    <w:wordWrap/>
                    <w:overflowPunct/>
                    <w:topLinePunct w:val="0"/>
                    <w:autoSpaceDE/>
                    <w:autoSpaceDN/>
                    <w:bidi w:val="0"/>
                    <w:adjustRightInd w:val="0"/>
                    <w:snapToGrid/>
                    <w:jc w:val="center"/>
                    <w:textAlignment w:val="baseline"/>
                    <w:rPr>
                      <w:rFonts w:hint="eastAsia"/>
                      <w:spacing w:val="0"/>
                      <w:kern w:val="0"/>
                      <w:highlight w:val="none"/>
                    </w:rPr>
                  </w:pPr>
                  <w:r>
                    <w:rPr>
                      <w:rFonts w:hint="eastAsia"/>
                      <w:spacing w:val="0"/>
                      <w:kern w:val="0"/>
                      <w:highlight w:val="none"/>
                    </w:rPr>
                    <w:t>优化能源结构，控制煤炭等化石能源使用量，鼓励使用清洁能源，协同推进减污降碳。全面实施节水工程，合理开发利用水资源，提升水资源利用效率，保障生态用水，严防地下水超采。</w:t>
                  </w:r>
                </w:p>
              </w:tc>
              <w:tc>
                <w:tcPr>
                  <w:tcW w:w="1826" w:type="pct"/>
                  <w:tcBorders>
                    <w:tl2br w:val="nil"/>
                    <w:tr2bl w:val="nil"/>
                  </w:tcBorders>
                  <w:noWrap w:val="0"/>
                  <w:vAlign w:val="center"/>
                </w:tcPr>
                <w:p w14:paraId="77B8B2A0">
                  <w:pPr>
                    <w:pStyle w:val="54"/>
                    <w:keepNext w:val="0"/>
                    <w:keepLines w:val="0"/>
                    <w:pageBreakBefore w:val="0"/>
                    <w:widowControl w:val="0"/>
                    <w:kinsoku/>
                    <w:wordWrap/>
                    <w:overflowPunct/>
                    <w:topLinePunct w:val="0"/>
                    <w:autoSpaceDE/>
                    <w:autoSpaceDN/>
                    <w:bidi w:val="0"/>
                    <w:adjustRightInd w:val="0"/>
                    <w:snapToGrid/>
                    <w:jc w:val="center"/>
                    <w:textAlignment w:val="baseline"/>
                    <w:rPr>
                      <w:spacing w:val="0"/>
                      <w:kern w:val="0"/>
                      <w:highlight w:val="none"/>
                    </w:rPr>
                  </w:pPr>
                  <w:r>
                    <w:rPr>
                      <w:rFonts w:hint="eastAsia"/>
                      <w:spacing w:val="0"/>
                      <w:kern w:val="0"/>
                      <w:highlight w:val="none"/>
                    </w:rPr>
                    <w:t>项目运营过程中消耗一定量的电力及</w:t>
                  </w:r>
                  <w:r>
                    <w:rPr>
                      <w:rFonts w:hint="eastAsia"/>
                      <w:spacing w:val="0"/>
                      <w:kern w:val="0"/>
                      <w:highlight w:val="none"/>
                      <w:lang w:val="en-US" w:eastAsia="zh-CN"/>
                    </w:rPr>
                    <w:t>水</w:t>
                  </w:r>
                  <w:r>
                    <w:rPr>
                      <w:rFonts w:hint="eastAsia"/>
                      <w:spacing w:val="0"/>
                      <w:kern w:val="0"/>
                      <w:highlight w:val="none"/>
                    </w:rPr>
                    <w:t>资源，项目资源消耗相对区域资源利用总量较少，不会超过当地资源利用上线。</w:t>
                  </w:r>
                </w:p>
              </w:tc>
              <w:tc>
                <w:tcPr>
                  <w:tcW w:w="212" w:type="pct"/>
                  <w:tcBorders>
                    <w:tl2br w:val="nil"/>
                    <w:tr2bl w:val="nil"/>
                  </w:tcBorders>
                  <w:noWrap w:val="0"/>
                  <w:vAlign w:val="center"/>
                </w:tcPr>
                <w:p w14:paraId="29A342EF">
                  <w:pPr>
                    <w:pStyle w:val="54"/>
                    <w:bidi w:val="0"/>
                    <w:jc w:val="center"/>
                    <w:rPr>
                      <w:rFonts w:hint="eastAsia"/>
                      <w:spacing w:val="0"/>
                      <w:kern w:val="0"/>
                      <w:highlight w:val="none"/>
                    </w:rPr>
                  </w:pPr>
                  <w:r>
                    <w:rPr>
                      <w:rFonts w:hint="eastAsia"/>
                      <w:spacing w:val="0"/>
                      <w:kern w:val="0"/>
                      <w:highlight w:val="none"/>
                    </w:rPr>
                    <w:t>符合</w:t>
                  </w:r>
                </w:p>
              </w:tc>
            </w:tr>
            <w:tr w14:paraId="5D61B9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25" w:type="pct"/>
                  <w:vMerge w:val="restart"/>
                  <w:tcBorders>
                    <w:tl2br w:val="nil"/>
                    <w:tr2bl w:val="nil"/>
                  </w:tcBorders>
                  <w:noWrap w:val="0"/>
                  <w:vAlign w:val="center"/>
                </w:tcPr>
                <w:p w14:paraId="4F1FB7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color w:val="auto"/>
                      <w:spacing w:val="0"/>
                      <w:kern w:val="0"/>
                      <w:sz w:val="21"/>
                      <w:szCs w:val="21"/>
                      <w:highlight w:val="none"/>
                      <w:vertAlign w:val="baseline"/>
                      <w:lang w:val="en-US" w:eastAsia="zh-CN" w:bidi="ar-SA"/>
                    </w:rPr>
                  </w:pPr>
                  <w:r>
                    <w:rPr>
                      <w:rFonts w:hint="eastAsia" w:ascii="Times New Roman" w:hAnsi="宋体" w:eastAsia="宋体" w:cs="宋体"/>
                      <w:color w:val="auto"/>
                      <w:spacing w:val="0"/>
                      <w:kern w:val="0"/>
                      <w:szCs w:val="21"/>
                      <w:highlight w:val="none"/>
                      <w:lang w:bidi="ar"/>
                    </w:rPr>
                    <w:t>天山南坡片区总体管控要求</w:t>
                  </w:r>
                </w:p>
              </w:tc>
              <w:tc>
                <w:tcPr>
                  <w:tcW w:w="2535" w:type="pct"/>
                  <w:tcBorders>
                    <w:tl2br w:val="nil"/>
                    <w:tr2bl w:val="nil"/>
                  </w:tcBorders>
                  <w:noWrap w:val="0"/>
                  <w:vAlign w:val="center"/>
                </w:tcPr>
                <w:p w14:paraId="68429AAD">
                  <w:pPr>
                    <w:widowControl/>
                    <w:spacing w:line="0" w:lineRule="atLeast"/>
                    <w:jc w:val="center"/>
                    <w:rPr>
                      <w:rFonts w:hint="eastAsia" w:ascii="Times New Roman" w:hAnsi="Times New Roman" w:eastAsia="宋体" w:cs="Times New Roman"/>
                      <w:color w:val="auto"/>
                      <w:spacing w:val="0"/>
                      <w:kern w:val="0"/>
                      <w:sz w:val="21"/>
                      <w:szCs w:val="21"/>
                      <w:highlight w:val="none"/>
                      <w:vertAlign w:val="baseline"/>
                      <w:lang w:val="en-US" w:eastAsia="zh-CN" w:bidi="ar-SA"/>
                    </w:rPr>
                  </w:pPr>
                  <w:r>
                    <w:rPr>
                      <w:rFonts w:hint="eastAsia" w:ascii="Times New Roman" w:hAnsi="宋体" w:eastAsia="宋体" w:cs="宋体"/>
                      <w:color w:val="auto"/>
                      <w:spacing w:val="0"/>
                      <w:kern w:val="0"/>
                      <w:szCs w:val="21"/>
                      <w:highlight w:val="none"/>
                      <w:lang w:bidi="ar"/>
                    </w:rPr>
                    <w:t>切实保护托木尔峰和天山南坡中段冰雪水源及生物多样性保护生态功能区内的托木尔峰自然景观、高山冰川、野生动物、森林和草原，合理利用天然草地，稳步推进草原减牧，加强保护区管理，维护自然景观和生物多样性。</w:t>
                  </w:r>
                </w:p>
              </w:tc>
              <w:tc>
                <w:tcPr>
                  <w:tcW w:w="1826" w:type="pct"/>
                  <w:tcBorders>
                    <w:tl2br w:val="nil"/>
                    <w:tr2bl w:val="nil"/>
                  </w:tcBorders>
                  <w:noWrap w:val="0"/>
                  <w:vAlign w:val="center"/>
                </w:tcPr>
                <w:p w14:paraId="09055C7C">
                  <w:pPr>
                    <w:adjustRightInd w:val="0"/>
                    <w:spacing w:line="0" w:lineRule="atLeast"/>
                    <w:jc w:val="center"/>
                    <w:rPr>
                      <w:rFonts w:hint="eastAsia" w:ascii="Times New Roman" w:hAnsi="Times New Roman" w:eastAsia="宋体" w:cs="Times New Roman"/>
                      <w:color w:val="auto"/>
                      <w:spacing w:val="0"/>
                      <w:kern w:val="0"/>
                      <w:sz w:val="21"/>
                      <w:szCs w:val="24"/>
                      <w:highlight w:val="none"/>
                      <w:lang w:val="en-US" w:eastAsia="zh-CN" w:bidi="ar-SA"/>
                    </w:rPr>
                  </w:pPr>
                  <w:r>
                    <w:rPr>
                      <w:rFonts w:hint="eastAsia" w:ascii="Times New Roman" w:hAnsi="宋体" w:eastAsia="宋体" w:cs="宋体"/>
                      <w:color w:val="auto"/>
                      <w:spacing w:val="0"/>
                      <w:kern w:val="0"/>
                      <w:szCs w:val="21"/>
                      <w:highlight w:val="none"/>
                      <w:lang w:bidi="ar"/>
                    </w:rPr>
                    <w:t>本项目</w:t>
                  </w:r>
                  <w:r>
                    <w:rPr>
                      <w:rFonts w:hint="eastAsia" w:ascii="Times New Roman" w:hAnsi="宋体" w:eastAsia="宋体" w:cs="宋体"/>
                      <w:color w:val="auto"/>
                      <w:spacing w:val="0"/>
                      <w:kern w:val="0"/>
                      <w:szCs w:val="21"/>
                      <w:highlight w:val="none"/>
                      <w:lang w:val="en-US" w:eastAsia="zh-CN" w:bidi="ar"/>
                    </w:rPr>
                    <w:t>不涉及</w:t>
                  </w:r>
                </w:p>
              </w:tc>
              <w:tc>
                <w:tcPr>
                  <w:tcW w:w="212" w:type="pct"/>
                  <w:tcBorders>
                    <w:tl2br w:val="nil"/>
                    <w:tr2bl w:val="nil"/>
                  </w:tcBorders>
                  <w:noWrap w:val="0"/>
                  <w:vAlign w:val="center"/>
                </w:tcPr>
                <w:p w14:paraId="47F6E4D1">
                  <w:pPr>
                    <w:bidi w:val="0"/>
                    <w:jc w:val="center"/>
                    <w:rPr>
                      <w:rFonts w:hint="eastAsia" w:ascii="Times New Roman" w:hAnsi="Times New Roman" w:eastAsia="宋体" w:cs="Times New Roman"/>
                      <w:spacing w:val="0"/>
                      <w:kern w:val="0"/>
                      <w:highlight w:val="none"/>
                    </w:rPr>
                  </w:pPr>
                  <w:r>
                    <w:rPr>
                      <w:rFonts w:hint="eastAsia" w:ascii="Times New Roman" w:hAnsi="Times New Roman" w:eastAsia="宋体" w:cs="Times New Roman"/>
                      <w:spacing w:val="0"/>
                      <w:kern w:val="0"/>
                      <w:highlight w:val="none"/>
                    </w:rPr>
                    <w:t>符合</w:t>
                  </w:r>
                </w:p>
              </w:tc>
            </w:tr>
            <w:tr w14:paraId="735718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25" w:type="pct"/>
                  <w:vMerge w:val="continue"/>
                  <w:tcBorders>
                    <w:tl2br w:val="nil"/>
                    <w:tr2bl w:val="nil"/>
                  </w:tcBorders>
                  <w:noWrap w:val="0"/>
                  <w:vAlign w:val="center"/>
                </w:tcPr>
                <w:p w14:paraId="783F4B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宋体" w:eastAsia="宋体" w:cs="宋体"/>
                      <w:color w:val="auto"/>
                      <w:spacing w:val="0"/>
                      <w:kern w:val="0"/>
                      <w:szCs w:val="21"/>
                      <w:highlight w:val="none"/>
                      <w:lang w:bidi="ar"/>
                    </w:rPr>
                  </w:pPr>
                </w:p>
              </w:tc>
              <w:tc>
                <w:tcPr>
                  <w:tcW w:w="2535" w:type="pct"/>
                  <w:tcBorders>
                    <w:tl2br w:val="nil"/>
                    <w:tr2bl w:val="nil"/>
                  </w:tcBorders>
                  <w:noWrap w:val="0"/>
                  <w:vAlign w:val="center"/>
                </w:tcPr>
                <w:p w14:paraId="70CFCC46">
                  <w:pPr>
                    <w:widowControl/>
                    <w:spacing w:line="0" w:lineRule="atLeast"/>
                    <w:jc w:val="center"/>
                    <w:rPr>
                      <w:rFonts w:hint="eastAsia" w:ascii="Times New Roman" w:hAnsi="Times New Roman" w:eastAsia="宋体" w:cs="Times New Roman"/>
                      <w:color w:val="auto"/>
                      <w:spacing w:val="0"/>
                      <w:kern w:val="0"/>
                      <w:sz w:val="21"/>
                      <w:szCs w:val="21"/>
                      <w:highlight w:val="none"/>
                      <w:vertAlign w:val="baseline"/>
                      <w:lang w:val="en-US" w:eastAsia="zh-CN" w:bidi="ar-SA"/>
                    </w:rPr>
                  </w:pPr>
                  <w:r>
                    <w:rPr>
                      <w:rFonts w:hint="eastAsia" w:ascii="Times New Roman" w:hAnsi="宋体" w:eastAsia="宋体" w:cs="宋体"/>
                      <w:color w:val="auto"/>
                      <w:spacing w:val="0"/>
                      <w:kern w:val="0"/>
                      <w:szCs w:val="21"/>
                      <w:highlight w:val="none"/>
                      <w:lang w:bidi="ar"/>
                    </w:rPr>
                    <w:t>重点做好塔里木盆地北缘荒漠化防治。加强荒漠植被及河岸荒漠林保护，规范油气勘探开发作业，建立油田和公路扰动区域工程与生物相结合的防风固沙体系，逐步形成生态屏障。</w:t>
                  </w:r>
                </w:p>
              </w:tc>
              <w:tc>
                <w:tcPr>
                  <w:tcW w:w="1826" w:type="pct"/>
                  <w:tcBorders>
                    <w:tl2br w:val="nil"/>
                    <w:tr2bl w:val="nil"/>
                  </w:tcBorders>
                  <w:noWrap w:val="0"/>
                  <w:vAlign w:val="center"/>
                </w:tcPr>
                <w:p w14:paraId="47A1423D">
                  <w:pPr>
                    <w:adjustRightInd w:val="0"/>
                    <w:spacing w:line="0" w:lineRule="atLeast"/>
                    <w:jc w:val="center"/>
                    <w:rPr>
                      <w:rFonts w:hint="eastAsia" w:ascii="Times New Roman" w:hAnsi="Times New Roman" w:eastAsia="宋体" w:cs="Times New Roman"/>
                      <w:color w:val="auto"/>
                      <w:spacing w:val="0"/>
                      <w:kern w:val="0"/>
                      <w:sz w:val="21"/>
                      <w:szCs w:val="24"/>
                      <w:highlight w:val="none"/>
                      <w:lang w:val="en-US" w:eastAsia="zh-CN" w:bidi="ar-SA"/>
                    </w:rPr>
                  </w:pPr>
                  <w:r>
                    <w:rPr>
                      <w:rFonts w:hint="eastAsia" w:ascii="Times New Roman" w:hAnsi="宋体" w:eastAsia="宋体" w:cs="宋体"/>
                      <w:color w:val="auto"/>
                      <w:spacing w:val="0"/>
                      <w:kern w:val="0"/>
                      <w:szCs w:val="21"/>
                      <w:highlight w:val="none"/>
                    </w:rPr>
                    <w:t>本项目不涉及</w:t>
                  </w:r>
                </w:p>
              </w:tc>
              <w:tc>
                <w:tcPr>
                  <w:tcW w:w="212" w:type="pct"/>
                  <w:tcBorders>
                    <w:tl2br w:val="nil"/>
                    <w:tr2bl w:val="nil"/>
                  </w:tcBorders>
                  <w:noWrap w:val="0"/>
                  <w:vAlign w:val="center"/>
                </w:tcPr>
                <w:p w14:paraId="24C559C9">
                  <w:pPr>
                    <w:bidi w:val="0"/>
                    <w:jc w:val="center"/>
                    <w:rPr>
                      <w:rFonts w:hint="eastAsia" w:ascii="Times New Roman" w:hAnsi="Times New Roman" w:eastAsia="宋体" w:cs="Times New Roman"/>
                      <w:spacing w:val="0"/>
                      <w:kern w:val="0"/>
                      <w:highlight w:val="none"/>
                    </w:rPr>
                  </w:pPr>
                  <w:r>
                    <w:rPr>
                      <w:rFonts w:hint="eastAsia" w:ascii="Times New Roman" w:hAnsi="Times New Roman" w:eastAsia="宋体" w:cs="Times New Roman"/>
                      <w:spacing w:val="0"/>
                      <w:kern w:val="0"/>
                      <w:highlight w:val="none"/>
                    </w:rPr>
                    <w:t>符合</w:t>
                  </w:r>
                </w:p>
              </w:tc>
            </w:tr>
            <w:tr w14:paraId="021236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25" w:type="pct"/>
                  <w:vMerge w:val="continue"/>
                  <w:tcBorders>
                    <w:tl2br w:val="nil"/>
                    <w:tr2bl w:val="nil"/>
                  </w:tcBorders>
                  <w:noWrap w:val="0"/>
                  <w:vAlign w:val="center"/>
                </w:tcPr>
                <w:p w14:paraId="41D0FA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宋体" w:eastAsia="宋体" w:cs="宋体"/>
                      <w:color w:val="auto"/>
                      <w:spacing w:val="0"/>
                      <w:kern w:val="0"/>
                      <w:szCs w:val="21"/>
                      <w:highlight w:val="none"/>
                      <w:lang w:bidi="ar"/>
                    </w:rPr>
                  </w:pPr>
                </w:p>
              </w:tc>
              <w:tc>
                <w:tcPr>
                  <w:tcW w:w="2535" w:type="pct"/>
                  <w:tcBorders>
                    <w:tl2br w:val="nil"/>
                    <w:tr2bl w:val="nil"/>
                  </w:tcBorders>
                  <w:noWrap w:val="0"/>
                  <w:vAlign w:val="center"/>
                </w:tcPr>
                <w:p w14:paraId="685549E5">
                  <w:pPr>
                    <w:autoSpaceDE w:val="0"/>
                    <w:autoSpaceDN w:val="0"/>
                    <w:adjustRightInd w:val="0"/>
                    <w:spacing w:line="0" w:lineRule="atLeast"/>
                    <w:jc w:val="center"/>
                    <w:rPr>
                      <w:rFonts w:hint="eastAsia" w:ascii="Times New Roman" w:hAnsi="Times New Roman" w:eastAsia="宋体" w:cs="Times New Roman"/>
                      <w:color w:val="auto"/>
                      <w:spacing w:val="0"/>
                      <w:kern w:val="0"/>
                      <w:sz w:val="21"/>
                      <w:szCs w:val="21"/>
                      <w:highlight w:val="none"/>
                      <w:vertAlign w:val="baseline"/>
                      <w:lang w:val="en-US" w:eastAsia="zh-CN" w:bidi="ar-SA"/>
                    </w:rPr>
                  </w:pPr>
                  <w:r>
                    <w:rPr>
                      <w:rFonts w:hint="eastAsia" w:ascii="Times New Roman" w:hAnsi="宋体" w:eastAsia="宋体" w:cs="宋体"/>
                      <w:color w:val="auto"/>
                      <w:spacing w:val="0"/>
                      <w:kern w:val="0"/>
                      <w:szCs w:val="21"/>
                      <w:highlight w:val="none"/>
                      <w:lang w:bidi="ar"/>
                    </w:rPr>
                    <w:t>推进塔里木河流域用水结构调整，维护塔里木河、博斯腾湖基本生态用水。</w:t>
                  </w:r>
                </w:p>
              </w:tc>
              <w:tc>
                <w:tcPr>
                  <w:tcW w:w="1826" w:type="pct"/>
                  <w:tcBorders>
                    <w:tl2br w:val="nil"/>
                    <w:tr2bl w:val="nil"/>
                  </w:tcBorders>
                  <w:noWrap w:val="0"/>
                  <w:vAlign w:val="center"/>
                </w:tcPr>
                <w:p w14:paraId="3D2E215D">
                  <w:pPr>
                    <w:adjustRightInd w:val="0"/>
                    <w:spacing w:line="0" w:lineRule="atLeast"/>
                    <w:jc w:val="center"/>
                    <w:rPr>
                      <w:rFonts w:hint="eastAsia" w:ascii="Times New Roman" w:hAnsi="Times New Roman" w:eastAsia="宋体" w:cs="Times New Roman"/>
                      <w:color w:val="auto"/>
                      <w:spacing w:val="0"/>
                      <w:kern w:val="0"/>
                      <w:sz w:val="21"/>
                      <w:szCs w:val="24"/>
                      <w:highlight w:val="none"/>
                      <w:lang w:val="en-US" w:eastAsia="zh-CN" w:bidi="ar-SA"/>
                    </w:rPr>
                  </w:pPr>
                  <w:r>
                    <w:rPr>
                      <w:rFonts w:hint="eastAsia" w:ascii="Times New Roman" w:hAnsi="宋体" w:eastAsia="宋体" w:cs="宋体"/>
                      <w:color w:val="auto"/>
                      <w:spacing w:val="0"/>
                      <w:kern w:val="0"/>
                      <w:szCs w:val="21"/>
                      <w:highlight w:val="none"/>
                    </w:rPr>
                    <w:t>本项目不涉及塔里木河、博斯腾湖生态用水</w:t>
                  </w:r>
                </w:p>
              </w:tc>
              <w:tc>
                <w:tcPr>
                  <w:tcW w:w="212" w:type="pct"/>
                  <w:tcBorders>
                    <w:tl2br w:val="nil"/>
                    <w:tr2bl w:val="nil"/>
                  </w:tcBorders>
                  <w:noWrap w:val="0"/>
                  <w:vAlign w:val="center"/>
                </w:tcPr>
                <w:p w14:paraId="1093DDBD">
                  <w:pPr>
                    <w:bidi w:val="0"/>
                    <w:jc w:val="center"/>
                    <w:rPr>
                      <w:rFonts w:hint="eastAsia" w:ascii="Times New Roman" w:hAnsi="Times New Roman" w:eastAsia="宋体" w:cs="Times New Roman"/>
                      <w:spacing w:val="0"/>
                      <w:kern w:val="0"/>
                      <w:highlight w:val="none"/>
                    </w:rPr>
                  </w:pPr>
                  <w:r>
                    <w:rPr>
                      <w:rFonts w:hint="eastAsia" w:ascii="Times New Roman" w:hAnsi="Times New Roman" w:eastAsia="宋体" w:cs="Times New Roman"/>
                      <w:spacing w:val="0"/>
                      <w:kern w:val="0"/>
                      <w:highlight w:val="none"/>
                    </w:rPr>
                    <w:t>符合</w:t>
                  </w:r>
                </w:p>
              </w:tc>
            </w:tr>
            <w:tr w14:paraId="2AC5C2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25" w:type="pct"/>
                  <w:vMerge w:val="continue"/>
                  <w:tcBorders>
                    <w:tl2br w:val="nil"/>
                    <w:tr2bl w:val="nil"/>
                  </w:tcBorders>
                  <w:noWrap w:val="0"/>
                  <w:vAlign w:val="center"/>
                </w:tcPr>
                <w:p w14:paraId="388E8A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宋体" w:eastAsia="宋体" w:cs="宋体"/>
                      <w:color w:val="auto"/>
                      <w:spacing w:val="0"/>
                      <w:kern w:val="0"/>
                      <w:szCs w:val="21"/>
                      <w:highlight w:val="none"/>
                      <w:lang w:bidi="ar"/>
                    </w:rPr>
                  </w:pPr>
                </w:p>
              </w:tc>
              <w:tc>
                <w:tcPr>
                  <w:tcW w:w="2535" w:type="pct"/>
                  <w:tcBorders>
                    <w:tl2br w:val="nil"/>
                    <w:tr2bl w:val="nil"/>
                  </w:tcBorders>
                  <w:noWrap w:val="0"/>
                  <w:vAlign w:val="center"/>
                </w:tcPr>
                <w:p w14:paraId="15F2019F">
                  <w:pPr>
                    <w:autoSpaceDE w:val="0"/>
                    <w:autoSpaceDN w:val="0"/>
                    <w:adjustRightInd w:val="0"/>
                    <w:spacing w:line="0" w:lineRule="atLeast"/>
                    <w:jc w:val="center"/>
                    <w:rPr>
                      <w:rFonts w:hint="eastAsia" w:ascii="Times New Roman" w:hAnsi="Times New Roman" w:eastAsia="宋体" w:cs="Times New Roman"/>
                      <w:color w:val="auto"/>
                      <w:spacing w:val="0"/>
                      <w:kern w:val="0"/>
                      <w:sz w:val="21"/>
                      <w:szCs w:val="21"/>
                      <w:highlight w:val="none"/>
                      <w:vertAlign w:val="baseline"/>
                      <w:lang w:val="en-US" w:eastAsia="zh-CN" w:bidi="ar-SA"/>
                    </w:rPr>
                  </w:pPr>
                  <w:r>
                    <w:rPr>
                      <w:rFonts w:hint="eastAsia" w:ascii="Times New Roman" w:hAnsi="宋体" w:eastAsia="宋体" w:cs="宋体"/>
                      <w:color w:val="auto"/>
                      <w:spacing w:val="0"/>
                      <w:kern w:val="0"/>
                      <w:szCs w:val="21"/>
                      <w:highlight w:val="none"/>
                    </w:rPr>
                    <w:t>加强塔里木河流域水环境风险管控。加大博斯腾湖污染源头达标排放治理和监督力度，实施博斯腾湖综合治理。</w:t>
                  </w:r>
                </w:p>
              </w:tc>
              <w:tc>
                <w:tcPr>
                  <w:tcW w:w="1826" w:type="pct"/>
                  <w:tcBorders>
                    <w:tl2br w:val="nil"/>
                    <w:tr2bl w:val="nil"/>
                  </w:tcBorders>
                  <w:noWrap w:val="0"/>
                  <w:vAlign w:val="center"/>
                </w:tcPr>
                <w:p w14:paraId="6012A3C5">
                  <w:pPr>
                    <w:adjustRightInd w:val="0"/>
                    <w:spacing w:line="0" w:lineRule="atLeast"/>
                    <w:jc w:val="center"/>
                    <w:rPr>
                      <w:rFonts w:hint="eastAsia" w:ascii="Times New Roman" w:hAnsi="Times New Roman" w:eastAsia="宋体" w:cs="Times New Roman"/>
                      <w:color w:val="auto"/>
                      <w:spacing w:val="0"/>
                      <w:kern w:val="0"/>
                      <w:sz w:val="21"/>
                      <w:szCs w:val="24"/>
                      <w:highlight w:val="none"/>
                      <w:lang w:val="en-US" w:eastAsia="zh-CN" w:bidi="ar-SA"/>
                    </w:rPr>
                  </w:pPr>
                  <w:r>
                    <w:rPr>
                      <w:rFonts w:hint="eastAsia" w:ascii="Times New Roman" w:hAnsi="宋体" w:eastAsia="宋体" w:cs="宋体"/>
                      <w:color w:val="auto"/>
                      <w:spacing w:val="0"/>
                      <w:kern w:val="0"/>
                      <w:szCs w:val="21"/>
                      <w:highlight w:val="none"/>
                    </w:rPr>
                    <w:t>本项目不涉及</w:t>
                  </w:r>
                </w:p>
              </w:tc>
              <w:tc>
                <w:tcPr>
                  <w:tcW w:w="212" w:type="pct"/>
                  <w:tcBorders>
                    <w:tl2br w:val="nil"/>
                    <w:tr2bl w:val="nil"/>
                  </w:tcBorders>
                  <w:noWrap w:val="0"/>
                  <w:vAlign w:val="center"/>
                </w:tcPr>
                <w:p w14:paraId="5BDD76A6">
                  <w:pPr>
                    <w:bidi w:val="0"/>
                    <w:jc w:val="center"/>
                    <w:rPr>
                      <w:rFonts w:hint="eastAsia" w:ascii="Times New Roman" w:hAnsi="Times New Roman" w:eastAsia="宋体" w:cs="Times New Roman"/>
                      <w:spacing w:val="0"/>
                      <w:kern w:val="0"/>
                      <w:highlight w:val="none"/>
                    </w:rPr>
                  </w:pPr>
                  <w:r>
                    <w:rPr>
                      <w:rFonts w:hint="eastAsia" w:ascii="Times New Roman" w:hAnsi="Times New Roman" w:eastAsia="宋体" w:cs="Times New Roman"/>
                      <w:spacing w:val="0"/>
                      <w:kern w:val="0"/>
                      <w:highlight w:val="none"/>
                    </w:rPr>
                    <w:t>符合</w:t>
                  </w:r>
                </w:p>
              </w:tc>
            </w:tr>
            <w:tr w14:paraId="6CFA5E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25" w:type="pct"/>
                  <w:vMerge w:val="continue"/>
                  <w:tcBorders>
                    <w:tl2br w:val="nil"/>
                    <w:tr2bl w:val="nil"/>
                  </w:tcBorders>
                  <w:noWrap w:val="0"/>
                  <w:vAlign w:val="center"/>
                </w:tcPr>
                <w:p w14:paraId="10051D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宋体" w:eastAsia="宋体" w:cs="宋体"/>
                      <w:color w:val="auto"/>
                      <w:spacing w:val="0"/>
                      <w:kern w:val="0"/>
                      <w:szCs w:val="21"/>
                      <w:highlight w:val="none"/>
                      <w:lang w:bidi="ar"/>
                    </w:rPr>
                  </w:pPr>
                </w:p>
              </w:tc>
              <w:tc>
                <w:tcPr>
                  <w:tcW w:w="2535" w:type="pct"/>
                  <w:tcBorders>
                    <w:tl2br w:val="nil"/>
                    <w:tr2bl w:val="nil"/>
                  </w:tcBorders>
                  <w:noWrap w:val="0"/>
                  <w:vAlign w:val="center"/>
                </w:tcPr>
                <w:p w14:paraId="71036205">
                  <w:pPr>
                    <w:autoSpaceDE w:val="0"/>
                    <w:autoSpaceDN w:val="0"/>
                    <w:adjustRightInd w:val="0"/>
                    <w:spacing w:line="0" w:lineRule="atLeast"/>
                    <w:jc w:val="center"/>
                    <w:rPr>
                      <w:rFonts w:hint="eastAsia" w:ascii="Times New Roman" w:hAnsi="Times New Roman" w:eastAsia="宋体" w:cs="Times New Roman"/>
                      <w:color w:val="auto"/>
                      <w:spacing w:val="0"/>
                      <w:kern w:val="0"/>
                      <w:sz w:val="21"/>
                      <w:szCs w:val="21"/>
                      <w:highlight w:val="none"/>
                      <w:vertAlign w:val="baseline"/>
                      <w:lang w:val="en-US" w:eastAsia="zh-CN" w:bidi="ar-SA"/>
                    </w:rPr>
                  </w:pPr>
                  <w:r>
                    <w:rPr>
                      <w:rFonts w:hint="eastAsia" w:ascii="Times New Roman" w:hAnsi="宋体" w:eastAsia="宋体" w:cs="宋体"/>
                      <w:color w:val="auto"/>
                      <w:spacing w:val="0"/>
                      <w:kern w:val="0"/>
                      <w:szCs w:val="21"/>
                      <w:highlight w:val="none"/>
                    </w:rPr>
                    <w:t>加强油</w:t>
                  </w:r>
                  <w:r>
                    <w:rPr>
                      <w:rFonts w:hint="eastAsia" w:ascii="Times New Roman" w:hAnsi="宋体" w:eastAsia="宋体" w:cs="宋体"/>
                      <w:color w:val="auto"/>
                      <w:spacing w:val="0"/>
                      <w:kern w:val="0"/>
                      <w:szCs w:val="21"/>
                      <w:highlight w:val="none"/>
                      <w:lang w:eastAsia="zh-CN"/>
                    </w:rPr>
                    <w:t>（</w:t>
                  </w:r>
                  <w:r>
                    <w:rPr>
                      <w:rFonts w:hint="eastAsia" w:ascii="Times New Roman" w:hAnsi="宋体" w:eastAsia="宋体" w:cs="宋体"/>
                      <w:color w:val="auto"/>
                      <w:spacing w:val="0"/>
                      <w:kern w:val="0"/>
                      <w:szCs w:val="21"/>
                      <w:highlight w:val="none"/>
                    </w:rPr>
                    <w:t>气</w:t>
                  </w:r>
                  <w:r>
                    <w:rPr>
                      <w:rFonts w:hint="eastAsia" w:ascii="Times New Roman" w:hAnsi="宋体" w:eastAsia="宋体" w:cs="宋体"/>
                      <w:color w:val="auto"/>
                      <w:spacing w:val="0"/>
                      <w:kern w:val="0"/>
                      <w:szCs w:val="21"/>
                      <w:highlight w:val="none"/>
                      <w:lang w:eastAsia="zh-CN"/>
                    </w:rPr>
                    <w:t>）</w:t>
                  </w:r>
                  <w:r>
                    <w:rPr>
                      <w:rFonts w:hint="eastAsia" w:ascii="Times New Roman" w:hAnsi="宋体" w:eastAsia="宋体" w:cs="宋体"/>
                      <w:color w:val="auto"/>
                      <w:spacing w:val="0"/>
                      <w:kern w:val="0"/>
                      <w:szCs w:val="21"/>
                      <w:highlight w:val="none"/>
                    </w:rPr>
                    <w:t>资源开发区土壤环境污染综合整治。强化涉重金属行业污染防控与工业废物处理处置。</w:t>
                  </w:r>
                </w:p>
              </w:tc>
              <w:tc>
                <w:tcPr>
                  <w:tcW w:w="1826" w:type="pct"/>
                  <w:tcBorders>
                    <w:tl2br w:val="nil"/>
                    <w:tr2bl w:val="nil"/>
                  </w:tcBorders>
                  <w:noWrap w:val="0"/>
                  <w:vAlign w:val="center"/>
                </w:tcPr>
                <w:p w14:paraId="6C2E8492">
                  <w:pPr>
                    <w:adjustRightInd w:val="0"/>
                    <w:spacing w:line="0" w:lineRule="atLeast"/>
                    <w:jc w:val="center"/>
                    <w:rPr>
                      <w:rFonts w:hint="eastAsia" w:ascii="Times New Roman" w:hAnsi="Times New Roman" w:eastAsia="宋体" w:cs="Times New Roman"/>
                      <w:color w:val="auto"/>
                      <w:spacing w:val="0"/>
                      <w:kern w:val="0"/>
                      <w:sz w:val="21"/>
                      <w:szCs w:val="24"/>
                      <w:highlight w:val="none"/>
                      <w:lang w:val="en-US" w:eastAsia="zh-CN" w:bidi="ar-SA"/>
                    </w:rPr>
                  </w:pPr>
                  <w:r>
                    <w:rPr>
                      <w:rFonts w:hint="eastAsia" w:ascii="Times New Roman" w:hAnsi="宋体" w:eastAsia="宋体" w:cs="宋体"/>
                      <w:color w:val="auto"/>
                      <w:spacing w:val="0"/>
                      <w:kern w:val="0"/>
                      <w:szCs w:val="21"/>
                      <w:highlight w:val="none"/>
                    </w:rPr>
                    <w:t>本项目</w:t>
                  </w:r>
                  <w:r>
                    <w:rPr>
                      <w:rFonts w:hint="eastAsia" w:ascii="Times New Roman" w:hAnsi="宋体" w:eastAsia="宋体" w:cs="宋体"/>
                      <w:color w:val="auto"/>
                      <w:spacing w:val="0"/>
                      <w:kern w:val="0"/>
                      <w:szCs w:val="21"/>
                      <w:highlight w:val="none"/>
                      <w:lang w:bidi="ar"/>
                    </w:rPr>
                    <w:t>不涉及重金属排放</w:t>
                  </w:r>
                </w:p>
              </w:tc>
              <w:tc>
                <w:tcPr>
                  <w:tcW w:w="212" w:type="pct"/>
                  <w:tcBorders>
                    <w:tl2br w:val="nil"/>
                    <w:tr2bl w:val="nil"/>
                  </w:tcBorders>
                  <w:noWrap w:val="0"/>
                  <w:vAlign w:val="center"/>
                </w:tcPr>
                <w:p w14:paraId="00E5EE27">
                  <w:pPr>
                    <w:bidi w:val="0"/>
                    <w:jc w:val="center"/>
                    <w:rPr>
                      <w:rFonts w:hint="eastAsia" w:ascii="Times New Roman" w:hAnsi="Times New Roman" w:eastAsia="宋体" w:cs="Times New Roman"/>
                      <w:spacing w:val="0"/>
                      <w:kern w:val="0"/>
                      <w:highlight w:val="none"/>
                    </w:rPr>
                  </w:pPr>
                  <w:r>
                    <w:rPr>
                      <w:rFonts w:hint="eastAsia" w:ascii="Times New Roman" w:hAnsi="Times New Roman" w:eastAsia="宋体" w:cs="Times New Roman"/>
                      <w:spacing w:val="0"/>
                      <w:kern w:val="0"/>
                      <w:highlight w:val="none"/>
                    </w:rPr>
                    <w:t>符合</w:t>
                  </w:r>
                </w:p>
              </w:tc>
            </w:tr>
          </w:tbl>
          <w:p w14:paraId="4FCC2C44">
            <w:pPr>
              <w:pStyle w:val="53"/>
              <w:bidi w:val="0"/>
              <w:rPr>
                <w:rFonts w:hint="eastAsia"/>
                <w:highlight w:val="none"/>
                <w:lang w:eastAsia="zh-CN"/>
              </w:rPr>
            </w:pPr>
            <w:r>
              <w:rPr>
                <w:rFonts w:hint="eastAsia"/>
                <w:highlight w:val="none"/>
                <w:lang w:val="en-US" w:eastAsia="zh-CN"/>
              </w:rPr>
              <w:t>综上所述，本项目符合</w:t>
            </w:r>
            <w:r>
              <w:rPr>
                <w:rFonts w:hint="eastAsia"/>
                <w:highlight w:val="none"/>
              </w:rPr>
              <w:t>《新疆维吾尔自治区七大片区</w:t>
            </w:r>
            <w:r>
              <w:rPr>
                <w:rFonts w:hint="eastAsia"/>
                <w:highlight w:val="none"/>
                <w:lang w:eastAsia="zh-CN"/>
              </w:rPr>
              <w:t>“</w:t>
            </w:r>
            <w:r>
              <w:rPr>
                <w:rFonts w:hint="eastAsia"/>
                <w:highlight w:val="none"/>
              </w:rPr>
              <w:t>三线一单</w:t>
            </w:r>
            <w:r>
              <w:rPr>
                <w:rFonts w:hint="eastAsia"/>
                <w:highlight w:val="none"/>
                <w:lang w:eastAsia="zh-CN"/>
              </w:rPr>
              <w:t>”</w:t>
            </w:r>
            <w:r>
              <w:rPr>
                <w:rFonts w:hint="eastAsia"/>
                <w:highlight w:val="none"/>
              </w:rPr>
              <w:t>生态环境分区管控要求》（2021年版）（新环环评发〔2021〕162号）</w:t>
            </w:r>
            <w:r>
              <w:rPr>
                <w:rFonts w:hint="eastAsia"/>
                <w:highlight w:val="none"/>
                <w:lang w:val="en-US" w:eastAsia="zh-CN"/>
              </w:rPr>
              <w:t>管控要求</w:t>
            </w:r>
            <w:r>
              <w:rPr>
                <w:rFonts w:hint="eastAsia"/>
                <w:highlight w:val="none"/>
                <w:lang w:eastAsia="zh-CN"/>
              </w:rPr>
              <w:t>。</w:t>
            </w:r>
          </w:p>
          <w:p w14:paraId="4250279D">
            <w:pPr>
              <w:pStyle w:val="53"/>
              <w:bidi w:val="0"/>
              <w:rPr>
                <w:rFonts w:hint="default"/>
                <w:highlight w:val="none"/>
                <w:lang w:val="en-US" w:eastAsia="zh-CN"/>
              </w:rPr>
            </w:pPr>
            <w:r>
              <w:rPr>
                <w:rFonts w:hint="eastAsia"/>
                <w:highlight w:val="none"/>
                <w:lang w:val="en-US" w:eastAsia="zh-CN"/>
              </w:rPr>
              <w:t>本项目与《关于印发巴音郭楞蒙古自治州“三线一单”生态环境分区管控动态更新成果（2023年）的通知》（巴政办发〔2024〕32号）表1-3</w:t>
            </w:r>
            <w:r>
              <w:rPr>
                <w:rFonts w:hint="eastAsia"/>
                <w:highlight w:val="none"/>
                <w:lang w:eastAsia="zh-CN"/>
              </w:rPr>
              <w:t>。</w:t>
            </w:r>
            <w:r>
              <w:rPr>
                <w:rFonts w:hint="eastAsia"/>
                <w:highlight w:val="none"/>
                <w:lang w:val="en-US" w:eastAsia="zh-CN"/>
              </w:rPr>
              <w:t>项目与巴音郭楞蒙古自治州“三线一单”生态环境分区管控方案位置关系图见附图1。</w:t>
            </w:r>
          </w:p>
          <w:p w14:paraId="75C7B3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kern w:val="2"/>
                <w:sz w:val="24"/>
                <w:szCs w:val="21"/>
                <w:highlight w:val="none"/>
                <w:lang w:val="en-US" w:eastAsia="zh-CN" w:bidi="ar-SA"/>
              </w:rPr>
            </w:pPr>
            <w:r>
              <w:rPr>
                <w:rFonts w:hint="eastAsia" w:ascii="Times New Roman" w:hAnsi="Times New Roman" w:eastAsia="宋体" w:cs="Times New Roman"/>
                <w:b/>
                <w:bCs w:val="0"/>
                <w:color w:val="auto"/>
                <w:kern w:val="2"/>
                <w:sz w:val="24"/>
                <w:szCs w:val="21"/>
                <w:highlight w:val="none"/>
                <w:lang w:val="en-US" w:eastAsia="zh-CN" w:bidi="ar-SA"/>
              </w:rPr>
              <w:t>表1-3 与自治州生态环境分区管控方案</w:t>
            </w:r>
            <w:r>
              <w:rPr>
                <w:rFonts w:hint="default" w:ascii="Times New Roman" w:hAnsi="Times New Roman" w:eastAsia="宋体" w:cs="Times New Roman"/>
                <w:b/>
                <w:bCs w:val="0"/>
                <w:color w:val="auto"/>
                <w:kern w:val="2"/>
                <w:sz w:val="24"/>
                <w:szCs w:val="21"/>
                <w:highlight w:val="none"/>
                <w:lang w:val="en-US" w:eastAsia="zh-CN" w:bidi="ar-SA"/>
              </w:rPr>
              <w:t>符合分析</w:t>
            </w:r>
          </w:p>
          <w:tbl>
            <w:tblPr>
              <w:tblStyle w:val="23"/>
              <w:tblW w:w="4996"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78"/>
              <w:gridCol w:w="447"/>
              <w:gridCol w:w="3007"/>
              <w:gridCol w:w="2447"/>
              <w:gridCol w:w="436"/>
            </w:tblGrid>
            <w:tr w14:paraId="5704AFF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39" w:type="pct"/>
                  <w:tcBorders>
                    <w:tl2br w:val="nil"/>
                    <w:tr2bl w:val="nil"/>
                  </w:tcBorders>
                  <w:noWrap w:val="0"/>
                  <w:vAlign w:val="center"/>
                </w:tcPr>
                <w:p w14:paraId="2A13CA29">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bCs/>
                      <w:i w:val="0"/>
                      <w:caps w:val="0"/>
                      <w:color w:val="000000"/>
                      <w:spacing w:val="0"/>
                      <w:w w:val="100"/>
                      <w:kern w:val="2"/>
                      <w:sz w:val="21"/>
                      <w:szCs w:val="21"/>
                      <w:highlight w:val="none"/>
                      <w:lang w:val="en-US" w:eastAsia="zh-CN" w:bidi="ar-SA"/>
                    </w:rPr>
                  </w:pPr>
                  <w:r>
                    <w:rPr>
                      <w:rFonts w:hint="default" w:ascii="Times New Roman" w:hAnsi="Times New Roman" w:eastAsia="宋体" w:cs="Times New Roman"/>
                      <w:b/>
                      <w:bCs/>
                      <w:i w:val="0"/>
                      <w:caps w:val="0"/>
                      <w:color w:val="000000"/>
                      <w:spacing w:val="0"/>
                      <w:w w:val="100"/>
                      <w:kern w:val="2"/>
                      <w:sz w:val="21"/>
                      <w:szCs w:val="21"/>
                      <w:highlight w:val="none"/>
                      <w:lang w:val="en-US" w:eastAsia="zh-CN" w:bidi="ar-SA"/>
                    </w:rPr>
                    <w:t>环境管控单元名称及编码</w:t>
                  </w:r>
                </w:p>
              </w:tc>
              <w:tc>
                <w:tcPr>
                  <w:tcW w:w="2267" w:type="pct"/>
                  <w:gridSpan w:val="2"/>
                  <w:tcBorders>
                    <w:tl2br w:val="nil"/>
                    <w:tr2bl w:val="nil"/>
                  </w:tcBorders>
                  <w:noWrap w:val="0"/>
                  <w:vAlign w:val="center"/>
                </w:tcPr>
                <w:p w14:paraId="453017D8">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bCs/>
                      <w:i w:val="0"/>
                      <w:caps w:val="0"/>
                      <w:color w:val="000000"/>
                      <w:spacing w:val="0"/>
                      <w:w w:val="100"/>
                      <w:kern w:val="2"/>
                      <w:sz w:val="21"/>
                      <w:szCs w:val="21"/>
                      <w:highlight w:val="none"/>
                      <w:lang w:val="en-US" w:eastAsia="zh-CN" w:bidi="ar-SA"/>
                    </w:rPr>
                  </w:pPr>
                  <w:r>
                    <w:rPr>
                      <w:rFonts w:hint="default" w:ascii="Times New Roman" w:hAnsi="Times New Roman" w:eastAsia="宋体" w:cs="Times New Roman"/>
                      <w:b/>
                      <w:bCs/>
                      <w:i w:val="0"/>
                      <w:caps w:val="0"/>
                      <w:color w:val="000000"/>
                      <w:spacing w:val="0"/>
                      <w:w w:val="100"/>
                      <w:kern w:val="2"/>
                      <w:sz w:val="21"/>
                      <w:szCs w:val="21"/>
                      <w:highlight w:val="none"/>
                      <w:lang w:val="en-US" w:eastAsia="zh-CN" w:bidi="ar-SA"/>
                    </w:rPr>
                    <w:t>“三线一单”要求</w:t>
                  </w:r>
                </w:p>
              </w:tc>
              <w:tc>
                <w:tcPr>
                  <w:tcW w:w="1606" w:type="pct"/>
                  <w:tcBorders>
                    <w:tl2br w:val="nil"/>
                    <w:tr2bl w:val="nil"/>
                  </w:tcBorders>
                  <w:noWrap w:val="0"/>
                  <w:vAlign w:val="center"/>
                </w:tcPr>
                <w:p w14:paraId="77042AB8">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bCs/>
                      <w:i w:val="0"/>
                      <w:caps w:val="0"/>
                      <w:color w:val="000000"/>
                      <w:spacing w:val="0"/>
                      <w:w w:val="100"/>
                      <w:kern w:val="2"/>
                      <w:sz w:val="21"/>
                      <w:szCs w:val="21"/>
                      <w:highlight w:val="none"/>
                      <w:lang w:val="en-US" w:eastAsia="zh-CN" w:bidi="ar-SA"/>
                    </w:rPr>
                  </w:pPr>
                  <w:r>
                    <w:rPr>
                      <w:rFonts w:hint="eastAsia" w:ascii="Times New Roman" w:hAnsi="Times New Roman" w:eastAsia="宋体" w:cs="Times New Roman"/>
                      <w:b/>
                      <w:bCs/>
                      <w:i w:val="0"/>
                      <w:caps w:val="0"/>
                      <w:color w:val="000000"/>
                      <w:spacing w:val="0"/>
                      <w:w w:val="100"/>
                      <w:kern w:val="2"/>
                      <w:sz w:val="21"/>
                      <w:szCs w:val="21"/>
                      <w:highlight w:val="none"/>
                      <w:lang w:val="en-US" w:eastAsia="zh-CN" w:bidi="ar-SA"/>
                    </w:rPr>
                    <w:t>本项目</w:t>
                  </w:r>
                </w:p>
              </w:tc>
              <w:tc>
                <w:tcPr>
                  <w:tcW w:w="286" w:type="pct"/>
                  <w:tcBorders>
                    <w:tl2br w:val="nil"/>
                    <w:tr2bl w:val="nil"/>
                  </w:tcBorders>
                  <w:noWrap w:val="0"/>
                  <w:vAlign w:val="center"/>
                </w:tcPr>
                <w:p w14:paraId="62912229">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bCs/>
                      <w:i w:val="0"/>
                      <w:caps w:val="0"/>
                      <w:color w:val="000000"/>
                      <w:spacing w:val="0"/>
                      <w:w w:val="100"/>
                      <w:kern w:val="2"/>
                      <w:sz w:val="21"/>
                      <w:szCs w:val="21"/>
                      <w:highlight w:val="none"/>
                      <w:lang w:val="en-US" w:eastAsia="zh-CN" w:bidi="ar-SA"/>
                    </w:rPr>
                  </w:pPr>
                  <w:r>
                    <w:rPr>
                      <w:rFonts w:hint="eastAsia" w:ascii="Times New Roman" w:hAnsi="Times New Roman" w:eastAsia="宋体" w:cs="Times New Roman"/>
                      <w:b/>
                      <w:bCs/>
                      <w:i w:val="0"/>
                      <w:caps w:val="0"/>
                      <w:color w:val="000000"/>
                      <w:spacing w:val="0"/>
                      <w:w w:val="100"/>
                      <w:kern w:val="2"/>
                      <w:sz w:val="21"/>
                      <w:szCs w:val="21"/>
                      <w:highlight w:val="none"/>
                      <w:lang w:val="en-US" w:eastAsia="zh-CN" w:bidi="ar-SA"/>
                    </w:rPr>
                    <w:t>符合性</w:t>
                  </w:r>
                </w:p>
              </w:tc>
            </w:tr>
            <w:tr w14:paraId="3B6A647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39" w:type="pct"/>
                  <w:vMerge w:val="restart"/>
                  <w:tcBorders>
                    <w:tl2br w:val="nil"/>
                    <w:tr2bl w:val="nil"/>
                  </w:tcBorders>
                  <w:noWrap w:val="0"/>
                  <w:vAlign w:val="center"/>
                </w:tcPr>
                <w:p w14:paraId="4C97A890">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pPr>
                  <w:r>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t>和静工业园区哈尔莫敦矿业片区</w:t>
                  </w:r>
                </w:p>
                <w:p w14:paraId="62A3C7E7">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pPr>
                  <w:r>
                    <w:rPr>
                      <w:rFonts w:hint="eastAsia" w:ascii="Times New Roman" w:hAnsi="Times New Roman" w:eastAsia="宋体" w:cs="Times New Roman"/>
                      <w:b w:val="0"/>
                      <w:i w:val="0"/>
                      <w:caps w:val="0"/>
                      <w:color w:val="000000"/>
                      <w:spacing w:val="0"/>
                      <w:w w:val="100"/>
                      <w:kern w:val="2"/>
                      <w:sz w:val="21"/>
                      <w:szCs w:val="21"/>
                      <w:highlight w:val="none"/>
                      <w:lang w:val="en-US" w:eastAsia="zh-CN" w:bidi="ar-SA"/>
                    </w:rPr>
                    <w:t>，重点管控单元（ZH65282720009）</w:t>
                  </w:r>
                </w:p>
              </w:tc>
              <w:tc>
                <w:tcPr>
                  <w:tcW w:w="293" w:type="pct"/>
                  <w:tcBorders>
                    <w:tl2br w:val="nil"/>
                    <w:tr2bl w:val="nil"/>
                  </w:tcBorders>
                  <w:noWrap w:val="0"/>
                  <w:vAlign w:val="center"/>
                </w:tcPr>
                <w:p w14:paraId="3FD001E3">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pPr>
                  <w:r>
                    <w:rPr>
                      <w:rFonts w:hint="eastAsia" w:ascii="Times New Roman" w:hAnsi="Times New Roman" w:eastAsia="宋体" w:cs="Times New Roman"/>
                      <w:b w:val="0"/>
                      <w:i w:val="0"/>
                      <w:caps w:val="0"/>
                      <w:color w:val="000000"/>
                      <w:spacing w:val="0"/>
                      <w:w w:val="100"/>
                      <w:kern w:val="2"/>
                      <w:sz w:val="21"/>
                      <w:szCs w:val="21"/>
                      <w:highlight w:val="none"/>
                      <w:lang w:val="en-US" w:eastAsia="zh-CN" w:bidi="ar-SA"/>
                    </w:rPr>
                    <w:t>空间布局约束</w:t>
                  </w:r>
                </w:p>
              </w:tc>
              <w:tc>
                <w:tcPr>
                  <w:tcW w:w="1974" w:type="pct"/>
                  <w:tcBorders>
                    <w:tl2br w:val="nil"/>
                    <w:tr2bl w:val="nil"/>
                  </w:tcBorders>
                  <w:noWrap w:val="0"/>
                  <w:vAlign w:val="center"/>
                </w:tcPr>
                <w:p w14:paraId="537936C2">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符合国家环保和节能减排要求，排放污染物必须达到国家和自治区污染物排放标准，严禁国家明文规定的限制类、淘汰类项目进入园区；不得采用国家、自治区淘汰或禁止使用的生产工艺、技术和设备；项目中的防治措施必须与主体工程同时设计、同时施工、同时投产使用。</w:t>
                  </w:r>
                </w:p>
              </w:tc>
              <w:tc>
                <w:tcPr>
                  <w:tcW w:w="1606" w:type="pct"/>
                  <w:tcBorders>
                    <w:tl2br w:val="nil"/>
                    <w:tr2bl w:val="nil"/>
                  </w:tcBorders>
                  <w:noWrap w:val="0"/>
                  <w:vAlign w:val="center"/>
                </w:tcPr>
                <w:p w14:paraId="37DF2A80">
                  <w:pPr>
                    <w:widowControl/>
                    <w:numPr>
                      <w:ilvl w:val="0"/>
                      <w:numId w:val="0"/>
                    </w:numPr>
                    <w:snapToGrid/>
                    <w:spacing w:before="0" w:beforeAutospacing="0" w:after="0" w:afterAutospacing="0" w:line="240" w:lineRule="auto"/>
                    <w:jc w:val="center"/>
                    <w:textAlignment w:val="baseline"/>
                    <w:rPr>
                      <w:rFonts w:hint="eastAsia" w:ascii="Times New Roman" w:hAnsi="Times New Roman" w:eastAsia="宋体" w:cs="Times New Roman"/>
                      <w:b w:val="0"/>
                      <w:i w:val="0"/>
                      <w:caps w:val="0"/>
                      <w:color w:val="000000"/>
                      <w:spacing w:val="0"/>
                      <w:w w:val="100"/>
                      <w:kern w:val="2"/>
                      <w:sz w:val="21"/>
                      <w:szCs w:val="21"/>
                      <w:highlight w:val="none"/>
                      <w:lang w:val="en-US" w:eastAsia="zh-CN" w:bidi="ar-SA"/>
                    </w:rPr>
                  </w:pPr>
                  <w:r>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t>本项目属于《产业结构调整指导目录（2024 年本）》允许类项目，不属于《市场准入负面清单（2025年版）》禁止准入事项</w:t>
                  </w:r>
                  <w:r>
                    <w:rPr>
                      <w:rFonts w:hint="eastAsia" w:ascii="Times New Roman" w:hAnsi="Times New Roman" w:eastAsia="宋体" w:cs="Times New Roman"/>
                      <w:b w:val="0"/>
                      <w:i w:val="0"/>
                      <w:caps w:val="0"/>
                      <w:color w:val="000000"/>
                      <w:spacing w:val="0"/>
                      <w:w w:val="100"/>
                      <w:kern w:val="2"/>
                      <w:sz w:val="21"/>
                      <w:szCs w:val="21"/>
                      <w:highlight w:val="none"/>
                      <w:lang w:val="en-US" w:eastAsia="zh-CN" w:bidi="ar-SA"/>
                    </w:rPr>
                    <w:t>。</w:t>
                  </w:r>
                </w:p>
                <w:p w14:paraId="36A67990">
                  <w:pPr>
                    <w:widowControl/>
                    <w:numPr>
                      <w:ilvl w:val="0"/>
                      <w:numId w:val="0"/>
                    </w:num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pPr>
                </w:p>
              </w:tc>
              <w:tc>
                <w:tcPr>
                  <w:tcW w:w="286" w:type="pct"/>
                  <w:tcBorders>
                    <w:tl2br w:val="nil"/>
                    <w:tr2bl w:val="nil"/>
                  </w:tcBorders>
                  <w:noWrap w:val="0"/>
                  <w:vAlign w:val="center"/>
                </w:tcPr>
                <w:p w14:paraId="6F929B8E">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pPr>
                  <w:r>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t>符合</w:t>
                  </w:r>
                </w:p>
              </w:tc>
            </w:tr>
            <w:tr w14:paraId="7BF1BB4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39" w:type="pct"/>
                  <w:vMerge w:val="continue"/>
                  <w:tcBorders>
                    <w:tl2br w:val="nil"/>
                    <w:tr2bl w:val="nil"/>
                  </w:tcBorders>
                  <w:noWrap w:val="0"/>
                  <w:vAlign w:val="center"/>
                </w:tcPr>
                <w:p w14:paraId="517253E3">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pPr>
                </w:p>
              </w:tc>
              <w:tc>
                <w:tcPr>
                  <w:tcW w:w="293" w:type="pct"/>
                  <w:tcBorders>
                    <w:tl2br w:val="nil"/>
                    <w:tr2bl w:val="nil"/>
                  </w:tcBorders>
                  <w:noWrap w:val="0"/>
                  <w:vAlign w:val="center"/>
                </w:tcPr>
                <w:p w14:paraId="6DAECB81">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pPr>
                  <w:r>
                    <w:rPr>
                      <w:rFonts w:hint="eastAsia" w:ascii="Times New Roman" w:hAnsi="Times New Roman" w:eastAsia="宋体" w:cs="Times New Roman"/>
                      <w:b w:val="0"/>
                      <w:i w:val="0"/>
                      <w:caps w:val="0"/>
                      <w:color w:val="000000"/>
                      <w:spacing w:val="0"/>
                      <w:w w:val="100"/>
                      <w:kern w:val="2"/>
                      <w:sz w:val="21"/>
                      <w:szCs w:val="21"/>
                      <w:highlight w:val="none"/>
                      <w:lang w:val="en-US" w:eastAsia="zh-CN" w:bidi="ar-SA"/>
                    </w:rPr>
                    <w:t>污染物排放管控</w:t>
                  </w:r>
                </w:p>
              </w:tc>
              <w:tc>
                <w:tcPr>
                  <w:tcW w:w="1974" w:type="pct"/>
                  <w:tcBorders>
                    <w:tl2br w:val="nil"/>
                    <w:tr2bl w:val="nil"/>
                  </w:tcBorders>
                  <w:noWrap w:val="0"/>
                  <w:vAlign w:val="center"/>
                </w:tcPr>
                <w:p w14:paraId="57C375AF">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完善农副产品、畜产品深加工等工业企业污染水治理设施，推进工业污水达标排放，实现污染物稳定达标排放。企业污水自行处理达到行业排放标准或《污水综合排放标准》中的三级标准后方可进入污水处理厂，并在企业排水口安装在线监测设备，以保障污水处理厂进水满足要求。</w:t>
                  </w:r>
                </w:p>
              </w:tc>
              <w:tc>
                <w:tcPr>
                  <w:tcW w:w="1606" w:type="pct"/>
                  <w:tcBorders>
                    <w:tl2br w:val="nil"/>
                    <w:tr2bl w:val="nil"/>
                  </w:tcBorders>
                  <w:noWrap w:val="0"/>
                  <w:vAlign w:val="center"/>
                </w:tcPr>
                <w:p w14:paraId="13353D22">
                  <w:pPr>
                    <w:widowControl/>
                    <w:numPr>
                      <w:ilvl w:val="0"/>
                      <w:numId w:val="0"/>
                    </w:numPr>
                    <w:snapToGrid/>
                    <w:spacing w:before="0" w:beforeAutospacing="0" w:after="0" w:afterAutospacing="0" w:line="240" w:lineRule="auto"/>
                    <w:jc w:val="center"/>
                    <w:textAlignment w:val="baseline"/>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本项目生活污水进入园区下水管网，最终进入和静县污水处理厂进行处理。</w:t>
                  </w:r>
                </w:p>
              </w:tc>
              <w:tc>
                <w:tcPr>
                  <w:tcW w:w="286" w:type="pct"/>
                  <w:tcBorders>
                    <w:tl2br w:val="nil"/>
                    <w:tr2bl w:val="nil"/>
                  </w:tcBorders>
                  <w:noWrap w:val="0"/>
                  <w:vAlign w:val="center"/>
                </w:tcPr>
                <w:p w14:paraId="648C049C">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pPr>
                  <w:r>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t>符合</w:t>
                  </w:r>
                </w:p>
              </w:tc>
            </w:tr>
            <w:tr w14:paraId="3CFEB3A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39" w:type="pct"/>
                  <w:vMerge w:val="continue"/>
                  <w:tcBorders>
                    <w:tl2br w:val="nil"/>
                    <w:tr2bl w:val="nil"/>
                  </w:tcBorders>
                  <w:noWrap w:val="0"/>
                  <w:vAlign w:val="center"/>
                </w:tcPr>
                <w:p w14:paraId="4DB3D50C">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pPr>
                </w:p>
              </w:tc>
              <w:tc>
                <w:tcPr>
                  <w:tcW w:w="293" w:type="pct"/>
                  <w:vMerge w:val="restart"/>
                  <w:tcBorders>
                    <w:tl2br w:val="nil"/>
                    <w:tr2bl w:val="nil"/>
                  </w:tcBorders>
                  <w:noWrap w:val="0"/>
                  <w:vAlign w:val="center"/>
                </w:tcPr>
                <w:p w14:paraId="6ACF20CB">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pPr>
                  <w:r>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t>环境风险</w:t>
                  </w:r>
                </w:p>
                <w:p w14:paraId="560E865D">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pPr>
                  <w:r>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t>防控</w:t>
                  </w:r>
                </w:p>
              </w:tc>
              <w:tc>
                <w:tcPr>
                  <w:tcW w:w="1974" w:type="pct"/>
                  <w:tcBorders>
                    <w:tl2br w:val="nil"/>
                    <w:tr2bl w:val="nil"/>
                  </w:tcBorders>
                  <w:noWrap w:val="0"/>
                  <w:vAlign w:val="center"/>
                </w:tcPr>
                <w:p w14:paraId="4195E852">
                  <w:pPr>
                    <w:spacing w:line="240" w:lineRule="auto"/>
                    <w:ind w:firstLine="0" w:firstLineChars="0"/>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开展土壤环境风险源识别，建立土壤污染源管控制度。列入土壤污染风险源清单中的企业，要制定隐患整治方案，报环境保护部门备案并由县人民政府审核后实施。</w:t>
                  </w:r>
                </w:p>
              </w:tc>
              <w:tc>
                <w:tcPr>
                  <w:tcW w:w="1606" w:type="pct"/>
                  <w:tcBorders>
                    <w:tl2br w:val="nil"/>
                    <w:tr2bl w:val="nil"/>
                  </w:tcBorders>
                  <w:noWrap w:val="0"/>
                  <w:vAlign w:val="center"/>
                </w:tcPr>
                <w:p w14:paraId="65AA14E3">
                  <w:pPr>
                    <w:spacing w:line="240" w:lineRule="auto"/>
                    <w:ind w:firstLine="0" w:firstLineChars="0"/>
                    <w:jc w:val="center"/>
                    <w:rPr>
                      <w:rFonts w:hint="default" w:ascii="Times New Roman" w:hAnsi="Times New Roman" w:eastAsia="宋体" w:cs="Times New Roman"/>
                      <w:color w:val="000000"/>
                      <w:kern w:val="0"/>
                      <w:sz w:val="21"/>
                      <w:szCs w:val="21"/>
                      <w:highlight w:val="none"/>
                      <w:lang w:val="en-US" w:eastAsia="zh-CN"/>
                    </w:rPr>
                  </w:pPr>
                  <w:r>
                    <w:rPr>
                      <w:rFonts w:hint="eastAsia" w:ascii="Times New Roman" w:hAnsi="Times New Roman" w:eastAsia="宋体" w:cs="Times New Roman"/>
                      <w:color w:val="000000"/>
                      <w:kern w:val="0"/>
                      <w:sz w:val="21"/>
                      <w:szCs w:val="21"/>
                      <w:highlight w:val="none"/>
                      <w:lang w:val="en-US" w:eastAsia="zh-CN"/>
                    </w:rPr>
                    <w:t>本项目建成后进行分区防渗，正常工况下不会对土壤造成污染。</w:t>
                  </w:r>
                </w:p>
              </w:tc>
              <w:tc>
                <w:tcPr>
                  <w:tcW w:w="286" w:type="pct"/>
                  <w:tcBorders>
                    <w:tl2br w:val="nil"/>
                    <w:tr2bl w:val="nil"/>
                  </w:tcBorders>
                  <w:noWrap w:val="0"/>
                  <w:vAlign w:val="center"/>
                </w:tcPr>
                <w:p w14:paraId="1A66B409">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pPr>
                  <w:r>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t>符合</w:t>
                  </w:r>
                </w:p>
              </w:tc>
            </w:tr>
            <w:tr w14:paraId="13BE5BE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39" w:type="pct"/>
                  <w:vMerge w:val="continue"/>
                  <w:tcBorders>
                    <w:tl2br w:val="nil"/>
                    <w:tr2bl w:val="nil"/>
                  </w:tcBorders>
                  <w:noWrap w:val="0"/>
                  <w:vAlign w:val="center"/>
                </w:tcPr>
                <w:p w14:paraId="0C24FF80">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pPr>
                </w:p>
              </w:tc>
              <w:tc>
                <w:tcPr>
                  <w:tcW w:w="293" w:type="pct"/>
                  <w:vMerge w:val="continue"/>
                  <w:tcBorders>
                    <w:tl2br w:val="nil"/>
                    <w:tr2bl w:val="nil"/>
                  </w:tcBorders>
                  <w:noWrap w:val="0"/>
                  <w:vAlign w:val="center"/>
                </w:tcPr>
                <w:p w14:paraId="448888BF">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pPr>
                </w:p>
              </w:tc>
              <w:tc>
                <w:tcPr>
                  <w:tcW w:w="1974" w:type="pct"/>
                  <w:tcBorders>
                    <w:tl2br w:val="nil"/>
                    <w:tr2bl w:val="nil"/>
                  </w:tcBorders>
                  <w:noWrap w:val="0"/>
                  <w:vAlign w:val="center"/>
                </w:tcPr>
                <w:p w14:paraId="6279B014">
                  <w:pPr>
                    <w:spacing w:line="240" w:lineRule="auto"/>
                    <w:ind w:firstLine="0" w:firstLineChars="0"/>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严格环境风险控制。防范环境风险，定期评估工业集聚区环境和健康风险，加强预案管理，落实防控措施，排除水污染隐患。</w:t>
                  </w:r>
                </w:p>
              </w:tc>
              <w:tc>
                <w:tcPr>
                  <w:tcW w:w="1606" w:type="pct"/>
                  <w:tcBorders>
                    <w:tl2br w:val="nil"/>
                    <w:tr2bl w:val="nil"/>
                  </w:tcBorders>
                  <w:noWrap w:val="0"/>
                  <w:vAlign w:val="center"/>
                </w:tcPr>
                <w:p w14:paraId="18308A22">
                  <w:pPr>
                    <w:spacing w:line="240" w:lineRule="auto"/>
                    <w:ind w:firstLine="0" w:firstLineChars="0"/>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本项目建成后需编制突发环境事件应急预案。</w:t>
                  </w:r>
                </w:p>
              </w:tc>
              <w:tc>
                <w:tcPr>
                  <w:tcW w:w="286" w:type="pct"/>
                  <w:tcBorders>
                    <w:tl2br w:val="nil"/>
                    <w:tr2bl w:val="nil"/>
                  </w:tcBorders>
                  <w:noWrap w:val="0"/>
                  <w:vAlign w:val="center"/>
                </w:tcPr>
                <w:p w14:paraId="371939AC">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pPr>
                  <w:r>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t>符合</w:t>
                  </w:r>
                </w:p>
              </w:tc>
            </w:tr>
            <w:tr w14:paraId="697528B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39" w:type="pct"/>
                  <w:vMerge w:val="continue"/>
                  <w:tcBorders>
                    <w:tl2br w:val="nil"/>
                    <w:tr2bl w:val="nil"/>
                  </w:tcBorders>
                  <w:noWrap w:val="0"/>
                  <w:vAlign w:val="center"/>
                </w:tcPr>
                <w:p w14:paraId="0915C229">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pPr>
                </w:p>
              </w:tc>
              <w:tc>
                <w:tcPr>
                  <w:tcW w:w="293" w:type="pct"/>
                  <w:vMerge w:val="continue"/>
                  <w:tcBorders>
                    <w:tl2br w:val="nil"/>
                    <w:tr2bl w:val="nil"/>
                  </w:tcBorders>
                  <w:noWrap w:val="0"/>
                  <w:vAlign w:val="center"/>
                </w:tcPr>
                <w:p w14:paraId="73DA9943">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pPr>
                </w:p>
              </w:tc>
              <w:tc>
                <w:tcPr>
                  <w:tcW w:w="1974" w:type="pct"/>
                  <w:tcBorders>
                    <w:tl2br w:val="nil"/>
                    <w:tr2bl w:val="nil"/>
                  </w:tcBorders>
                  <w:noWrap w:val="0"/>
                  <w:vAlign w:val="center"/>
                </w:tcPr>
                <w:p w14:paraId="5163694A">
                  <w:pPr>
                    <w:spacing w:line="240" w:lineRule="auto"/>
                    <w:ind w:firstLine="0" w:firstLineChars="0"/>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加强对地下水、地表水污染的动态监测，禁止利用渗坑、渗井排放工业废水和生活污水，控制或杜绝污染。</w:t>
                  </w:r>
                </w:p>
              </w:tc>
              <w:tc>
                <w:tcPr>
                  <w:tcW w:w="1606" w:type="pct"/>
                  <w:tcBorders>
                    <w:tl2br w:val="nil"/>
                    <w:tr2bl w:val="nil"/>
                  </w:tcBorders>
                  <w:noWrap w:val="0"/>
                  <w:vAlign w:val="center"/>
                </w:tcPr>
                <w:p w14:paraId="64E8BD55">
                  <w:pPr>
                    <w:spacing w:line="240" w:lineRule="auto"/>
                    <w:ind w:firstLine="0" w:firstLineChars="0"/>
                    <w:jc w:val="center"/>
                    <w:rPr>
                      <w:rFonts w:hint="default" w:ascii="Times New Roman" w:hAnsi="Times New Roman" w:eastAsia="宋体" w:cs="Times New Roman"/>
                      <w:color w:val="000000"/>
                      <w:kern w:val="0"/>
                      <w:sz w:val="21"/>
                      <w:szCs w:val="21"/>
                      <w:highlight w:val="none"/>
                      <w:lang w:val="en-US" w:eastAsia="zh-CN"/>
                    </w:rPr>
                  </w:pPr>
                  <w:r>
                    <w:rPr>
                      <w:rFonts w:hint="eastAsia" w:ascii="Times New Roman" w:hAnsi="Times New Roman" w:eastAsia="宋体" w:cs="Times New Roman"/>
                      <w:color w:val="000000"/>
                      <w:kern w:val="0"/>
                      <w:sz w:val="21"/>
                      <w:szCs w:val="21"/>
                      <w:highlight w:val="none"/>
                      <w:lang w:val="en-US" w:eastAsia="zh-CN"/>
                    </w:rPr>
                    <w:t>本项目不涉及</w:t>
                  </w:r>
                </w:p>
              </w:tc>
              <w:tc>
                <w:tcPr>
                  <w:tcW w:w="286" w:type="pct"/>
                  <w:tcBorders>
                    <w:tl2br w:val="nil"/>
                    <w:tr2bl w:val="nil"/>
                  </w:tcBorders>
                  <w:noWrap w:val="0"/>
                  <w:vAlign w:val="center"/>
                </w:tcPr>
                <w:p w14:paraId="7CFCCEEC">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pPr>
                  <w:r>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t>符合</w:t>
                  </w:r>
                </w:p>
              </w:tc>
            </w:tr>
            <w:tr w14:paraId="132860C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39" w:type="pct"/>
                  <w:vMerge w:val="continue"/>
                  <w:tcBorders>
                    <w:tl2br w:val="nil"/>
                    <w:tr2bl w:val="nil"/>
                  </w:tcBorders>
                  <w:noWrap w:val="0"/>
                  <w:vAlign w:val="center"/>
                </w:tcPr>
                <w:p w14:paraId="33DB44E0">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pPr>
                </w:p>
              </w:tc>
              <w:tc>
                <w:tcPr>
                  <w:tcW w:w="293" w:type="pct"/>
                  <w:tcBorders>
                    <w:tl2br w:val="nil"/>
                    <w:tr2bl w:val="nil"/>
                  </w:tcBorders>
                  <w:noWrap w:val="0"/>
                  <w:vAlign w:val="center"/>
                </w:tcPr>
                <w:p w14:paraId="27DFFC2F">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pPr>
                  <w:r>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t>资源利用效率</w:t>
                  </w:r>
                </w:p>
              </w:tc>
              <w:tc>
                <w:tcPr>
                  <w:tcW w:w="1974" w:type="pct"/>
                  <w:tcBorders>
                    <w:tl2br w:val="nil"/>
                    <w:tr2bl w:val="nil"/>
                  </w:tcBorders>
                  <w:noWrap w:val="0"/>
                  <w:vAlign w:val="center"/>
                </w:tcPr>
                <w:p w14:paraId="437B695B">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pPr>
                  <w:r>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t>围绕资源高效循环利用，加大先进节能技术和减排技术的推广应用，推动结构性、技术性和制度性节能减排。强化行业环境监督管理，以重点领域、重点行业和重点企业为突破口，实施节能减排技术改造和重点工程建设。进一步加强节能监察队伍建设，逐步推行碳排放交易、合同能源管理的节能模式，引导企业做好能源利用状况报告的评审和产品能耗对标工作，加强能耗计量专业化和信息化，提高节能监察工作能力。</w:t>
                  </w:r>
                </w:p>
              </w:tc>
              <w:tc>
                <w:tcPr>
                  <w:tcW w:w="1606" w:type="pct"/>
                  <w:tcBorders>
                    <w:tl2br w:val="nil"/>
                    <w:tr2bl w:val="nil"/>
                  </w:tcBorders>
                  <w:noWrap w:val="0"/>
                  <w:vAlign w:val="center"/>
                </w:tcPr>
                <w:p w14:paraId="41F2B5D8">
                  <w:pPr>
                    <w:widowControl/>
                    <w:numPr>
                      <w:ilvl w:val="0"/>
                      <w:numId w:val="0"/>
                    </w:num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pPr>
                  <w:r>
                    <w:rPr>
                      <w:rFonts w:hint="eastAsia" w:ascii="Times New Roman" w:hAnsi="Times New Roman" w:eastAsia="宋体" w:cs="Times New Roman"/>
                      <w:b w:val="0"/>
                      <w:i w:val="0"/>
                      <w:caps w:val="0"/>
                      <w:color w:val="000000"/>
                      <w:spacing w:val="0"/>
                      <w:w w:val="100"/>
                      <w:kern w:val="2"/>
                      <w:sz w:val="21"/>
                      <w:szCs w:val="21"/>
                      <w:highlight w:val="none"/>
                      <w:lang w:val="en-US" w:eastAsia="zh-CN" w:bidi="ar-SA"/>
                    </w:rPr>
                    <w:t>本项目产生的一般固体废物集中</w:t>
                  </w:r>
                  <w:r>
                    <w:rPr>
                      <w:rFonts w:hint="eastAsia" w:cs="Times New Roman"/>
                      <w:b w:val="0"/>
                      <w:i w:val="0"/>
                      <w:caps w:val="0"/>
                      <w:color w:val="000000"/>
                      <w:spacing w:val="0"/>
                      <w:w w:val="100"/>
                      <w:kern w:val="2"/>
                      <w:sz w:val="21"/>
                      <w:szCs w:val="21"/>
                      <w:highlight w:val="none"/>
                      <w:lang w:val="en-US" w:eastAsia="zh-CN" w:bidi="ar-SA"/>
                    </w:rPr>
                    <w:t>收集</w:t>
                  </w:r>
                  <w:r>
                    <w:rPr>
                      <w:rFonts w:hint="eastAsia" w:ascii="Times New Roman" w:hAnsi="Times New Roman" w:eastAsia="宋体" w:cs="Times New Roman"/>
                      <w:b w:val="0"/>
                      <w:i w:val="0"/>
                      <w:caps w:val="0"/>
                      <w:color w:val="000000"/>
                      <w:spacing w:val="0"/>
                      <w:w w:val="100"/>
                      <w:kern w:val="2"/>
                      <w:sz w:val="21"/>
                      <w:szCs w:val="21"/>
                      <w:highlight w:val="none"/>
                      <w:lang w:val="en-US" w:eastAsia="zh-CN" w:bidi="ar-SA"/>
                    </w:rPr>
                    <w:t>后交由一般固废处置单位进行处置，危险废物集中收集至危险废物贮存库内暂存，交由有资质单位进行处置。</w:t>
                  </w:r>
                </w:p>
              </w:tc>
              <w:tc>
                <w:tcPr>
                  <w:tcW w:w="286" w:type="pct"/>
                  <w:tcBorders>
                    <w:tl2br w:val="nil"/>
                    <w:tr2bl w:val="nil"/>
                  </w:tcBorders>
                  <w:noWrap w:val="0"/>
                  <w:vAlign w:val="center"/>
                </w:tcPr>
                <w:p w14:paraId="58FA35C3">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pPr>
                  <w:r>
                    <w:rPr>
                      <w:rFonts w:hint="default" w:ascii="Times New Roman" w:hAnsi="Times New Roman" w:eastAsia="宋体" w:cs="Times New Roman"/>
                      <w:b w:val="0"/>
                      <w:i w:val="0"/>
                      <w:caps w:val="0"/>
                      <w:color w:val="000000"/>
                      <w:spacing w:val="0"/>
                      <w:w w:val="100"/>
                      <w:kern w:val="2"/>
                      <w:sz w:val="21"/>
                      <w:szCs w:val="21"/>
                      <w:highlight w:val="none"/>
                      <w:lang w:val="en-US" w:eastAsia="zh-CN" w:bidi="ar-SA"/>
                    </w:rPr>
                    <w:t>符合</w:t>
                  </w:r>
                </w:p>
              </w:tc>
            </w:tr>
          </w:tbl>
          <w:p w14:paraId="75AD9E68">
            <w:pPr>
              <w:pStyle w:val="9"/>
              <w:keepNext w:val="0"/>
              <w:keepLines w:val="0"/>
              <w:pageBreakBefore w:val="0"/>
              <w:widowControl/>
              <w:kinsoku/>
              <w:wordWrap/>
              <w:overflowPunct/>
              <w:topLinePunct w:val="0"/>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综合</w:t>
            </w:r>
            <w:r>
              <w:rPr>
                <w:rFonts w:hint="default" w:ascii="Times New Roman" w:hAnsi="Times New Roman" w:eastAsia="宋体" w:cs="Times New Roman"/>
                <w:sz w:val="24"/>
                <w:szCs w:val="24"/>
                <w:highlight w:val="none"/>
                <w:lang w:val="en-US" w:eastAsia="zh-CN"/>
              </w:rPr>
              <w:t>所述</w:t>
            </w:r>
            <w:r>
              <w:rPr>
                <w:rFonts w:hint="default" w:ascii="Times New Roman" w:hAnsi="Times New Roman" w:eastAsia="宋体" w:cs="Times New Roman"/>
                <w:sz w:val="24"/>
                <w:szCs w:val="24"/>
                <w:highlight w:val="none"/>
              </w:rPr>
              <w:t>，本项目符合</w:t>
            </w:r>
            <w:r>
              <w:rPr>
                <w:rFonts w:hint="default" w:ascii="Times New Roman" w:hAnsi="Times New Roman" w:eastAsia="宋体" w:cs="Times New Roman"/>
                <w:sz w:val="24"/>
                <w:szCs w:val="24"/>
                <w:highlight w:val="none"/>
                <w:lang w:val="en-US" w:eastAsia="zh-CN"/>
              </w:rPr>
              <w:t>《关于印发巴音郭楞蒙古自治州“三线一单”生态环境分区管控动态更新成果（2023年）的通知》（巴政办发〔2024〕32号）</w:t>
            </w:r>
            <w:r>
              <w:rPr>
                <w:rFonts w:hint="default" w:ascii="Times New Roman" w:hAnsi="Times New Roman" w:eastAsia="宋体" w:cs="Times New Roman"/>
                <w:sz w:val="24"/>
                <w:szCs w:val="24"/>
                <w:highlight w:val="none"/>
              </w:rPr>
              <w:t>文件</w:t>
            </w:r>
            <w:r>
              <w:rPr>
                <w:rFonts w:hint="default" w:ascii="Times New Roman" w:hAnsi="Times New Roman" w:eastAsia="宋体" w:cs="Times New Roman"/>
                <w:sz w:val="24"/>
                <w:szCs w:val="24"/>
                <w:highlight w:val="none"/>
                <w:lang w:val="en-US" w:eastAsia="zh-CN"/>
              </w:rPr>
              <w:t>管控</w:t>
            </w:r>
            <w:r>
              <w:rPr>
                <w:rFonts w:hint="default" w:ascii="Times New Roman" w:hAnsi="Times New Roman" w:eastAsia="宋体" w:cs="Times New Roman"/>
                <w:sz w:val="24"/>
                <w:szCs w:val="24"/>
                <w:highlight w:val="none"/>
              </w:rPr>
              <w:t>要求</w:t>
            </w:r>
            <w:r>
              <w:rPr>
                <w:rFonts w:hint="default" w:ascii="Times New Roman" w:hAnsi="Times New Roman" w:eastAsia="宋体" w:cs="Times New Roman"/>
                <w:sz w:val="24"/>
                <w:szCs w:val="24"/>
                <w:highlight w:val="none"/>
                <w:lang w:eastAsia="zh-CN"/>
              </w:rPr>
              <w:t>。</w:t>
            </w:r>
          </w:p>
          <w:p w14:paraId="44AA2B19">
            <w:pPr>
              <w:keepNext/>
              <w:keepLines/>
              <w:widowControl w:val="0"/>
              <w:autoSpaceDE w:val="0"/>
              <w:autoSpaceDN w:val="0"/>
              <w:bidi w:val="0"/>
              <w:adjustRightInd w:val="0"/>
              <w:snapToGrid w:val="0"/>
              <w:spacing w:before="0" w:beforeLines="0" w:after="0" w:afterLines="0" w:line="360" w:lineRule="auto"/>
              <w:ind w:left="0" w:right="0" w:firstLine="0" w:firstLineChars="0"/>
              <w:jc w:val="both"/>
              <w:outlineLvl w:val="1"/>
              <w:rPr>
                <w:rFonts w:hint="default" w:ascii="Times New Roman" w:hAnsi="Times New Roman" w:eastAsia="宋体" w:cs="宋体"/>
                <w:b/>
                <w:bCs/>
                <w:sz w:val="24"/>
                <w:szCs w:val="32"/>
                <w:highlight w:val="none"/>
                <w:lang w:val="en-US" w:eastAsia="zh-CN" w:bidi="ar-SA"/>
              </w:rPr>
            </w:pPr>
            <w:r>
              <w:rPr>
                <w:rFonts w:hint="eastAsia" w:ascii="Times New Roman" w:hAnsi="Times New Roman" w:eastAsia="宋体" w:cs="宋体"/>
                <w:b/>
                <w:bCs/>
                <w:sz w:val="24"/>
                <w:szCs w:val="20"/>
                <w:highlight w:val="none"/>
                <w:lang w:val="en-US" w:eastAsia="zh-CN" w:bidi="ar-SA"/>
              </w:rPr>
              <w:t>3、</w:t>
            </w:r>
            <w:r>
              <w:rPr>
                <w:rFonts w:hint="eastAsia" w:ascii="Times New Roman" w:hAnsi="Times New Roman" w:eastAsia="宋体" w:cs="宋体"/>
                <w:b/>
                <w:bCs/>
                <w:sz w:val="24"/>
                <w:szCs w:val="32"/>
                <w:highlight w:val="none"/>
                <w:lang w:val="en-US" w:eastAsia="zh-CN" w:bidi="ar-SA"/>
              </w:rPr>
              <w:t>与《巴音郭楞蒙古自治州生态环境“十四五”规划》的符合性分析</w:t>
            </w:r>
          </w:p>
          <w:p w14:paraId="7A9342ED">
            <w:pPr>
              <w:autoSpaceDE w:val="0"/>
              <w:autoSpaceDN w:val="0"/>
              <w:bidi w:val="0"/>
              <w:adjustRightInd w:val="0"/>
              <w:snapToGrid w:val="0"/>
              <w:spacing w:before="0" w:after="0" w:line="360" w:lineRule="auto"/>
              <w:ind w:left="0" w:right="0" w:firstLine="480" w:firstLineChars="200"/>
              <w:rPr>
                <w:rFonts w:hint="eastAsia" w:ascii="Times New Roman" w:hAnsi="Times New Roman" w:eastAsia="宋体" w:cs="宋体"/>
                <w:kern w:val="0"/>
                <w:sz w:val="24"/>
                <w:szCs w:val="22"/>
                <w:highlight w:val="none"/>
                <w:lang w:eastAsia="zh-CN"/>
              </w:rPr>
            </w:pPr>
            <w:r>
              <w:rPr>
                <w:rFonts w:hint="eastAsia" w:ascii="Times New Roman" w:hAnsi="Times New Roman" w:eastAsia="宋体" w:cs="宋体"/>
                <w:kern w:val="0"/>
                <w:sz w:val="24"/>
                <w:szCs w:val="22"/>
                <w:highlight w:val="none"/>
                <w:lang w:eastAsia="zh-CN"/>
              </w:rPr>
              <w:t>强化面源污染防控。加强城市扬尘综合防控，积极推进绿色工地和“阳光施工”创建，县级及以上城市建成区建筑工地扬尘防控标准化管理全覆盖；控制道路交通扬尘污染，加强城市道路清扫保洁和洒水抑尘，提高机械化作业水平；加强矿山粉尘治理，充分运用新型、高效的防尘、降尘、除尘技术，全面加强矿山开采各环节粉尘防控措施；全面推进秸秆实现资源化利用，推进农业大气氨污染防治，加强种植业氨排放控制，调整氮肥结构，加速挥发性氮肥产品的应用。</w:t>
            </w:r>
          </w:p>
          <w:p w14:paraId="079AE83D">
            <w:pPr>
              <w:autoSpaceDE w:val="0"/>
              <w:autoSpaceDN w:val="0"/>
              <w:bidi w:val="0"/>
              <w:adjustRightInd w:val="0"/>
              <w:snapToGrid w:val="0"/>
              <w:spacing w:before="0" w:after="0" w:line="360" w:lineRule="auto"/>
              <w:ind w:left="0" w:right="0" w:firstLine="480" w:firstLineChars="200"/>
              <w:rPr>
                <w:rFonts w:hint="eastAsia" w:ascii="Times New Roman" w:hAnsi="Times New Roman" w:eastAsia="宋体" w:cs="宋体"/>
                <w:kern w:val="0"/>
                <w:sz w:val="24"/>
                <w:szCs w:val="22"/>
                <w:highlight w:val="none"/>
                <w:lang w:val="en-US" w:eastAsia="zh-CN"/>
              </w:rPr>
            </w:pPr>
            <w:r>
              <w:rPr>
                <w:rFonts w:hint="eastAsia" w:ascii="Times New Roman" w:hAnsi="Times New Roman" w:eastAsia="宋体" w:cs="宋体"/>
                <w:kern w:val="0"/>
                <w:sz w:val="24"/>
                <w:szCs w:val="22"/>
                <w:highlight w:val="none"/>
                <w:lang w:val="en-US" w:eastAsia="zh-CN"/>
              </w:rPr>
              <w:t>本项目生产过程中均在封闭厂房内进行，废气经布袋除尘器处理后达到《大气污染物综合排放标准》中表2的二级标准后排放。本项目符合《巴音郭楞蒙古自治州生态环境“十四五”规划》中的要求。</w:t>
            </w:r>
          </w:p>
          <w:p w14:paraId="66006A62">
            <w:pPr>
              <w:keepNext/>
              <w:keepLines/>
              <w:widowControl w:val="0"/>
              <w:autoSpaceDE w:val="0"/>
              <w:autoSpaceDN w:val="0"/>
              <w:bidi w:val="0"/>
              <w:adjustRightInd w:val="0"/>
              <w:snapToGrid w:val="0"/>
              <w:spacing w:before="0" w:beforeLines="0" w:after="0" w:afterLines="0" w:line="360" w:lineRule="auto"/>
              <w:ind w:left="0" w:right="0" w:firstLine="0" w:firstLineChars="0"/>
              <w:jc w:val="both"/>
              <w:outlineLvl w:val="1"/>
              <w:rPr>
                <w:rFonts w:ascii="Times New Roman" w:hAnsi="Times New Roman" w:eastAsia="宋体" w:cs="宋体"/>
                <w:b/>
                <w:bCs/>
                <w:sz w:val="24"/>
                <w:szCs w:val="32"/>
                <w:highlight w:val="none"/>
                <w:lang w:val="en-US" w:eastAsia="zh-CN" w:bidi="ar-SA"/>
              </w:rPr>
            </w:pPr>
            <w:r>
              <w:rPr>
                <w:rFonts w:hint="eastAsia" w:ascii="Times New Roman" w:hAnsi="Times New Roman" w:eastAsia="宋体" w:cs="宋体"/>
                <w:b/>
                <w:bCs/>
                <w:sz w:val="24"/>
                <w:szCs w:val="32"/>
                <w:highlight w:val="none"/>
                <w:lang w:val="en-US" w:eastAsia="zh-CN" w:bidi="ar-SA"/>
              </w:rPr>
              <w:t>4、与《新疆维吾尔自治区大气污染防治条例》的符合性分析</w:t>
            </w:r>
          </w:p>
          <w:p w14:paraId="3AA5CEEB">
            <w:pPr>
              <w:autoSpaceDE w:val="0"/>
              <w:autoSpaceDN w:val="0"/>
              <w:bidi w:val="0"/>
              <w:adjustRightInd w:val="0"/>
              <w:snapToGrid w:val="0"/>
              <w:spacing w:before="0" w:after="0" w:line="360" w:lineRule="auto"/>
              <w:ind w:left="0" w:right="0" w:firstLine="480" w:firstLineChars="200"/>
              <w:rPr>
                <w:rFonts w:ascii="Times New Roman" w:hAnsi="Times New Roman" w:eastAsia="宋体" w:cs="宋体"/>
                <w:kern w:val="0"/>
                <w:sz w:val="24"/>
                <w:szCs w:val="22"/>
                <w:highlight w:val="none"/>
                <w:lang w:val="en-US" w:eastAsia="zh-CN"/>
              </w:rPr>
            </w:pPr>
            <w:r>
              <w:rPr>
                <w:rFonts w:hint="eastAsia" w:ascii="Times New Roman" w:hAnsi="Times New Roman" w:eastAsia="宋体" w:cs="宋体"/>
                <w:kern w:val="0"/>
                <w:sz w:val="24"/>
                <w:szCs w:val="22"/>
                <w:highlight w:val="none"/>
                <w:lang w:val="en-US" w:eastAsia="zh-CN"/>
              </w:rPr>
              <w:t>第四十三条贮存易产生扬尘的煤炭、煤矸石、煤渣、煤灰、水泥、石灰、石膏、砂土等物料的堆场应当密闭；不能密闭的，贮存单位或者个人应当采取下列防尘措施：</w:t>
            </w:r>
          </w:p>
          <w:p w14:paraId="02D77E27">
            <w:pPr>
              <w:autoSpaceDE w:val="0"/>
              <w:autoSpaceDN w:val="0"/>
              <w:bidi w:val="0"/>
              <w:adjustRightInd w:val="0"/>
              <w:snapToGrid w:val="0"/>
              <w:spacing w:before="0" w:after="0" w:line="360" w:lineRule="auto"/>
              <w:ind w:left="0" w:right="0" w:firstLine="480" w:firstLineChars="200"/>
              <w:rPr>
                <w:rFonts w:ascii="Times New Roman" w:hAnsi="Times New Roman" w:eastAsia="宋体" w:cs="宋体"/>
                <w:kern w:val="0"/>
                <w:sz w:val="24"/>
                <w:szCs w:val="22"/>
                <w:highlight w:val="none"/>
                <w:lang w:val="en-US" w:eastAsia="zh-CN"/>
              </w:rPr>
            </w:pPr>
            <w:r>
              <w:rPr>
                <w:rFonts w:hint="eastAsia" w:ascii="Times New Roman" w:hAnsi="Times New Roman" w:eastAsia="宋体" w:cs="宋体"/>
                <w:kern w:val="0"/>
                <w:sz w:val="24"/>
                <w:szCs w:val="22"/>
                <w:highlight w:val="none"/>
                <w:lang w:val="en-US" w:eastAsia="zh-CN"/>
              </w:rPr>
              <w:t>（一）堆场的场坪、路面应当进行硬化处理，并保持路面整洁；</w:t>
            </w:r>
          </w:p>
          <w:p w14:paraId="47B6B900">
            <w:pPr>
              <w:autoSpaceDE w:val="0"/>
              <w:autoSpaceDN w:val="0"/>
              <w:bidi w:val="0"/>
              <w:adjustRightInd w:val="0"/>
              <w:snapToGrid w:val="0"/>
              <w:spacing w:before="0" w:after="0" w:line="360" w:lineRule="auto"/>
              <w:ind w:left="0" w:right="0" w:firstLine="480" w:firstLineChars="200"/>
              <w:rPr>
                <w:rFonts w:ascii="Times New Roman" w:hAnsi="Times New Roman" w:eastAsia="宋体" w:cs="宋体"/>
                <w:kern w:val="0"/>
                <w:sz w:val="24"/>
                <w:szCs w:val="22"/>
                <w:highlight w:val="none"/>
                <w:lang w:val="en-US" w:eastAsia="zh-CN"/>
              </w:rPr>
            </w:pPr>
            <w:r>
              <w:rPr>
                <w:rFonts w:hint="eastAsia" w:ascii="Times New Roman" w:hAnsi="Times New Roman" w:eastAsia="宋体" w:cs="宋体"/>
                <w:kern w:val="0"/>
                <w:sz w:val="24"/>
                <w:szCs w:val="22"/>
                <w:highlight w:val="none"/>
                <w:lang w:val="en-US" w:eastAsia="zh-CN"/>
              </w:rPr>
              <w:t>（二）堆场周边应当配备高于堆存物料的围挡、防风抑尘网等设施；</w:t>
            </w:r>
          </w:p>
          <w:p w14:paraId="35D0979B">
            <w:pPr>
              <w:autoSpaceDE w:val="0"/>
              <w:autoSpaceDN w:val="0"/>
              <w:bidi w:val="0"/>
              <w:adjustRightInd w:val="0"/>
              <w:snapToGrid w:val="0"/>
              <w:spacing w:before="0" w:after="0" w:line="360" w:lineRule="auto"/>
              <w:ind w:left="0" w:right="0" w:firstLine="480" w:firstLineChars="200"/>
              <w:rPr>
                <w:rFonts w:ascii="Times New Roman" w:hAnsi="Times New Roman" w:eastAsia="宋体" w:cs="宋体"/>
                <w:kern w:val="0"/>
                <w:sz w:val="24"/>
                <w:szCs w:val="22"/>
                <w:highlight w:val="none"/>
                <w:lang w:val="en-US" w:eastAsia="zh-CN"/>
              </w:rPr>
            </w:pPr>
            <w:r>
              <w:rPr>
                <w:rFonts w:hint="eastAsia" w:ascii="Times New Roman" w:hAnsi="Times New Roman" w:eastAsia="宋体" w:cs="宋体"/>
                <w:kern w:val="0"/>
                <w:sz w:val="24"/>
                <w:szCs w:val="22"/>
                <w:highlight w:val="none"/>
                <w:lang w:val="en-US" w:eastAsia="zh-CN"/>
              </w:rPr>
              <w:t>（三）按照物料类别采取相应的覆盖、喷淋和围挡等防风抑尘措施。</w:t>
            </w:r>
          </w:p>
          <w:p w14:paraId="3C02DC86">
            <w:pPr>
              <w:autoSpaceDE w:val="0"/>
              <w:autoSpaceDN w:val="0"/>
              <w:bidi w:val="0"/>
              <w:adjustRightInd w:val="0"/>
              <w:snapToGrid w:val="0"/>
              <w:spacing w:before="0" w:after="0" w:line="360" w:lineRule="auto"/>
              <w:ind w:left="0" w:right="0" w:firstLine="480" w:firstLineChars="200"/>
              <w:rPr>
                <w:rFonts w:ascii="Times New Roman" w:hAnsi="Times New Roman" w:eastAsia="宋体" w:cs="宋体"/>
                <w:kern w:val="0"/>
                <w:sz w:val="24"/>
                <w:szCs w:val="22"/>
                <w:highlight w:val="none"/>
                <w:lang w:val="en-US" w:eastAsia="zh-CN"/>
              </w:rPr>
            </w:pPr>
            <w:r>
              <w:rPr>
                <w:rFonts w:hint="eastAsia" w:ascii="Times New Roman" w:hAnsi="Times New Roman" w:eastAsia="宋体" w:cs="宋体"/>
                <w:kern w:val="0"/>
                <w:sz w:val="24"/>
                <w:szCs w:val="22"/>
                <w:highlight w:val="none"/>
                <w:lang w:val="en-US" w:eastAsia="zh-CN"/>
              </w:rPr>
              <w:t>露天装卸物料应当采取密闭或者喷淋等抑尘措施；输送的物料应当在装料、卸料处配备吸尘、喷淋等防尘设施。</w:t>
            </w:r>
          </w:p>
          <w:p w14:paraId="48E998AB">
            <w:pPr>
              <w:autoSpaceDE w:val="0"/>
              <w:autoSpaceDN w:val="0"/>
              <w:bidi w:val="0"/>
              <w:adjustRightInd w:val="0"/>
              <w:snapToGrid w:val="0"/>
              <w:spacing w:before="0" w:after="0" w:line="360" w:lineRule="auto"/>
              <w:ind w:left="0" w:right="0" w:firstLine="480" w:firstLineChars="200"/>
              <w:rPr>
                <w:rFonts w:ascii="Times New Roman" w:hAnsi="Times New Roman" w:eastAsia="宋体" w:cs="Times New Roman"/>
                <w:highlight w:val="none"/>
              </w:rPr>
            </w:pPr>
            <w:r>
              <w:rPr>
                <w:rFonts w:hint="eastAsia" w:ascii="Times New Roman" w:hAnsi="Times New Roman" w:eastAsia="宋体" w:cs="宋体"/>
                <w:kern w:val="0"/>
                <w:sz w:val="24"/>
                <w:szCs w:val="22"/>
                <w:highlight w:val="none"/>
                <w:lang w:val="en-US" w:eastAsia="zh-CN"/>
              </w:rPr>
              <w:t>本项目生产均在封闭厂房内进行，废气经布袋除尘器处理后达到《大气污染物综合排放标准》中表2的二级标准后排放，符合文件中的要求。</w:t>
            </w:r>
          </w:p>
          <w:p w14:paraId="46AFF28B">
            <w:pPr>
              <w:keepNext/>
              <w:keepLines/>
              <w:widowControl w:val="0"/>
              <w:autoSpaceDE w:val="0"/>
              <w:autoSpaceDN w:val="0"/>
              <w:bidi w:val="0"/>
              <w:adjustRightInd w:val="0"/>
              <w:snapToGrid w:val="0"/>
              <w:spacing w:before="0" w:beforeLines="0" w:after="0" w:afterLines="0" w:line="360" w:lineRule="auto"/>
              <w:ind w:left="0" w:right="0" w:firstLine="0" w:firstLineChars="0"/>
              <w:jc w:val="both"/>
              <w:outlineLvl w:val="1"/>
              <w:rPr>
                <w:rFonts w:hint="eastAsia" w:ascii="Times New Roman" w:hAnsi="Times New Roman" w:eastAsia="宋体" w:cs="宋体"/>
                <w:b/>
                <w:bCs/>
                <w:sz w:val="24"/>
                <w:szCs w:val="32"/>
                <w:highlight w:val="none"/>
                <w:lang w:val="en-US" w:eastAsia="zh-CN" w:bidi="ar-SA"/>
              </w:rPr>
            </w:pPr>
            <w:r>
              <w:rPr>
                <w:rFonts w:hint="eastAsia" w:ascii="Times New Roman" w:hAnsi="Times New Roman" w:eastAsia="宋体" w:cs="宋体"/>
                <w:b/>
                <w:bCs/>
                <w:sz w:val="24"/>
                <w:szCs w:val="32"/>
                <w:highlight w:val="none"/>
                <w:lang w:val="en-US" w:eastAsia="zh-CN" w:bidi="ar-SA"/>
              </w:rPr>
              <w:t>5、与关于印发《自治州大气污染防治三年攻坚行动方案（2023－2025年）》的通知符合性分析</w:t>
            </w:r>
          </w:p>
          <w:p w14:paraId="08841AC5">
            <w:pPr>
              <w:autoSpaceDE w:val="0"/>
              <w:autoSpaceDN w:val="0"/>
              <w:bidi w:val="0"/>
              <w:adjustRightInd w:val="0"/>
              <w:snapToGrid w:val="0"/>
              <w:spacing w:before="0" w:after="0" w:line="360" w:lineRule="auto"/>
              <w:ind w:left="0" w:right="0" w:firstLine="480" w:firstLineChars="200"/>
              <w:rPr>
                <w:rFonts w:hint="eastAsia" w:ascii="Times New Roman" w:hAnsi="Times New Roman" w:eastAsia="宋体" w:cs="宋体"/>
                <w:kern w:val="0"/>
                <w:sz w:val="24"/>
                <w:szCs w:val="22"/>
                <w:highlight w:val="none"/>
                <w:lang w:val="en-US" w:eastAsia="zh-CN"/>
              </w:rPr>
            </w:pPr>
            <w:r>
              <w:rPr>
                <w:rFonts w:hint="eastAsia" w:ascii="Times New Roman" w:hAnsi="Times New Roman" w:eastAsia="宋体" w:cs="宋体"/>
                <w:kern w:val="0"/>
                <w:sz w:val="24"/>
                <w:szCs w:val="22"/>
                <w:highlight w:val="none"/>
                <w:lang w:val="en-US" w:eastAsia="zh-CN"/>
              </w:rPr>
              <w:t>强化企业各类堆场扬尘治理，落实企业运输场区湿法作业、物料仓库密闭。大型煤炭、矿石等物料堆场完成围挡、苫盖、自动喷淋等抑尘设施建设和物料输送系统封闭改造。库尔勒市集中整治上库高新技术产业开发区、个体私营经济试验区等区域扬尘污染源。</w:t>
            </w:r>
          </w:p>
          <w:p w14:paraId="46BA83A6">
            <w:pPr>
              <w:autoSpaceDE w:val="0"/>
              <w:autoSpaceDN w:val="0"/>
              <w:bidi w:val="0"/>
              <w:adjustRightInd w:val="0"/>
              <w:snapToGrid w:val="0"/>
              <w:spacing w:before="0" w:after="0" w:line="360" w:lineRule="auto"/>
              <w:ind w:left="0" w:right="0" w:firstLine="480" w:firstLineChars="200"/>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宋体"/>
                <w:kern w:val="0"/>
                <w:sz w:val="24"/>
                <w:szCs w:val="22"/>
                <w:highlight w:val="none"/>
                <w:lang w:val="en-US" w:eastAsia="zh-CN"/>
              </w:rPr>
              <w:t>本项目矿石堆存在堆棚内并使用防尘网进行苫盖，物料输送过程采用皮带输送，皮带进行封闭改造。符合文件中的要求。</w:t>
            </w:r>
          </w:p>
        </w:tc>
      </w:tr>
    </w:tbl>
    <w:p w14:paraId="69652430">
      <w:pPr>
        <w:spacing w:line="360" w:lineRule="auto"/>
        <w:outlineLvl w:val="0"/>
        <w:rPr>
          <w:rFonts w:eastAsia="黑体"/>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576FE171">
      <w:pPr>
        <w:pStyle w:val="19"/>
        <w:jc w:val="center"/>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98"/>
        <w:gridCol w:w="8562"/>
      </w:tblGrid>
      <w:tr w14:paraId="23816F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433" w:type="dxa"/>
            <w:tcBorders>
              <w:tl2br w:val="nil"/>
              <w:tr2bl w:val="nil"/>
            </w:tcBorders>
            <w:noWrap w:val="0"/>
            <w:vAlign w:val="center"/>
          </w:tcPr>
          <w:p w14:paraId="44F688E9">
            <w:pPr>
              <w:pStyle w:val="19"/>
              <w:adjustRightInd w:val="0"/>
              <w:snapToGrid w:val="0"/>
              <w:spacing w:before="0" w:beforeAutospacing="0" w:after="0" w:afterAutospacing="0"/>
              <w:jc w:val="center"/>
              <w:rPr>
                <w:rFonts w:hint="eastAsia" w:cs="宋体"/>
                <w:b/>
                <w:bCs/>
                <w:sz w:val="28"/>
                <w:szCs w:val="28"/>
              </w:rPr>
            </w:pPr>
            <w:r>
              <w:rPr>
                <w:rFonts w:hint="eastAsia" w:cs="宋体"/>
                <w:b/>
                <w:bCs/>
                <w:sz w:val="28"/>
                <w:szCs w:val="28"/>
              </w:rPr>
              <w:t>建设</w:t>
            </w:r>
          </w:p>
          <w:p w14:paraId="05417988">
            <w:pPr>
              <w:pStyle w:val="19"/>
              <w:adjustRightInd w:val="0"/>
              <w:snapToGrid w:val="0"/>
              <w:spacing w:before="0" w:beforeAutospacing="0" w:after="0" w:afterAutospacing="0"/>
              <w:jc w:val="center"/>
              <w:rPr>
                <w:rFonts w:cs="宋体"/>
                <w:sz w:val="21"/>
                <w:szCs w:val="21"/>
              </w:rPr>
            </w:pPr>
            <w:r>
              <w:rPr>
                <w:rFonts w:hint="eastAsia" w:cs="宋体"/>
                <w:b/>
                <w:bCs/>
                <w:sz w:val="28"/>
                <w:szCs w:val="28"/>
              </w:rPr>
              <w:t>内容</w:t>
            </w:r>
          </w:p>
        </w:tc>
        <w:tc>
          <w:tcPr>
            <w:tcW w:w="8627" w:type="dxa"/>
            <w:tcBorders>
              <w:tl2br w:val="nil"/>
              <w:tr2bl w:val="nil"/>
            </w:tcBorders>
            <w:noWrap w:val="0"/>
            <w:vAlign w:val="top"/>
          </w:tcPr>
          <w:p w14:paraId="5B1E6CC6">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1、</w:t>
            </w:r>
            <w:r>
              <w:rPr>
                <w:rFonts w:hint="default" w:ascii="Times New Roman" w:hAnsi="Times New Roman" w:eastAsia="宋体" w:cs="Times New Roman"/>
                <w:b/>
                <w:bCs/>
                <w:color w:val="000000"/>
                <w:sz w:val="24"/>
                <w:szCs w:val="24"/>
                <w:highlight w:val="none"/>
                <w:lang w:val="en-US" w:eastAsia="zh-CN"/>
              </w:rPr>
              <w:t>建设内容及规模</w:t>
            </w:r>
          </w:p>
          <w:p w14:paraId="0A622C19">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（1）项目名称：</w:t>
            </w:r>
            <w:r>
              <w:rPr>
                <w:rFonts w:hint="eastAsia" w:ascii="Times New Roman" w:hAnsi="Times New Roman" w:eastAsia="宋体" w:cs="Times New Roman"/>
                <w:color w:val="000000"/>
                <w:sz w:val="24"/>
                <w:highlight w:val="none"/>
                <w:lang w:val="en-US" w:eastAsia="zh-CN"/>
              </w:rPr>
              <w:t>和静县溪腾新型建材有限公司年产新型环保节能建材生产60万吨建设项目</w:t>
            </w:r>
          </w:p>
          <w:p w14:paraId="34AF189C">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（2）项目性质：新建</w:t>
            </w:r>
          </w:p>
          <w:p w14:paraId="6FC5C873">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（3）占地面积：</w:t>
            </w:r>
            <w:r>
              <w:rPr>
                <w:rFonts w:hint="eastAsia" w:ascii="Times New Roman" w:hAnsi="Times New Roman" w:eastAsia="宋体" w:cs="Times New Roman"/>
                <w:color w:val="000000"/>
                <w:kern w:val="2"/>
                <w:sz w:val="24"/>
                <w:szCs w:val="24"/>
                <w:highlight w:val="none"/>
                <w:lang w:val="en-US" w:eastAsia="zh-CN" w:bidi="ar-SA"/>
              </w:rPr>
              <w:t>总占地面积19741m</w:t>
            </w:r>
            <w:r>
              <w:rPr>
                <w:rFonts w:hint="eastAsia" w:ascii="Times New Roman" w:hAnsi="Times New Roman" w:eastAsia="宋体" w:cs="Times New Roman"/>
                <w:color w:val="000000"/>
                <w:kern w:val="2"/>
                <w:sz w:val="24"/>
                <w:szCs w:val="24"/>
                <w:highlight w:val="none"/>
                <w:vertAlign w:val="superscript"/>
                <w:lang w:val="en-US" w:eastAsia="zh-CN" w:bidi="ar-SA"/>
              </w:rPr>
              <w:t>2</w:t>
            </w:r>
            <w:r>
              <w:rPr>
                <w:rFonts w:hint="eastAsia" w:ascii="Times New Roman" w:hAnsi="Times New Roman" w:eastAsia="宋体" w:cs="Times New Roman"/>
                <w:color w:val="000000"/>
                <w:kern w:val="2"/>
                <w:sz w:val="24"/>
                <w:szCs w:val="24"/>
                <w:highlight w:val="none"/>
                <w:lang w:val="en-US" w:eastAsia="zh-CN" w:bidi="ar-SA"/>
              </w:rPr>
              <w:t>。</w:t>
            </w:r>
          </w:p>
          <w:p w14:paraId="37244F5C">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（4）建设地点：新疆巴州和静工业园区哈尔莫墩矿业片区经五路西侧、纬三路北侧，中心地理坐标为东经86°12′19.506″，北纬42°25′28.631″。</w:t>
            </w:r>
            <w:r>
              <w:rPr>
                <w:rFonts w:hint="eastAsia" w:ascii="Times New Roman" w:hAnsi="Times New Roman" w:eastAsia="宋体" w:cs="Times New Roman"/>
                <w:color w:val="000000"/>
                <w:kern w:val="2"/>
                <w:sz w:val="24"/>
                <w:szCs w:val="24"/>
                <w:highlight w:val="none"/>
                <w:lang w:val="en-US" w:eastAsia="zh-CN" w:bidi="ar-SA"/>
              </w:rPr>
              <w:t>本项目地理位置见附图2-1。</w:t>
            </w:r>
          </w:p>
          <w:p w14:paraId="14B8C8BC">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（5）总投资：</w:t>
            </w:r>
            <w:r>
              <w:rPr>
                <w:rFonts w:hint="eastAsia" w:ascii="Times New Roman" w:hAnsi="Times New Roman" w:eastAsia="宋体" w:cs="Times New Roman"/>
                <w:color w:val="000000"/>
                <w:kern w:val="2"/>
                <w:sz w:val="24"/>
                <w:szCs w:val="24"/>
                <w:highlight w:val="none"/>
                <w:lang w:val="en-US" w:eastAsia="zh-CN" w:bidi="ar-SA"/>
              </w:rPr>
              <w:t>3000</w:t>
            </w:r>
            <w:r>
              <w:rPr>
                <w:rFonts w:hint="default" w:ascii="Times New Roman" w:hAnsi="Times New Roman" w:eastAsia="宋体" w:cs="Times New Roman"/>
                <w:color w:val="000000"/>
                <w:kern w:val="2"/>
                <w:sz w:val="24"/>
                <w:szCs w:val="24"/>
                <w:highlight w:val="none"/>
                <w:lang w:val="en-US" w:eastAsia="zh-CN" w:bidi="ar-SA"/>
              </w:rPr>
              <w:t>万元，其中环保投资</w:t>
            </w:r>
            <w:r>
              <w:rPr>
                <w:rFonts w:hint="eastAsia" w:ascii="Times New Roman" w:hAnsi="Times New Roman" w:eastAsia="宋体" w:cs="Times New Roman"/>
                <w:color w:val="000000"/>
                <w:kern w:val="2"/>
                <w:sz w:val="24"/>
                <w:szCs w:val="24"/>
                <w:highlight w:val="none"/>
                <w:lang w:val="en-US" w:eastAsia="zh-CN" w:bidi="ar-SA"/>
              </w:rPr>
              <w:t>13</w:t>
            </w:r>
            <w:r>
              <w:rPr>
                <w:rFonts w:hint="default" w:ascii="Times New Roman" w:hAnsi="Times New Roman" w:eastAsia="宋体" w:cs="Times New Roman"/>
                <w:color w:val="000000"/>
                <w:kern w:val="2"/>
                <w:sz w:val="24"/>
                <w:szCs w:val="24"/>
                <w:highlight w:val="none"/>
                <w:lang w:val="en-US" w:eastAsia="zh-CN" w:bidi="ar-SA"/>
              </w:rPr>
              <w:t>万元，占总投资的</w:t>
            </w:r>
            <w:r>
              <w:rPr>
                <w:rFonts w:hint="eastAsia" w:ascii="Times New Roman" w:hAnsi="Times New Roman" w:eastAsia="宋体" w:cs="Times New Roman"/>
                <w:color w:val="000000"/>
                <w:kern w:val="2"/>
                <w:sz w:val="24"/>
                <w:szCs w:val="24"/>
                <w:highlight w:val="none"/>
                <w:lang w:val="en-US" w:eastAsia="zh-CN" w:bidi="ar-SA"/>
              </w:rPr>
              <w:t>0.43</w:t>
            </w:r>
            <w:r>
              <w:rPr>
                <w:rFonts w:hint="default" w:ascii="Times New Roman" w:hAnsi="Times New Roman" w:eastAsia="宋体" w:cs="Times New Roman"/>
                <w:color w:val="000000"/>
                <w:kern w:val="2"/>
                <w:sz w:val="24"/>
                <w:szCs w:val="24"/>
                <w:highlight w:val="none"/>
                <w:lang w:val="en-US" w:eastAsia="zh-CN" w:bidi="ar-SA"/>
              </w:rPr>
              <w:t>%。</w:t>
            </w:r>
          </w:p>
          <w:p w14:paraId="69A96299">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（6）周围环境概况：</w:t>
            </w:r>
            <w:r>
              <w:rPr>
                <w:rFonts w:hint="eastAsia" w:ascii="Times New Roman" w:hAnsi="Times New Roman" w:eastAsia="宋体" w:cs="Times New Roman"/>
                <w:color w:val="000000"/>
                <w:kern w:val="2"/>
                <w:sz w:val="24"/>
                <w:szCs w:val="24"/>
                <w:highlight w:val="none"/>
                <w:lang w:val="en-US" w:eastAsia="zh-CN" w:bidi="ar-SA"/>
              </w:rPr>
              <w:t>项目区南侧为纬三路，西侧为空地，项目区东侧为经五路，项目区北侧为巴州佳鑫之泰钙</w:t>
            </w:r>
            <w:r>
              <w:rPr>
                <w:rFonts w:hint="eastAsia"/>
                <w:lang w:val="en-US" w:eastAsia="zh-CN"/>
              </w:rPr>
              <w:t>业</w:t>
            </w:r>
            <w:r>
              <w:rPr>
                <w:rFonts w:hint="eastAsia" w:ascii="Times New Roman" w:hAnsi="Times New Roman" w:eastAsia="宋体" w:cs="Times New Roman"/>
                <w:color w:val="000000"/>
                <w:kern w:val="2"/>
                <w:sz w:val="24"/>
                <w:szCs w:val="24"/>
                <w:highlight w:val="none"/>
                <w:lang w:val="en-US" w:eastAsia="zh-CN" w:bidi="ar-SA"/>
              </w:rPr>
              <w:t>有限公司</w:t>
            </w:r>
            <w:r>
              <w:rPr>
                <w:rFonts w:hint="default" w:ascii="Times New Roman" w:hAnsi="Times New Roman" w:eastAsia="宋体" w:cs="Times New Roman"/>
                <w:color w:val="000000"/>
                <w:kern w:val="2"/>
                <w:sz w:val="24"/>
                <w:szCs w:val="24"/>
                <w:highlight w:val="none"/>
                <w:lang w:val="en-US" w:eastAsia="zh-CN" w:bidi="ar-SA"/>
              </w:rPr>
              <w:t>。</w:t>
            </w:r>
            <w:r>
              <w:rPr>
                <w:rFonts w:hint="eastAsia" w:ascii="Times New Roman" w:hAnsi="Times New Roman" w:eastAsia="宋体" w:cs="Times New Roman"/>
                <w:color w:val="000000"/>
                <w:kern w:val="2"/>
                <w:sz w:val="24"/>
                <w:szCs w:val="24"/>
                <w:highlight w:val="none"/>
                <w:lang w:val="en-US" w:eastAsia="zh-CN" w:bidi="ar-SA"/>
              </w:rPr>
              <w:t>周边环境见附图2-2。</w:t>
            </w:r>
          </w:p>
          <w:p w14:paraId="7244AFE7">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（7）建设内容及规模：</w:t>
            </w:r>
          </w:p>
          <w:p w14:paraId="29428FBD">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color w:val="000000"/>
                <w:sz w:val="24"/>
                <w:highlight w:val="none"/>
                <w:vertAlign w:val="baseline"/>
                <w:lang w:val="en-US" w:eastAsia="zh-CN"/>
              </w:rPr>
            </w:pPr>
            <w:r>
              <w:rPr>
                <w:rFonts w:hint="eastAsia" w:ascii="Times New Roman" w:hAnsi="Times New Roman" w:eastAsia="宋体" w:cs="Times New Roman"/>
                <w:color w:val="000000"/>
                <w:sz w:val="24"/>
                <w:highlight w:val="none"/>
                <w:lang w:val="en-US" w:eastAsia="zh-CN"/>
              </w:rPr>
              <w:t>本项目占地面积19741m</w:t>
            </w:r>
            <w:r>
              <w:rPr>
                <w:rFonts w:hint="eastAsia" w:ascii="Times New Roman" w:hAnsi="Times New Roman" w:eastAsia="宋体" w:cs="Times New Roman"/>
                <w:color w:val="000000"/>
                <w:sz w:val="24"/>
                <w:highlight w:val="none"/>
                <w:vertAlign w:val="superscript"/>
                <w:lang w:val="en-US" w:eastAsia="zh-CN"/>
              </w:rPr>
              <w:t>2</w:t>
            </w:r>
            <w:r>
              <w:rPr>
                <w:rFonts w:hint="eastAsia" w:ascii="Times New Roman" w:hAnsi="Times New Roman" w:eastAsia="宋体" w:cs="Times New Roman"/>
                <w:color w:val="000000"/>
                <w:sz w:val="24"/>
                <w:highlight w:val="none"/>
                <w:lang w:val="en-US" w:eastAsia="zh-CN"/>
              </w:rPr>
              <w:t>，总建筑面积10444.8m</w:t>
            </w:r>
            <w:r>
              <w:rPr>
                <w:rFonts w:hint="eastAsia" w:ascii="Times New Roman" w:hAnsi="Times New Roman" w:eastAsia="宋体" w:cs="Times New Roman"/>
                <w:color w:val="000000"/>
                <w:sz w:val="24"/>
                <w:highlight w:val="none"/>
                <w:vertAlign w:val="superscript"/>
                <w:lang w:val="en-US" w:eastAsia="zh-CN"/>
              </w:rPr>
              <w:t>2</w:t>
            </w:r>
            <w:r>
              <w:rPr>
                <w:rFonts w:hint="eastAsia" w:ascii="Times New Roman" w:hAnsi="Times New Roman" w:eastAsia="宋体" w:cs="Times New Roman"/>
                <w:color w:val="000000"/>
                <w:sz w:val="24"/>
                <w:highlight w:val="none"/>
                <w:vertAlign w:val="baseline"/>
                <w:lang w:val="en-US" w:eastAsia="zh-CN"/>
              </w:rPr>
              <w:t>，建设内容为1#厂房、2#厂房、原料堆棚、办公楼、门卫室等内容。建设石灰石磨粉生产线1条、石灰石破碎生产线1条、腻子粉生产线1条，设计年产石灰石粉59万吨、腻子粉1万吨。</w:t>
            </w:r>
          </w:p>
          <w:p w14:paraId="3AB6D29D">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2"/>
                <w:sz w:val="24"/>
                <w:szCs w:val="24"/>
                <w:highlight w:val="none"/>
                <w:lang w:val="en-US" w:eastAsia="zh-CN" w:bidi="ar-SA"/>
              </w:rPr>
              <w:t>项目组成情况见表2-1</w:t>
            </w:r>
            <w:r>
              <w:rPr>
                <w:rFonts w:hint="default" w:ascii="Times New Roman" w:hAnsi="Times New Roman" w:eastAsia="宋体" w:cs="Times New Roman"/>
                <w:color w:val="000000"/>
                <w:sz w:val="24"/>
                <w:szCs w:val="24"/>
                <w:highlight w:val="none"/>
              </w:rPr>
              <w:t>。</w:t>
            </w:r>
          </w:p>
          <w:p w14:paraId="25B27DFF">
            <w:pPr>
              <w:adjustRightInd w:val="0"/>
              <w:snapToGrid w:val="0"/>
              <w:jc w:val="center"/>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表</w:t>
            </w:r>
            <w:r>
              <w:rPr>
                <w:rFonts w:hint="default" w:ascii="Times New Roman" w:hAnsi="Times New Roman" w:eastAsia="宋体" w:cs="Times New Roman"/>
                <w:b/>
                <w:bCs/>
                <w:color w:val="000000"/>
                <w:sz w:val="21"/>
                <w:szCs w:val="21"/>
                <w:highlight w:val="none"/>
                <w:lang w:val="en-US" w:eastAsia="zh-CN"/>
              </w:rPr>
              <w:t>2-</w:t>
            </w:r>
            <w:r>
              <w:rPr>
                <w:rFonts w:hint="default" w:ascii="Times New Roman" w:hAnsi="Times New Roman" w:eastAsia="宋体" w:cs="Times New Roman"/>
                <w:b/>
                <w:bCs/>
                <w:color w:val="000000"/>
                <w:sz w:val="21"/>
                <w:szCs w:val="21"/>
                <w:highlight w:val="none"/>
              </w:rPr>
              <w:t xml:space="preserve">1 </w:t>
            </w:r>
            <w:r>
              <w:rPr>
                <w:rFonts w:hint="default" w:ascii="Times New Roman" w:hAnsi="Times New Roman" w:eastAsia="宋体" w:cs="Times New Roman"/>
                <w:b/>
                <w:bCs/>
                <w:color w:val="000000"/>
                <w:sz w:val="21"/>
                <w:szCs w:val="21"/>
                <w:highlight w:val="none"/>
                <w:lang w:val="en-US" w:eastAsia="zh-CN"/>
              </w:rPr>
              <w:t>项目</w:t>
            </w:r>
            <w:r>
              <w:rPr>
                <w:rFonts w:hint="default" w:ascii="Times New Roman" w:hAnsi="Times New Roman" w:eastAsia="宋体" w:cs="Times New Roman"/>
                <w:b/>
                <w:bCs/>
                <w:color w:val="000000"/>
                <w:sz w:val="21"/>
                <w:szCs w:val="21"/>
                <w:highlight w:val="none"/>
              </w:rPr>
              <w:t>工程组成</w:t>
            </w:r>
            <w:r>
              <w:rPr>
                <w:rFonts w:hint="default" w:ascii="Times New Roman" w:hAnsi="Times New Roman" w:eastAsia="宋体" w:cs="Times New Roman"/>
                <w:b/>
                <w:bCs/>
                <w:color w:val="000000"/>
                <w:sz w:val="21"/>
                <w:szCs w:val="21"/>
                <w:highlight w:val="none"/>
                <w:lang w:val="en-US" w:eastAsia="zh-CN"/>
              </w:rPr>
              <w:t>内容一览</w:t>
            </w:r>
            <w:r>
              <w:rPr>
                <w:rFonts w:hint="default" w:ascii="Times New Roman" w:hAnsi="Times New Roman" w:eastAsia="宋体" w:cs="Times New Roman"/>
                <w:b/>
                <w:bCs/>
                <w:color w:val="000000"/>
                <w:sz w:val="21"/>
                <w:szCs w:val="21"/>
                <w:highlight w:val="none"/>
              </w:rPr>
              <w:t>表</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880"/>
              <w:gridCol w:w="6962"/>
            </w:tblGrid>
            <w:tr w14:paraId="4BB43C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0" w:hRule="atLeast"/>
              </w:trPr>
              <w:tc>
                <w:tcPr>
                  <w:tcW w:w="302" w:type="pct"/>
                  <w:tcBorders>
                    <w:tl2br w:val="nil"/>
                    <w:tr2bl w:val="nil"/>
                  </w:tcBorders>
                  <w:noWrap w:val="0"/>
                  <w:vAlign w:val="center"/>
                </w:tcPr>
                <w:p w14:paraId="5A84E8D9">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b/>
                      <w:bCs w:val="0"/>
                      <w:color w:val="000000"/>
                      <w:kern w:val="0"/>
                      <w:sz w:val="21"/>
                      <w:szCs w:val="21"/>
                      <w:highlight w:val="none"/>
                      <w:lang w:val="zh-CN" w:eastAsia="zh-CN" w:bidi="ar-SA"/>
                    </w:rPr>
                  </w:pPr>
                  <w:r>
                    <w:rPr>
                      <w:rFonts w:ascii="Times New Roman" w:hAnsi="Times New Roman" w:eastAsia="宋体" w:cs="Times New Roman"/>
                      <w:b/>
                      <w:bCs w:val="0"/>
                      <w:color w:val="000000"/>
                      <w:kern w:val="0"/>
                      <w:sz w:val="21"/>
                      <w:szCs w:val="21"/>
                      <w:highlight w:val="none"/>
                      <w:lang w:val="zh-CN" w:eastAsia="zh-CN" w:bidi="ar-SA"/>
                    </w:rPr>
                    <w:t>类别</w:t>
                  </w:r>
                </w:p>
              </w:tc>
              <w:tc>
                <w:tcPr>
                  <w:tcW w:w="4697" w:type="pct"/>
                  <w:gridSpan w:val="2"/>
                  <w:tcBorders>
                    <w:tl2br w:val="nil"/>
                    <w:tr2bl w:val="nil"/>
                  </w:tcBorders>
                  <w:noWrap w:val="0"/>
                  <w:vAlign w:val="center"/>
                </w:tcPr>
                <w:p w14:paraId="3052BC29">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
                      <w:bCs w:val="0"/>
                      <w:color w:val="000000"/>
                      <w:kern w:val="0"/>
                      <w:sz w:val="21"/>
                      <w:szCs w:val="21"/>
                      <w:highlight w:val="none"/>
                      <w:lang w:val="en-US" w:eastAsia="zh-CN" w:bidi="ar-SA"/>
                    </w:rPr>
                  </w:pPr>
                  <w:r>
                    <w:rPr>
                      <w:rFonts w:ascii="Times New Roman" w:hAnsi="Times New Roman" w:eastAsia="宋体" w:cs="Times New Roman"/>
                      <w:b/>
                      <w:bCs w:val="0"/>
                      <w:color w:val="000000"/>
                      <w:kern w:val="0"/>
                      <w:sz w:val="21"/>
                      <w:szCs w:val="21"/>
                      <w:highlight w:val="none"/>
                      <w:lang w:val="en-US" w:eastAsia="zh-CN" w:bidi="ar-SA"/>
                    </w:rPr>
                    <w:t>建设内容</w:t>
                  </w:r>
                </w:p>
              </w:tc>
            </w:tr>
            <w:tr w14:paraId="632DC0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tcBorders>
                    <w:tl2br w:val="nil"/>
                    <w:tr2bl w:val="nil"/>
                  </w:tcBorders>
                  <w:noWrap w:val="0"/>
                  <w:vAlign w:val="center"/>
                </w:tcPr>
                <w:p w14:paraId="0021D42B">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bCs/>
                      <w:color w:val="000000"/>
                      <w:kern w:val="0"/>
                      <w:sz w:val="21"/>
                      <w:szCs w:val="21"/>
                      <w:highlight w:val="none"/>
                      <w:lang w:val="zh-CN" w:eastAsia="zh-CN" w:bidi="ar-SA"/>
                    </w:rPr>
                  </w:pPr>
                  <w:r>
                    <w:rPr>
                      <w:rFonts w:ascii="Times New Roman" w:hAnsi="Times New Roman" w:eastAsia="宋体" w:cs="Times New Roman"/>
                      <w:bCs/>
                      <w:color w:val="000000"/>
                      <w:kern w:val="0"/>
                      <w:sz w:val="21"/>
                      <w:szCs w:val="21"/>
                      <w:highlight w:val="none"/>
                      <w:lang w:val="zh-CN" w:eastAsia="zh-CN" w:bidi="ar-SA"/>
                    </w:rPr>
                    <w:t>主体工程</w:t>
                  </w:r>
                </w:p>
              </w:tc>
              <w:tc>
                <w:tcPr>
                  <w:tcW w:w="527" w:type="pct"/>
                  <w:tcBorders>
                    <w:tl2br w:val="nil"/>
                    <w:tr2bl w:val="nil"/>
                  </w:tcBorders>
                  <w:noWrap w:val="0"/>
                  <w:vAlign w:val="center"/>
                </w:tcPr>
                <w:p w14:paraId="21DE1006">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kern w:val="0"/>
                      <w:sz w:val="21"/>
                      <w:szCs w:val="21"/>
                      <w:highlight w:val="none"/>
                      <w:lang w:val="en-US" w:eastAsia="zh-CN" w:bidi="ar-SA"/>
                    </w:rPr>
                  </w:pPr>
                  <w:r>
                    <w:rPr>
                      <w:rFonts w:hint="eastAsia" w:ascii="Times New Roman" w:hAnsi="Times New Roman" w:eastAsia="宋体" w:cs="Times New Roman"/>
                      <w:bCs/>
                      <w:color w:val="000000"/>
                      <w:kern w:val="0"/>
                      <w:sz w:val="21"/>
                      <w:szCs w:val="21"/>
                      <w:highlight w:val="none"/>
                      <w:lang w:val="en-US" w:eastAsia="zh-CN" w:bidi="ar-SA"/>
                    </w:rPr>
                    <w:t>1#厂房</w:t>
                  </w:r>
                </w:p>
              </w:tc>
              <w:tc>
                <w:tcPr>
                  <w:tcW w:w="4170" w:type="pct"/>
                  <w:tcBorders>
                    <w:tl2br w:val="nil"/>
                    <w:tr2bl w:val="nil"/>
                  </w:tcBorders>
                  <w:noWrap w:val="0"/>
                  <w:vAlign w:val="center"/>
                </w:tcPr>
                <w:p w14:paraId="116803B1">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kern w:val="0"/>
                      <w:sz w:val="21"/>
                      <w:szCs w:val="21"/>
                      <w:highlight w:val="none"/>
                      <w:lang w:val="en-US" w:eastAsia="zh-CN" w:bidi="ar-SA"/>
                    </w:rPr>
                  </w:pPr>
                  <w:r>
                    <w:rPr>
                      <w:rFonts w:hint="eastAsia" w:ascii="Times New Roman" w:hAnsi="Times New Roman" w:eastAsia="宋体" w:cs="Times New Roman"/>
                      <w:bCs/>
                      <w:color w:val="000000"/>
                      <w:kern w:val="0"/>
                      <w:sz w:val="21"/>
                      <w:szCs w:val="21"/>
                      <w:highlight w:val="none"/>
                      <w:lang w:val="en-US" w:eastAsia="zh-CN" w:bidi="ar-SA"/>
                    </w:rPr>
                    <w:t>拟建1#厂房，建筑面积3616.2m</w:t>
                  </w:r>
                  <w:r>
                    <w:rPr>
                      <w:rFonts w:hint="eastAsia" w:ascii="Times New Roman" w:hAnsi="Times New Roman" w:eastAsia="宋体" w:cs="Times New Roman"/>
                      <w:bCs/>
                      <w:color w:val="000000"/>
                      <w:kern w:val="0"/>
                      <w:sz w:val="21"/>
                      <w:szCs w:val="21"/>
                      <w:highlight w:val="none"/>
                      <w:vertAlign w:val="superscript"/>
                      <w:lang w:val="en-US" w:eastAsia="zh-CN" w:bidi="ar-SA"/>
                    </w:rPr>
                    <w:t>2</w:t>
                  </w:r>
                  <w:r>
                    <w:rPr>
                      <w:rFonts w:hint="eastAsia" w:ascii="Times New Roman" w:hAnsi="Times New Roman" w:eastAsia="宋体" w:cs="Times New Roman"/>
                      <w:bCs/>
                      <w:color w:val="000000"/>
                      <w:kern w:val="0"/>
                      <w:sz w:val="21"/>
                      <w:szCs w:val="21"/>
                      <w:highlight w:val="none"/>
                      <w:lang w:val="en-US" w:eastAsia="zh-CN" w:bidi="ar-SA"/>
                    </w:rPr>
                    <w:t>，1F，钢结构，H=8.87m，内部设置石灰石磨粉生产线1条、石灰石破碎生产线1条、腻子粉生产线1条</w:t>
                  </w:r>
                </w:p>
              </w:tc>
            </w:tr>
            <w:tr w14:paraId="1829DA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restart"/>
                  <w:tcBorders>
                    <w:tl2br w:val="nil"/>
                    <w:tr2bl w:val="nil"/>
                  </w:tcBorders>
                  <w:noWrap w:val="0"/>
                  <w:vAlign w:val="center"/>
                </w:tcPr>
                <w:p w14:paraId="1E8D4C6F">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kern w:val="0"/>
                      <w:sz w:val="21"/>
                      <w:szCs w:val="21"/>
                      <w:highlight w:val="none"/>
                      <w:lang w:val="en-US" w:eastAsia="zh-CN" w:bidi="ar-SA"/>
                    </w:rPr>
                  </w:pPr>
                  <w:r>
                    <w:rPr>
                      <w:rFonts w:hint="eastAsia" w:ascii="Times New Roman" w:hAnsi="Times New Roman" w:eastAsia="宋体" w:cs="Times New Roman"/>
                      <w:bCs/>
                      <w:color w:val="000000"/>
                      <w:kern w:val="0"/>
                      <w:sz w:val="21"/>
                      <w:szCs w:val="21"/>
                      <w:highlight w:val="none"/>
                      <w:lang w:val="en-US" w:eastAsia="zh-CN" w:bidi="ar-SA"/>
                    </w:rPr>
                    <w:t>储运工程</w:t>
                  </w:r>
                </w:p>
              </w:tc>
              <w:tc>
                <w:tcPr>
                  <w:tcW w:w="527" w:type="pct"/>
                  <w:tcBorders>
                    <w:tl2br w:val="nil"/>
                    <w:tr2bl w:val="nil"/>
                  </w:tcBorders>
                  <w:noWrap w:val="0"/>
                  <w:vAlign w:val="center"/>
                </w:tcPr>
                <w:p w14:paraId="426C133A">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kern w:val="0"/>
                      <w:sz w:val="21"/>
                      <w:szCs w:val="21"/>
                      <w:highlight w:val="none"/>
                      <w:lang w:val="en-US" w:eastAsia="zh-CN" w:bidi="ar-SA"/>
                    </w:rPr>
                  </w:pPr>
                  <w:r>
                    <w:rPr>
                      <w:rFonts w:hint="eastAsia" w:ascii="Times New Roman" w:hAnsi="Times New Roman" w:eastAsia="宋体" w:cs="Times New Roman"/>
                      <w:bCs/>
                      <w:color w:val="000000"/>
                      <w:kern w:val="0"/>
                      <w:sz w:val="21"/>
                      <w:szCs w:val="21"/>
                      <w:highlight w:val="none"/>
                      <w:lang w:val="en-US" w:eastAsia="zh-CN" w:bidi="ar-SA"/>
                    </w:rPr>
                    <w:t>2#厂房</w:t>
                  </w:r>
                </w:p>
              </w:tc>
              <w:tc>
                <w:tcPr>
                  <w:tcW w:w="4170" w:type="pct"/>
                  <w:tcBorders>
                    <w:tl2br w:val="nil"/>
                    <w:tr2bl w:val="nil"/>
                  </w:tcBorders>
                  <w:noWrap w:val="0"/>
                  <w:vAlign w:val="center"/>
                </w:tcPr>
                <w:p w14:paraId="1E439B02">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宋体" w:cs="Times New Roman"/>
                      <w:color w:val="000000"/>
                      <w:kern w:val="0"/>
                      <w:sz w:val="21"/>
                      <w:szCs w:val="21"/>
                      <w:highlight w:val="none"/>
                      <w:lang w:val="en-US" w:eastAsia="zh-CN"/>
                    </w:rPr>
                  </w:pPr>
                  <w:r>
                    <w:rPr>
                      <w:rFonts w:hint="eastAsia" w:ascii="Times New Roman" w:hAnsi="Times New Roman" w:eastAsia="宋体" w:cs="Times New Roman"/>
                      <w:color w:val="000000"/>
                      <w:kern w:val="0"/>
                      <w:sz w:val="21"/>
                      <w:szCs w:val="21"/>
                      <w:highlight w:val="none"/>
                      <w:lang w:val="en-US" w:eastAsia="zh-CN"/>
                    </w:rPr>
                    <w:t>拟建2#厂房，建筑面积3616.2m</w:t>
                  </w:r>
                  <w:r>
                    <w:rPr>
                      <w:rFonts w:hint="eastAsia" w:ascii="Times New Roman" w:hAnsi="Times New Roman" w:eastAsia="宋体" w:cs="Times New Roman"/>
                      <w:color w:val="000000"/>
                      <w:kern w:val="0"/>
                      <w:sz w:val="21"/>
                      <w:szCs w:val="21"/>
                      <w:highlight w:val="none"/>
                      <w:vertAlign w:val="superscript"/>
                      <w:lang w:val="en-US" w:eastAsia="zh-CN"/>
                    </w:rPr>
                    <w:t>2</w:t>
                  </w:r>
                  <w:r>
                    <w:rPr>
                      <w:rFonts w:hint="eastAsia" w:ascii="Times New Roman" w:hAnsi="Times New Roman" w:eastAsia="宋体" w:cs="Times New Roman"/>
                      <w:color w:val="000000"/>
                      <w:kern w:val="0"/>
                      <w:sz w:val="21"/>
                      <w:szCs w:val="21"/>
                      <w:highlight w:val="none"/>
                      <w:lang w:val="en-US" w:eastAsia="zh-CN"/>
                    </w:rPr>
                    <w:t>，1F，钢结构，H=8.87m，主要用于贮存成品</w:t>
                  </w:r>
                </w:p>
              </w:tc>
            </w:tr>
            <w:tr w14:paraId="5B1623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continue"/>
                  <w:tcBorders>
                    <w:tl2br w:val="nil"/>
                    <w:tr2bl w:val="nil"/>
                  </w:tcBorders>
                  <w:noWrap w:val="0"/>
                  <w:vAlign w:val="center"/>
                </w:tcPr>
                <w:p w14:paraId="50CE7004">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bCs/>
                      <w:color w:val="000000"/>
                      <w:kern w:val="0"/>
                      <w:sz w:val="21"/>
                      <w:szCs w:val="21"/>
                      <w:highlight w:val="none"/>
                      <w:lang w:val="zh-CN" w:eastAsia="zh-CN" w:bidi="ar-SA"/>
                    </w:rPr>
                  </w:pPr>
                </w:p>
              </w:tc>
              <w:tc>
                <w:tcPr>
                  <w:tcW w:w="527" w:type="pct"/>
                  <w:tcBorders>
                    <w:tl2br w:val="nil"/>
                    <w:tr2bl w:val="nil"/>
                  </w:tcBorders>
                  <w:noWrap w:val="0"/>
                  <w:vAlign w:val="center"/>
                </w:tcPr>
                <w:p w14:paraId="23EE2D39">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kern w:val="0"/>
                      <w:sz w:val="21"/>
                      <w:szCs w:val="21"/>
                      <w:highlight w:val="none"/>
                      <w:lang w:val="en-US" w:eastAsia="zh-CN" w:bidi="ar-SA"/>
                    </w:rPr>
                  </w:pPr>
                  <w:r>
                    <w:rPr>
                      <w:rFonts w:hint="eastAsia" w:ascii="Times New Roman" w:hAnsi="Times New Roman" w:eastAsia="宋体" w:cs="Times New Roman"/>
                      <w:bCs/>
                      <w:color w:val="000000"/>
                      <w:kern w:val="0"/>
                      <w:sz w:val="21"/>
                      <w:szCs w:val="21"/>
                      <w:highlight w:val="none"/>
                      <w:lang w:val="en-US" w:eastAsia="zh-CN" w:bidi="ar-SA"/>
                    </w:rPr>
                    <w:t>原料堆棚</w:t>
                  </w:r>
                </w:p>
              </w:tc>
              <w:tc>
                <w:tcPr>
                  <w:tcW w:w="4170" w:type="pct"/>
                  <w:tcBorders>
                    <w:tl2br w:val="nil"/>
                    <w:tr2bl w:val="nil"/>
                  </w:tcBorders>
                  <w:noWrap w:val="0"/>
                  <w:vAlign w:val="center"/>
                </w:tcPr>
                <w:p w14:paraId="4B291C65">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宋体" w:cs="Times New Roman"/>
                      <w:color w:val="000000"/>
                      <w:kern w:val="0"/>
                      <w:sz w:val="21"/>
                      <w:szCs w:val="21"/>
                      <w:highlight w:val="none"/>
                      <w:lang w:val="en-US" w:eastAsia="zh-CN"/>
                    </w:rPr>
                  </w:pPr>
                  <w:r>
                    <w:rPr>
                      <w:rFonts w:hint="eastAsia" w:ascii="Times New Roman" w:hAnsi="Times New Roman" w:eastAsia="宋体" w:cs="Times New Roman"/>
                      <w:color w:val="000000"/>
                      <w:kern w:val="0"/>
                      <w:sz w:val="21"/>
                      <w:szCs w:val="21"/>
                      <w:highlight w:val="none"/>
                      <w:lang w:val="en-US" w:eastAsia="zh-CN"/>
                    </w:rPr>
                    <w:t>拟建原料堆棚1座，建筑面积1328.4m</w:t>
                  </w:r>
                  <w:r>
                    <w:rPr>
                      <w:rFonts w:hint="eastAsia" w:ascii="Times New Roman" w:hAnsi="Times New Roman" w:eastAsia="宋体" w:cs="Times New Roman"/>
                      <w:color w:val="000000"/>
                      <w:kern w:val="0"/>
                      <w:sz w:val="21"/>
                      <w:szCs w:val="21"/>
                      <w:highlight w:val="none"/>
                      <w:vertAlign w:val="superscript"/>
                      <w:lang w:val="en-US" w:eastAsia="zh-CN"/>
                    </w:rPr>
                    <w:t>2</w:t>
                  </w:r>
                  <w:r>
                    <w:rPr>
                      <w:rFonts w:hint="eastAsia" w:ascii="Times New Roman" w:hAnsi="Times New Roman" w:eastAsia="宋体" w:cs="Times New Roman"/>
                      <w:color w:val="000000"/>
                      <w:kern w:val="0"/>
                      <w:sz w:val="21"/>
                      <w:szCs w:val="21"/>
                      <w:highlight w:val="none"/>
                      <w:lang w:val="en-US" w:eastAsia="zh-CN"/>
                    </w:rPr>
                    <w:t>，</w:t>
                  </w:r>
                  <w:r>
                    <w:rPr>
                      <w:rFonts w:hint="eastAsia" w:cs="Times New Roman"/>
                      <w:color w:val="000000"/>
                      <w:kern w:val="0"/>
                      <w:sz w:val="21"/>
                      <w:szCs w:val="21"/>
                      <w:highlight w:val="none"/>
                      <w:lang w:val="en-US" w:eastAsia="zh-CN"/>
                    </w:rPr>
                    <w:t>原料堆棚东侧紧邻1#厂房，南北两个进行围挡并顶部加盖，</w:t>
                  </w:r>
                  <w:r>
                    <w:rPr>
                      <w:rFonts w:hint="eastAsia" w:ascii="Times New Roman" w:hAnsi="Times New Roman" w:eastAsia="宋体" w:cs="Times New Roman"/>
                      <w:color w:val="000000"/>
                      <w:kern w:val="0"/>
                      <w:sz w:val="21"/>
                      <w:szCs w:val="21"/>
                      <w:highlight w:val="none"/>
                      <w:lang w:val="en-US" w:eastAsia="zh-CN"/>
                    </w:rPr>
                    <w:t>主要用于贮存原料石灰石</w:t>
                  </w:r>
                </w:p>
              </w:tc>
            </w:tr>
            <w:tr w14:paraId="5EC6F7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restart"/>
                  <w:tcBorders>
                    <w:tl2br w:val="nil"/>
                    <w:tr2bl w:val="nil"/>
                  </w:tcBorders>
                  <w:noWrap w:val="0"/>
                  <w:vAlign w:val="center"/>
                </w:tcPr>
                <w:p w14:paraId="28A490D3">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kern w:val="0"/>
                      <w:sz w:val="21"/>
                      <w:szCs w:val="21"/>
                      <w:highlight w:val="none"/>
                      <w:lang w:val="en-US" w:eastAsia="zh-CN" w:bidi="ar-SA"/>
                    </w:rPr>
                  </w:pPr>
                  <w:r>
                    <w:rPr>
                      <w:rFonts w:hint="eastAsia" w:ascii="Times New Roman" w:hAnsi="Times New Roman" w:eastAsia="宋体" w:cs="Times New Roman"/>
                      <w:bCs/>
                      <w:color w:val="000000"/>
                      <w:kern w:val="0"/>
                      <w:sz w:val="21"/>
                      <w:szCs w:val="21"/>
                      <w:highlight w:val="none"/>
                      <w:lang w:val="en-US" w:eastAsia="zh-CN" w:bidi="ar-SA"/>
                    </w:rPr>
                    <w:t>辅助工程</w:t>
                  </w:r>
                </w:p>
              </w:tc>
              <w:tc>
                <w:tcPr>
                  <w:tcW w:w="527" w:type="pct"/>
                  <w:tcBorders>
                    <w:tl2br w:val="nil"/>
                    <w:tr2bl w:val="nil"/>
                  </w:tcBorders>
                  <w:noWrap w:val="0"/>
                  <w:vAlign w:val="center"/>
                </w:tcPr>
                <w:p w14:paraId="19E9839D">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000000"/>
                      <w:kern w:val="0"/>
                      <w:sz w:val="21"/>
                      <w:szCs w:val="21"/>
                      <w:highlight w:val="none"/>
                      <w:lang w:val="en-US" w:eastAsia="zh-CN" w:bidi="ar-SA"/>
                    </w:rPr>
                  </w:pPr>
                  <w:r>
                    <w:rPr>
                      <w:rFonts w:hint="eastAsia" w:ascii="Times New Roman" w:hAnsi="Times New Roman" w:eastAsia="宋体" w:cs="Times New Roman"/>
                      <w:bCs/>
                      <w:color w:val="000000"/>
                      <w:kern w:val="0"/>
                      <w:sz w:val="21"/>
                      <w:szCs w:val="21"/>
                      <w:highlight w:val="none"/>
                      <w:lang w:val="en-US" w:eastAsia="zh-CN" w:bidi="ar-SA"/>
                    </w:rPr>
                    <w:t>办公楼</w:t>
                  </w:r>
                </w:p>
              </w:tc>
              <w:tc>
                <w:tcPr>
                  <w:tcW w:w="4170" w:type="pct"/>
                  <w:tcBorders>
                    <w:tl2br w:val="nil"/>
                    <w:tr2bl w:val="nil"/>
                  </w:tcBorders>
                  <w:noWrap w:val="0"/>
                  <w:vAlign w:val="center"/>
                </w:tcPr>
                <w:p w14:paraId="3C53E9A2">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宋体" w:cs="Times New Roman"/>
                      <w:color w:val="000000"/>
                      <w:kern w:val="0"/>
                      <w:sz w:val="21"/>
                      <w:szCs w:val="21"/>
                      <w:highlight w:val="none"/>
                      <w:lang w:val="en-US" w:eastAsia="zh-CN"/>
                    </w:rPr>
                  </w:pPr>
                  <w:r>
                    <w:rPr>
                      <w:rFonts w:hint="eastAsia" w:ascii="Times New Roman" w:hAnsi="Times New Roman" w:eastAsia="宋体" w:cs="Times New Roman"/>
                      <w:color w:val="000000"/>
                      <w:kern w:val="0"/>
                      <w:sz w:val="21"/>
                      <w:szCs w:val="21"/>
                      <w:highlight w:val="none"/>
                      <w:lang w:val="en-US" w:eastAsia="zh-CN"/>
                    </w:rPr>
                    <w:t>拟建办公楼1栋，建筑面积1037.44m</w:t>
                  </w:r>
                  <w:r>
                    <w:rPr>
                      <w:rFonts w:hint="eastAsia" w:ascii="Times New Roman" w:hAnsi="Times New Roman" w:eastAsia="宋体" w:cs="Times New Roman"/>
                      <w:color w:val="000000"/>
                      <w:kern w:val="0"/>
                      <w:sz w:val="21"/>
                      <w:szCs w:val="21"/>
                      <w:highlight w:val="none"/>
                      <w:vertAlign w:val="superscript"/>
                      <w:lang w:val="en-US" w:eastAsia="zh-CN"/>
                    </w:rPr>
                    <w:t>2</w:t>
                  </w:r>
                  <w:r>
                    <w:rPr>
                      <w:rFonts w:hint="eastAsia" w:ascii="Times New Roman" w:hAnsi="Times New Roman" w:eastAsia="宋体" w:cs="Times New Roman"/>
                      <w:color w:val="000000"/>
                      <w:kern w:val="0"/>
                      <w:sz w:val="21"/>
                      <w:szCs w:val="21"/>
                      <w:highlight w:val="none"/>
                      <w:lang w:val="en-US" w:eastAsia="zh-CN"/>
                    </w:rPr>
                    <w:t>，2F，砖混结构，H=9.2m，内部设置办公区、生活区，生活区设置食堂</w:t>
                  </w:r>
                </w:p>
              </w:tc>
            </w:tr>
            <w:tr w14:paraId="035B86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continue"/>
                  <w:tcBorders>
                    <w:tl2br w:val="nil"/>
                    <w:tr2bl w:val="nil"/>
                  </w:tcBorders>
                  <w:noWrap w:val="0"/>
                  <w:vAlign w:val="center"/>
                </w:tcPr>
                <w:p w14:paraId="30DD2EE1">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000000"/>
                      <w:kern w:val="0"/>
                      <w:sz w:val="21"/>
                      <w:szCs w:val="21"/>
                      <w:highlight w:val="none"/>
                      <w:lang w:val="en-US" w:eastAsia="zh-CN" w:bidi="ar-SA"/>
                    </w:rPr>
                  </w:pPr>
                </w:p>
              </w:tc>
              <w:tc>
                <w:tcPr>
                  <w:tcW w:w="527" w:type="pct"/>
                  <w:tcBorders>
                    <w:tl2br w:val="nil"/>
                    <w:tr2bl w:val="nil"/>
                  </w:tcBorders>
                  <w:noWrap w:val="0"/>
                  <w:vAlign w:val="center"/>
                </w:tcPr>
                <w:p w14:paraId="7122F84D">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kern w:val="0"/>
                      <w:sz w:val="21"/>
                      <w:szCs w:val="21"/>
                      <w:highlight w:val="none"/>
                      <w:lang w:val="en-US" w:eastAsia="zh-CN" w:bidi="ar-SA"/>
                    </w:rPr>
                  </w:pPr>
                  <w:r>
                    <w:rPr>
                      <w:rFonts w:hint="eastAsia" w:ascii="Times New Roman" w:hAnsi="Times New Roman" w:eastAsia="宋体" w:cs="Times New Roman"/>
                      <w:bCs/>
                      <w:color w:val="000000"/>
                      <w:kern w:val="0"/>
                      <w:sz w:val="21"/>
                      <w:szCs w:val="21"/>
                      <w:highlight w:val="none"/>
                      <w:lang w:val="en-US" w:eastAsia="zh-CN" w:bidi="ar-SA"/>
                    </w:rPr>
                    <w:t>门卫</w:t>
                  </w:r>
                </w:p>
              </w:tc>
              <w:tc>
                <w:tcPr>
                  <w:tcW w:w="4170" w:type="pct"/>
                  <w:tcBorders>
                    <w:tl2br w:val="nil"/>
                    <w:tr2bl w:val="nil"/>
                  </w:tcBorders>
                  <w:noWrap w:val="0"/>
                  <w:vAlign w:val="center"/>
                </w:tcPr>
                <w:p w14:paraId="73A719A0">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kern w:val="0"/>
                      <w:sz w:val="21"/>
                      <w:szCs w:val="21"/>
                      <w:highlight w:val="none"/>
                      <w:lang w:val="en-US" w:eastAsia="zh-CN"/>
                    </w:rPr>
                    <w:t>拟建门卫室1栋，建筑面积39.22m</w:t>
                  </w:r>
                  <w:r>
                    <w:rPr>
                      <w:rFonts w:hint="eastAsia" w:ascii="Times New Roman" w:hAnsi="Times New Roman" w:eastAsia="宋体" w:cs="Times New Roman"/>
                      <w:color w:val="000000"/>
                      <w:kern w:val="0"/>
                      <w:sz w:val="21"/>
                      <w:szCs w:val="21"/>
                      <w:highlight w:val="none"/>
                      <w:vertAlign w:val="superscript"/>
                      <w:lang w:val="en-US" w:eastAsia="zh-CN"/>
                    </w:rPr>
                    <w:t>2</w:t>
                  </w:r>
                  <w:r>
                    <w:rPr>
                      <w:rFonts w:hint="eastAsia" w:ascii="Times New Roman" w:hAnsi="Times New Roman" w:eastAsia="宋体" w:cs="Times New Roman"/>
                      <w:color w:val="000000"/>
                      <w:kern w:val="0"/>
                      <w:sz w:val="21"/>
                      <w:szCs w:val="21"/>
                      <w:highlight w:val="none"/>
                      <w:lang w:val="en-US" w:eastAsia="zh-CN"/>
                    </w:rPr>
                    <w:t>，1F</w:t>
                  </w:r>
                </w:p>
              </w:tc>
            </w:tr>
            <w:tr w14:paraId="1B3DD3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restart"/>
                  <w:tcBorders>
                    <w:tl2br w:val="nil"/>
                    <w:tr2bl w:val="nil"/>
                  </w:tcBorders>
                  <w:noWrap w:val="0"/>
                  <w:vAlign w:val="center"/>
                </w:tcPr>
                <w:p w14:paraId="0ABA7EE0">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bCs/>
                      <w:color w:val="000000"/>
                      <w:kern w:val="0"/>
                      <w:sz w:val="21"/>
                      <w:szCs w:val="21"/>
                      <w:highlight w:val="none"/>
                      <w:lang w:val="zh-CN" w:eastAsia="zh-CN" w:bidi="ar-SA"/>
                    </w:rPr>
                  </w:pPr>
                  <w:r>
                    <w:rPr>
                      <w:rFonts w:ascii="Times New Roman" w:hAnsi="Times New Roman" w:eastAsia="宋体" w:cs="Times New Roman"/>
                      <w:bCs/>
                      <w:color w:val="000000"/>
                      <w:kern w:val="0"/>
                      <w:sz w:val="21"/>
                      <w:szCs w:val="21"/>
                      <w:highlight w:val="none"/>
                      <w:lang w:val="zh-CN" w:eastAsia="zh-CN" w:bidi="ar-SA"/>
                    </w:rPr>
                    <w:t>公用工程</w:t>
                  </w:r>
                </w:p>
              </w:tc>
              <w:tc>
                <w:tcPr>
                  <w:tcW w:w="527" w:type="pct"/>
                  <w:tcBorders>
                    <w:tl2br w:val="nil"/>
                    <w:tr2bl w:val="nil"/>
                  </w:tcBorders>
                  <w:noWrap w:val="0"/>
                  <w:vAlign w:val="center"/>
                </w:tcPr>
                <w:p w14:paraId="0629BEE6">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kern w:val="0"/>
                      <w:sz w:val="21"/>
                      <w:szCs w:val="21"/>
                      <w:highlight w:val="none"/>
                      <w:lang w:val="en-US" w:eastAsia="zh-CN" w:bidi="ar-SA"/>
                    </w:rPr>
                  </w:pPr>
                  <w:r>
                    <w:rPr>
                      <w:rFonts w:hint="eastAsia" w:ascii="Times New Roman" w:hAnsi="Times New Roman" w:eastAsia="宋体" w:cs="Times New Roman"/>
                      <w:bCs/>
                      <w:color w:val="000000"/>
                      <w:kern w:val="0"/>
                      <w:sz w:val="21"/>
                      <w:szCs w:val="21"/>
                      <w:highlight w:val="none"/>
                      <w:lang w:val="en-US" w:eastAsia="zh-CN" w:bidi="ar-SA"/>
                    </w:rPr>
                    <w:t>供水</w:t>
                  </w:r>
                </w:p>
              </w:tc>
              <w:tc>
                <w:tcPr>
                  <w:tcW w:w="4170" w:type="pct"/>
                  <w:tcBorders>
                    <w:tl2br w:val="nil"/>
                    <w:tr2bl w:val="nil"/>
                  </w:tcBorders>
                  <w:noWrap w:val="0"/>
                  <w:vAlign w:val="center"/>
                </w:tcPr>
                <w:p w14:paraId="0E0ABDB1">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kern w:val="0"/>
                      <w:sz w:val="21"/>
                      <w:szCs w:val="21"/>
                      <w:highlight w:val="none"/>
                      <w:lang w:val="en-US" w:eastAsia="zh-CN" w:bidi="ar-SA"/>
                    </w:rPr>
                  </w:pPr>
                  <w:r>
                    <w:rPr>
                      <w:rFonts w:hint="eastAsia" w:ascii="Times New Roman" w:hAnsi="Times New Roman" w:eastAsia="宋体" w:cs="Times New Roman"/>
                      <w:bCs/>
                      <w:color w:val="000000"/>
                      <w:kern w:val="0"/>
                      <w:sz w:val="21"/>
                      <w:szCs w:val="21"/>
                      <w:highlight w:val="none"/>
                      <w:lang w:val="en-US" w:eastAsia="zh-CN" w:bidi="ar-SA"/>
                    </w:rPr>
                    <w:t>由园区供水管网提供</w:t>
                  </w:r>
                </w:p>
              </w:tc>
            </w:tr>
            <w:tr w14:paraId="213112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continue"/>
                  <w:tcBorders>
                    <w:tl2br w:val="nil"/>
                    <w:tr2bl w:val="nil"/>
                  </w:tcBorders>
                  <w:noWrap w:val="0"/>
                  <w:vAlign w:val="center"/>
                </w:tcPr>
                <w:p w14:paraId="38671FA5">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bCs/>
                      <w:color w:val="000000"/>
                      <w:kern w:val="0"/>
                      <w:sz w:val="21"/>
                      <w:szCs w:val="21"/>
                      <w:highlight w:val="none"/>
                      <w:lang w:val="zh-CN" w:eastAsia="zh-CN" w:bidi="ar-SA"/>
                    </w:rPr>
                  </w:pPr>
                </w:p>
              </w:tc>
              <w:tc>
                <w:tcPr>
                  <w:tcW w:w="527" w:type="pct"/>
                  <w:tcBorders>
                    <w:tl2br w:val="nil"/>
                    <w:tr2bl w:val="nil"/>
                  </w:tcBorders>
                  <w:noWrap w:val="0"/>
                  <w:vAlign w:val="center"/>
                </w:tcPr>
                <w:p w14:paraId="747CB1E7">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kern w:val="0"/>
                      <w:sz w:val="21"/>
                      <w:szCs w:val="21"/>
                      <w:highlight w:val="none"/>
                      <w:lang w:val="en-US" w:eastAsia="zh-CN" w:bidi="ar-SA"/>
                    </w:rPr>
                  </w:pPr>
                  <w:r>
                    <w:rPr>
                      <w:rFonts w:hint="eastAsia" w:ascii="Times New Roman" w:hAnsi="Times New Roman" w:eastAsia="宋体" w:cs="Times New Roman"/>
                      <w:bCs/>
                      <w:color w:val="000000"/>
                      <w:kern w:val="0"/>
                      <w:sz w:val="21"/>
                      <w:szCs w:val="21"/>
                      <w:highlight w:val="none"/>
                      <w:lang w:val="en-US" w:eastAsia="zh-CN" w:bidi="ar-SA"/>
                    </w:rPr>
                    <w:t>排水</w:t>
                  </w:r>
                </w:p>
              </w:tc>
              <w:tc>
                <w:tcPr>
                  <w:tcW w:w="4170" w:type="pct"/>
                  <w:tcBorders>
                    <w:tl2br w:val="nil"/>
                    <w:tr2bl w:val="nil"/>
                  </w:tcBorders>
                  <w:noWrap w:val="0"/>
                  <w:vAlign w:val="center"/>
                </w:tcPr>
                <w:p w14:paraId="0B248938">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000000"/>
                      <w:kern w:val="0"/>
                      <w:sz w:val="21"/>
                      <w:szCs w:val="21"/>
                      <w:highlight w:val="none"/>
                      <w:lang w:val="en-US" w:eastAsia="zh-CN" w:bidi="ar-SA"/>
                    </w:rPr>
                  </w:pPr>
                  <w:r>
                    <w:rPr>
                      <w:rFonts w:hint="eastAsia" w:ascii="Times New Roman" w:hAnsi="Times New Roman" w:eastAsia="宋体" w:cs="Times New Roman"/>
                      <w:bCs/>
                      <w:color w:val="000000"/>
                      <w:kern w:val="0"/>
                      <w:sz w:val="21"/>
                      <w:szCs w:val="21"/>
                      <w:highlight w:val="none"/>
                      <w:lang w:val="en-US" w:eastAsia="zh-CN" w:bidi="ar-SA"/>
                    </w:rPr>
                    <w:t>生活污水排入园区下水管网，最终进入和静县污水处理厂进行处理</w:t>
                  </w:r>
                </w:p>
              </w:tc>
            </w:tr>
            <w:tr w14:paraId="26AD07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continue"/>
                  <w:tcBorders>
                    <w:tl2br w:val="nil"/>
                    <w:tr2bl w:val="nil"/>
                  </w:tcBorders>
                  <w:noWrap w:val="0"/>
                  <w:vAlign w:val="center"/>
                </w:tcPr>
                <w:p w14:paraId="2C140AD9">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bCs/>
                      <w:color w:val="000000"/>
                      <w:kern w:val="0"/>
                      <w:sz w:val="21"/>
                      <w:szCs w:val="21"/>
                      <w:highlight w:val="none"/>
                      <w:lang w:val="zh-CN" w:eastAsia="zh-CN" w:bidi="ar-SA"/>
                    </w:rPr>
                  </w:pPr>
                </w:p>
              </w:tc>
              <w:tc>
                <w:tcPr>
                  <w:tcW w:w="527" w:type="pct"/>
                  <w:tcBorders>
                    <w:tl2br w:val="nil"/>
                    <w:tr2bl w:val="nil"/>
                  </w:tcBorders>
                  <w:noWrap w:val="0"/>
                  <w:vAlign w:val="center"/>
                </w:tcPr>
                <w:p w14:paraId="140569D5">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kern w:val="0"/>
                      <w:sz w:val="21"/>
                      <w:szCs w:val="21"/>
                      <w:highlight w:val="none"/>
                      <w:lang w:val="en-US" w:eastAsia="zh-CN" w:bidi="ar-SA"/>
                    </w:rPr>
                  </w:pPr>
                  <w:r>
                    <w:rPr>
                      <w:rFonts w:hint="eastAsia" w:ascii="Times New Roman" w:hAnsi="Times New Roman" w:eastAsia="宋体" w:cs="Times New Roman"/>
                      <w:bCs/>
                      <w:color w:val="000000"/>
                      <w:kern w:val="0"/>
                      <w:sz w:val="21"/>
                      <w:szCs w:val="21"/>
                      <w:highlight w:val="none"/>
                      <w:lang w:val="en-US" w:eastAsia="zh-CN" w:bidi="ar-SA"/>
                    </w:rPr>
                    <w:t>供热</w:t>
                  </w:r>
                </w:p>
              </w:tc>
              <w:tc>
                <w:tcPr>
                  <w:tcW w:w="4170" w:type="pct"/>
                  <w:tcBorders>
                    <w:tl2br w:val="nil"/>
                    <w:tr2bl w:val="nil"/>
                  </w:tcBorders>
                  <w:noWrap w:val="0"/>
                  <w:vAlign w:val="center"/>
                </w:tcPr>
                <w:p w14:paraId="27664A2E">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宋体" w:cs="Times New Roman"/>
                      <w:color w:val="000000"/>
                      <w:kern w:val="0"/>
                      <w:sz w:val="21"/>
                      <w:szCs w:val="21"/>
                      <w:highlight w:val="none"/>
                      <w:lang w:val="en-US" w:eastAsia="zh-CN"/>
                    </w:rPr>
                  </w:pPr>
                  <w:r>
                    <w:rPr>
                      <w:rFonts w:hint="eastAsia" w:ascii="Times New Roman" w:hAnsi="Times New Roman" w:eastAsia="宋体" w:cs="Times New Roman"/>
                      <w:color w:val="000000"/>
                      <w:kern w:val="0"/>
                      <w:sz w:val="21"/>
                      <w:szCs w:val="21"/>
                      <w:highlight w:val="none"/>
                      <w:lang w:val="en-US" w:eastAsia="zh-CN"/>
                    </w:rPr>
                    <w:t>冬季采用电采暖</w:t>
                  </w:r>
                </w:p>
              </w:tc>
            </w:tr>
            <w:tr w14:paraId="62F3D7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continue"/>
                  <w:tcBorders>
                    <w:tl2br w:val="nil"/>
                    <w:tr2bl w:val="nil"/>
                  </w:tcBorders>
                  <w:noWrap w:val="0"/>
                  <w:vAlign w:val="center"/>
                </w:tcPr>
                <w:p w14:paraId="21391EFF">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bCs/>
                      <w:color w:val="000000"/>
                      <w:kern w:val="0"/>
                      <w:sz w:val="21"/>
                      <w:szCs w:val="21"/>
                      <w:highlight w:val="none"/>
                      <w:lang w:val="zh-CN" w:eastAsia="zh-CN" w:bidi="ar-SA"/>
                    </w:rPr>
                  </w:pPr>
                </w:p>
              </w:tc>
              <w:tc>
                <w:tcPr>
                  <w:tcW w:w="527" w:type="pct"/>
                  <w:tcBorders>
                    <w:tl2br w:val="nil"/>
                    <w:tr2bl w:val="nil"/>
                  </w:tcBorders>
                  <w:noWrap w:val="0"/>
                  <w:vAlign w:val="center"/>
                </w:tcPr>
                <w:p w14:paraId="002AD1B6">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kern w:val="0"/>
                      <w:sz w:val="21"/>
                      <w:szCs w:val="21"/>
                      <w:highlight w:val="none"/>
                      <w:lang w:val="en-US" w:eastAsia="zh-CN" w:bidi="ar-SA"/>
                    </w:rPr>
                  </w:pPr>
                  <w:r>
                    <w:rPr>
                      <w:rFonts w:hint="eastAsia" w:ascii="Times New Roman" w:hAnsi="Times New Roman" w:eastAsia="宋体" w:cs="Times New Roman"/>
                      <w:bCs/>
                      <w:color w:val="000000"/>
                      <w:kern w:val="0"/>
                      <w:sz w:val="21"/>
                      <w:szCs w:val="21"/>
                      <w:highlight w:val="none"/>
                      <w:lang w:val="en-US" w:eastAsia="zh-CN" w:bidi="ar-SA"/>
                    </w:rPr>
                    <w:t>供电</w:t>
                  </w:r>
                </w:p>
              </w:tc>
              <w:tc>
                <w:tcPr>
                  <w:tcW w:w="4170" w:type="pct"/>
                  <w:tcBorders>
                    <w:tl2br w:val="nil"/>
                    <w:tr2bl w:val="nil"/>
                  </w:tcBorders>
                  <w:noWrap w:val="0"/>
                  <w:vAlign w:val="center"/>
                </w:tcPr>
                <w:p w14:paraId="3499D0F5">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宋体" w:cs="Times New Roman"/>
                      <w:color w:val="000000"/>
                      <w:kern w:val="0"/>
                      <w:sz w:val="21"/>
                      <w:szCs w:val="21"/>
                      <w:highlight w:val="none"/>
                      <w:lang w:val="en-US" w:eastAsia="zh-CN"/>
                    </w:rPr>
                  </w:pPr>
                  <w:r>
                    <w:rPr>
                      <w:rFonts w:hint="eastAsia" w:ascii="Times New Roman" w:hAnsi="Times New Roman" w:eastAsia="宋体" w:cs="Times New Roman"/>
                      <w:color w:val="000000"/>
                      <w:kern w:val="0"/>
                      <w:sz w:val="21"/>
                      <w:szCs w:val="21"/>
                      <w:highlight w:val="none"/>
                      <w:lang w:val="en-US" w:eastAsia="zh-CN"/>
                    </w:rPr>
                    <w:t>由国家电网提供</w:t>
                  </w:r>
                </w:p>
              </w:tc>
            </w:tr>
            <w:tr w14:paraId="6C720C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restart"/>
                  <w:tcBorders>
                    <w:tl2br w:val="nil"/>
                    <w:tr2bl w:val="nil"/>
                  </w:tcBorders>
                  <w:noWrap w:val="0"/>
                  <w:vAlign w:val="center"/>
                </w:tcPr>
                <w:p w14:paraId="3F9C3606">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bCs/>
                      <w:color w:val="000000"/>
                      <w:kern w:val="0"/>
                      <w:sz w:val="21"/>
                      <w:szCs w:val="21"/>
                      <w:highlight w:val="none"/>
                      <w:lang w:val="en-US" w:eastAsia="zh-CN" w:bidi="ar-SA"/>
                    </w:rPr>
                  </w:pPr>
                  <w:r>
                    <w:rPr>
                      <w:rFonts w:ascii="Times New Roman" w:hAnsi="Times New Roman" w:eastAsia="宋体" w:cs="Times New Roman"/>
                      <w:bCs/>
                      <w:color w:val="000000"/>
                      <w:kern w:val="0"/>
                      <w:sz w:val="21"/>
                      <w:szCs w:val="21"/>
                      <w:highlight w:val="none"/>
                      <w:lang w:val="zh-CN" w:eastAsia="zh-CN" w:bidi="ar-SA"/>
                    </w:rPr>
                    <w:t>环保工程</w:t>
                  </w:r>
                </w:p>
              </w:tc>
              <w:tc>
                <w:tcPr>
                  <w:tcW w:w="527" w:type="pct"/>
                  <w:tcBorders>
                    <w:tl2br w:val="nil"/>
                    <w:tr2bl w:val="nil"/>
                  </w:tcBorders>
                  <w:noWrap w:val="0"/>
                  <w:vAlign w:val="center"/>
                </w:tcPr>
                <w:p w14:paraId="6D6F17CD">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bCs/>
                      <w:color w:val="000000"/>
                      <w:kern w:val="0"/>
                      <w:sz w:val="21"/>
                      <w:szCs w:val="21"/>
                      <w:highlight w:val="none"/>
                      <w:lang w:val="en-US" w:eastAsia="zh-CN" w:bidi="ar-SA"/>
                    </w:rPr>
                  </w:pPr>
                  <w:r>
                    <w:rPr>
                      <w:rFonts w:ascii="Times New Roman" w:hAnsi="Times New Roman" w:eastAsia="宋体" w:cs="Times New Roman"/>
                      <w:bCs/>
                      <w:color w:val="000000"/>
                      <w:kern w:val="0"/>
                      <w:sz w:val="21"/>
                      <w:szCs w:val="21"/>
                      <w:highlight w:val="none"/>
                      <w:lang w:val="en-US" w:eastAsia="zh-CN" w:bidi="ar-SA"/>
                    </w:rPr>
                    <w:t>废气</w:t>
                  </w:r>
                </w:p>
              </w:tc>
              <w:tc>
                <w:tcPr>
                  <w:tcW w:w="4170" w:type="pct"/>
                  <w:tcBorders>
                    <w:tl2br w:val="nil"/>
                    <w:tr2bl w:val="nil"/>
                  </w:tcBorders>
                  <w:noWrap w:val="0"/>
                  <w:vAlign w:val="center"/>
                </w:tcPr>
                <w:p w14:paraId="76707AC8">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left"/>
                    <w:textAlignment w:val="center"/>
                    <w:rPr>
                      <w:rFonts w:hint="eastAsia" w:ascii="Times New Roman" w:hAnsi="Times New Roman" w:eastAsia="宋体" w:cs="Times New Roman"/>
                      <w:b w:val="0"/>
                      <w:bCs/>
                      <w:color w:val="000000"/>
                      <w:kern w:val="0"/>
                      <w:sz w:val="21"/>
                      <w:szCs w:val="21"/>
                      <w:highlight w:val="none"/>
                      <w:lang w:val="en-US" w:eastAsia="zh-CN" w:bidi="ar-SA"/>
                    </w:rPr>
                  </w:pPr>
                  <w:r>
                    <w:rPr>
                      <w:rFonts w:hint="eastAsia" w:ascii="Times New Roman" w:hAnsi="Times New Roman" w:eastAsia="宋体" w:cs="Times New Roman"/>
                      <w:b w:val="0"/>
                      <w:bCs/>
                      <w:color w:val="000000"/>
                      <w:kern w:val="0"/>
                      <w:sz w:val="21"/>
                      <w:szCs w:val="21"/>
                      <w:highlight w:val="none"/>
                      <w:lang w:val="en-US" w:eastAsia="zh-CN" w:bidi="ar-SA"/>
                    </w:rPr>
                    <w:t>①原料贮存：半封闭堆场并使用防尘网苫盖</w:t>
                  </w:r>
                </w:p>
                <w:p w14:paraId="51A51C80">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left"/>
                    <w:textAlignment w:val="center"/>
                    <w:rPr>
                      <w:rFonts w:hint="eastAsia" w:ascii="Times New Roman" w:hAnsi="Times New Roman" w:eastAsia="宋体" w:cs="Times New Roman"/>
                      <w:b w:val="0"/>
                      <w:bCs/>
                      <w:color w:val="000000"/>
                      <w:kern w:val="0"/>
                      <w:sz w:val="21"/>
                      <w:szCs w:val="21"/>
                      <w:highlight w:val="none"/>
                      <w:lang w:val="en-US" w:eastAsia="zh-CN" w:bidi="ar-SA"/>
                    </w:rPr>
                  </w:pPr>
                  <w:r>
                    <w:rPr>
                      <w:rFonts w:hint="eastAsia" w:ascii="Times New Roman" w:hAnsi="Times New Roman" w:eastAsia="宋体" w:cs="Times New Roman"/>
                      <w:b w:val="0"/>
                      <w:bCs/>
                      <w:color w:val="000000"/>
                      <w:kern w:val="0"/>
                      <w:sz w:val="21"/>
                      <w:szCs w:val="21"/>
                      <w:highlight w:val="none"/>
                      <w:lang w:val="en-US" w:eastAsia="zh-CN" w:bidi="ar-SA"/>
                    </w:rPr>
                    <w:t>②上料粉尘：上料口三面围挡</w:t>
                  </w:r>
                </w:p>
                <w:p w14:paraId="22093880">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left"/>
                    <w:textAlignment w:val="center"/>
                    <w:rPr>
                      <w:rFonts w:hint="eastAsia" w:ascii="Times New Roman" w:hAnsi="Times New Roman" w:eastAsia="宋体" w:cs="Times New Roman"/>
                      <w:b w:val="0"/>
                      <w:bCs/>
                      <w:color w:val="000000"/>
                      <w:kern w:val="0"/>
                      <w:sz w:val="21"/>
                      <w:szCs w:val="21"/>
                      <w:highlight w:val="none"/>
                      <w:lang w:val="en-US" w:eastAsia="zh-CN" w:bidi="ar-SA"/>
                    </w:rPr>
                  </w:pPr>
                  <w:r>
                    <w:rPr>
                      <w:rFonts w:hint="eastAsia" w:ascii="Times New Roman" w:hAnsi="Times New Roman" w:eastAsia="宋体" w:cs="Times New Roman"/>
                      <w:b w:val="0"/>
                      <w:bCs/>
                      <w:color w:val="000000"/>
                      <w:kern w:val="0"/>
                      <w:sz w:val="21"/>
                      <w:szCs w:val="21"/>
                      <w:highlight w:val="none"/>
                      <w:lang w:val="en-US" w:eastAsia="zh-CN" w:bidi="ar-SA"/>
                    </w:rPr>
                    <w:t>③</w:t>
                  </w:r>
                  <w:r>
                    <w:rPr>
                      <w:rFonts w:hint="eastAsia" w:cs="Times New Roman"/>
                      <w:b w:val="0"/>
                      <w:bCs/>
                      <w:color w:val="000000"/>
                      <w:kern w:val="0"/>
                      <w:sz w:val="21"/>
                      <w:szCs w:val="21"/>
                      <w:highlight w:val="none"/>
                      <w:lang w:val="en-US" w:eastAsia="zh-CN" w:bidi="ar-SA"/>
                    </w:rPr>
                    <w:t>颚式破碎</w:t>
                  </w:r>
                  <w:r>
                    <w:rPr>
                      <w:rFonts w:hint="eastAsia" w:ascii="Times New Roman" w:hAnsi="Times New Roman" w:eastAsia="宋体" w:cs="Times New Roman"/>
                      <w:b w:val="0"/>
                      <w:bCs/>
                      <w:color w:val="000000"/>
                      <w:kern w:val="0"/>
                      <w:sz w:val="21"/>
                      <w:szCs w:val="21"/>
                      <w:highlight w:val="none"/>
                      <w:lang w:val="en-US" w:eastAsia="zh-CN" w:bidi="ar-SA"/>
                    </w:rPr>
                    <w:t>粉尘：生产过程均在封闭厂房内，鄂式破碎机设置集气罩进行收集废气，收集后的废气进入布袋除尘器进行处理，处理后的废气通过15m排气筒（DA001）排放。</w:t>
                  </w:r>
                </w:p>
                <w:p w14:paraId="6E7EF998">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left"/>
                    <w:textAlignment w:val="center"/>
                    <w:rPr>
                      <w:rFonts w:hint="eastAsia" w:ascii="Times New Roman" w:hAnsi="Times New Roman" w:eastAsia="宋体" w:cs="Times New Roman"/>
                      <w:b w:val="0"/>
                      <w:bCs/>
                      <w:color w:val="000000"/>
                      <w:kern w:val="0"/>
                      <w:sz w:val="21"/>
                      <w:szCs w:val="21"/>
                      <w:highlight w:val="none"/>
                      <w:lang w:val="en-US" w:eastAsia="zh-CN" w:bidi="ar-SA"/>
                    </w:rPr>
                  </w:pPr>
                  <w:r>
                    <w:rPr>
                      <w:rFonts w:hint="eastAsia" w:ascii="Times New Roman" w:hAnsi="Times New Roman" w:eastAsia="宋体" w:cs="Times New Roman"/>
                      <w:b w:val="0"/>
                      <w:bCs/>
                      <w:color w:val="000000"/>
                      <w:kern w:val="0"/>
                      <w:sz w:val="21"/>
                      <w:szCs w:val="21"/>
                      <w:highlight w:val="none"/>
                      <w:lang w:val="en-US" w:eastAsia="zh-CN" w:bidi="ar-SA"/>
                    </w:rPr>
                    <w:t>④雷蒙磨废气：生产过程均在封闭厂房内进行，物料通过气力输送至包装机内，设备通过管道连接，富余风进入布袋除尘器进行处理，处理后的废气通过15m排气筒（DA002）排放。</w:t>
                  </w:r>
                </w:p>
                <w:p w14:paraId="7C455A7E">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left"/>
                    <w:textAlignment w:val="center"/>
                    <w:rPr>
                      <w:rFonts w:hint="eastAsia" w:ascii="Times New Roman" w:hAnsi="Times New Roman" w:eastAsia="宋体" w:cs="Times New Roman"/>
                      <w:b w:val="0"/>
                      <w:bCs/>
                      <w:color w:val="000000"/>
                      <w:kern w:val="0"/>
                      <w:sz w:val="21"/>
                      <w:szCs w:val="21"/>
                      <w:highlight w:val="none"/>
                      <w:lang w:val="en-US" w:eastAsia="zh-CN" w:bidi="ar-SA"/>
                    </w:rPr>
                  </w:pPr>
                  <w:r>
                    <w:rPr>
                      <w:rFonts w:hint="eastAsia" w:ascii="Times New Roman" w:hAnsi="Times New Roman" w:eastAsia="宋体" w:cs="Times New Roman"/>
                      <w:b w:val="0"/>
                      <w:bCs/>
                      <w:color w:val="000000"/>
                      <w:kern w:val="0"/>
                      <w:sz w:val="21"/>
                      <w:szCs w:val="21"/>
                      <w:highlight w:val="none"/>
                      <w:lang w:val="en-US" w:eastAsia="zh-CN" w:bidi="ar-SA"/>
                    </w:rPr>
                    <w:t>⑤腻子粉粉尘：生产过程均在封闭厂房内进行，废气通过集气罩（管道）收集至布袋除尘器进行处理，处理后的废气通过15m排气筒（DA003）排放。</w:t>
                  </w:r>
                </w:p>
                <w:p w14:paraId="64012EE0">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宋体" w:cs="Times New Roman"/>
                      <w:b w:val="0"/>
                      <w:bCs/>
                      <w:color w:val="000000"/>
                      <w:kern w:val="0"/>
                      <w:sz w:val="21"/>
                      <w:szCs w:val="21"/>
                      <w:highlight w:val="none"/>
                      <w:lang w:val="en-US" w:eastAsia="zh-CN" w:bidi="ar-SA"/>
                    </w:rPr>
                  </w:pPr>
                  <w:r>
                    <w:rPr>
                      <w:rFonts w:hint="eastAsia" w:ascii="Times New Roman" w:hAnsi="Times New Roman" w:eastAsia="宋体" w:cs="Times New Roman"/>
                      <w:b w:val="0"/>
                      <w:bCs/>
                      <w:color w:val="000000"/>
                      <w:kern w:val="0"/>
                      <w:sz w:val="21"/>
                      <w:szCs w:val="21"/>
                      <w:highlight w:val="none"/>
                      <w:lang w:val="en-US" w:eastAsia="zh-CN" w:bidi="ar-SA"/>
                    </w:rPr>
                    <w:t>⑥包装废气：包装过程在封闭厂房内进行。</w:t>
                  </w:r>
                </w:p>
              </w:tc>
            </w:tr>
            <w:tr w14:paraId="3BE1C1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continue"/>
                  <w:tcBorders>
                    <w:tl2br w:val="nil"/>
                    <w:tr2bl w:val="nil"/>
                  </w:tcBorders>
                  <w:noWrap w:val="0"/>
                  <w:vAlign w:val="center"/>
                </w:tcPr>
                <w:p w14:paraId="4F76061E">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bCs/>
                      <w:color w:val="000000"/>
                      <w:kern w:val="0"/>
                      <w:sz w:val="21"/>
                      <w:szCs w:val="21"/>
                      <w:highlight w:val="none"/>
                      <w:lang w:val="en-US" w:eastAsia="zh-CN" w:bidi="ar-SA"/>
                    </w:rPr>
                  </w:pPr>
                </w:p>
              </w:tc>
              <w:tc>
                <w:tcPr>
                  <w:tcW w:w="527" w:type="pct"/>
                  <w:tcBorders>
                    <w:tl2br w:val="nil"/>
                    <w:tr2bl w:val="nil"/>
                  </w:tcBorders>
                  <w:noWrap w:val="0"/>
                  <w:vAlign w:val="center"/>
                </w:tcPr>
                <w:p w14:paraId="60414A8D">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bCs/>
                      <w:color w:val="000000"/>
                      <w:kern w:val="0"/>
                      <w:sz w:val="21"/>
                      <w:szCs w:val="21"/>
                      <w:highlight w:val="none"/>
                      <w:lang w:val="en-US" w:eastAsia="zh-CN" w:bidi="ar-SA"/>
                    </w:rPr>
                  </w:pPr>
                  <w:r>
                    <w:rPr>
                      <w:rFonts w:ascii="Times New Roman" w:hAnsi="Times New Roman" w:eastAsia="宋体" w:cs="Times New Roman"/>
                      <w:bCs/>
                      <w:color w:val="000000"/>
                      <w:kern w:val="0"/>
                      <w:sz w:val="21"/>
                      <w:szCs w:val="21"/>
                      <w:highlight w:val="none"/>
                      <w:lang w:val="en-US" w:eastAsia="zh-CN" w:bidi="ar-SA"/>
                    </w:rPr>
                    <w:t>废水</w:t>
                  </w:r>
                </w:p>
              </w:tc>
              <w:tc>
                <w:tcPr>
                  <w:tcW w:w="4170" w:type="pct"/>
                  <w:tcBorders>
                    <w:tl2br w:val="nil"/>
                    <w:tr2bl w:val="nil"/>
                  </w:tcBorders>
                  <w:noWrap w:val="0"/>
                  <w:vAlign w:val="center"/>
                </w:tcPr>
                <w:p w14:paraId="5AC159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kern w:val="0"/>
                      <w:sz w:val="21"/>
                      <w:szCs w:val="21"/>
                      <w:highlight w:val="none"/>
                      <w:lang w:val="en-US" w:eastAsia="zh-CN"/>
                    </w:rPr>
                  </w:pPr>
                  <w:r>
                    <w:rPr>
                      <w:rFonts w:hint="eastAsia" w:ascii="Times New Roman" w:hAnsi="Times New Roman" w:eastAsia="宋体" w:cs="Times New Roman"/>
                      <w:color w:val="000000"/>
                      <w:kern w:val="0"/>
                      <w:sz w:val="21"/>
                      <w:szCs w:val="21"/>
                      <w:highlight w:val="none"/>
                      <w:lang w:val="en-US" w:eastAsia="zh-CN"/>
                    </w:rPr>
                    <w:t>生活污水排入园区下水管网，最终进入和静县污水处理厂进行处理</w:t>
                  </w:r>
                </w:p>
              </w:tc>
            </w:tr>
            <w:tr w14:paraId="3296EA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continue"/>
                  <w:tcBorders>
                    <w:tl2br w:val="nil"/>
                    <w:tr2bl w:val="nil"/>
                  </w:tcBorders>
                  <w:noWrap w:val="0"/>
                  <w:vAlign w:val="center"/>
                </w:tcPr>
                <w:p w14:paraId="6F4D80CF">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bCs/>
                      <w:color w:val="000000"/>
                      <w:kern w:val="0"/>
                      <w:sz w:val="21"/>
                      <w:szCs w:val="21"/>
                      <w:highlight w:val="none"/>
                      <w:lang w:val="en-US" w:eastAsia="zh-CN" w:bidi="ar-SA"/>
                    </w:rPr>
                  </w:pPr>
                </w:p>
              </w:tc>
              <w:tc>
                <w:tcPr>
                  <w:tcW w:w="527" w:type="pct"/>
                  <w:tcBorders>
                    <w:tl2br w:val="nil"/>
                    <w:tr2bl w:val="nil"/>
                  </w:tcBorders>
                  <w:noWrap w:val="0"/>
                  <w:vAlign w:val="center"/>
                </w:tcPr>
                <w:p w14:paraId="61F91E7C">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bCs/>
                      <w:color w:val="000000"/>
                      <w:kern w:val="0"/>
                      <w:sz w:val="21"/>
                      <w:szCs w:val="21"/>
                      <w:highlight w:val="none"/>
                      <w:lang w:val="en-US" w:eastAsia="zh-CN" w:bidi="ar-SA"/>
                    </w:rPr>
                  </w:pPr>
                  <w:r>
                    <w:rPr>
                      <w:rFonts w:ascii="Times New Roman" w:hAnsi="Times New Roman" w:eastAsia="宋体" w:cs="Times New Roman"/>
                      <w:bCs/>
                      <w:color w:val="000000"/>
                      <w:kern w:val="0"/>
                      <w:sz w:val="21"/>
                      <w:szCs w:val="21"/>
                      <w:highlight w:val="none"/>
                      <w:lang w:val="en-US" w:eastAsia="zh-CN" w:bidi="ar-SA"/>
                    </w:rPr>
                    <w:t>噪声</w:t>
                  </w:r>
                </w:p>
              </w:tc>
              <w:tc>
                <w:tcPr>
                  <w:tcW w:w="4170" w:type="pct"/>
                  <w:tcBorders>
                    <w:tl2br w:val="nil"/>
                    <w:tr2bl w:val="nil"/>
                  </w:tcBorders>
                  <w:noWrap w:val="0"/>
                  <w:vAlign w:val="center"/>
                </w:tcPr>
                <w:p w14:paraId="2D7F37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kern w:val="0"/>
                      <w:sz w:val="21"/>
                      <w:szCs w:val="21"/>
                      <w:highlight w:val="none"/>
                    </w:rPr>
                  </w:pPr>
                  <w:r>
                    <w:rPr>
                      <w:rFonts w:ascii="Times New Roman" w:hAnsi="Times New Roman" w:eastAsia="宋体" w:cs="Times New Roman"/>
                      <w:color w:val="000000"/>
                      <w:kern w:val="0"/>
                      <w:sz w:val="21"/>
                      <w:szCs w:val="21"/>
                      <w:highlight w:val="none"/>
                    </w:rPr>
                    <w:t>本项目产生的噪声主要为生产过程中各类机械设备，主要采用基础减震、厂房隔声等减噪、降噪措施。</w:t>
                  </w:r>
                </w:p>
              </w:tc>
            </w:tr>
            <w:tr w14:paraId="66B03F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continue"/>
                  <w:tcBorders>
                    <w:tl2br w:val="nil"/>
                    <w:tr2bl w:val="nil"/>
                  </w:tcBorders>
                  <w:noWrap w:val="0"/>
                  <w:vAlign w:val="center"/>
                </w:tcPr>
                <w:p w14:paraId="3B4B5124">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bCs/>
                      <w:color w:val="000000"/>
                      <w:kern w:val="0"/>
                      <w:sz w:val="21"/>
                      <w:szCs w:val="21"/>
                      <w:highlight w:val="none"/>
                      <w:lang w:val="en-US" w:eastAsia="zh-CN" w:bidi="ar-SA"/>
                    </w:rPr>
                  </w:pPr>
                </w:p>
              </w:tc>
              <w:tc>
                <w:tcPr>
                  <w:tcW w:w="527" w:type="pct"/>
                  <w:tcBorders>
                    <w:tl2br w:val="nil"/>
                    <w:tr2bl w:val="nil"/>
                  </w:tcBorders>
                  <w:noWrap w:val="0"/>
                  <w:vAlign w:val="center"/>
                </w:tcPr>
                <w:p w14:paraId="3CD62AD8">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bCs/>
                      <w:color w:val="000000"/>
                      <w:kern w:val="0"/>
                      <w:sz w:val="21"/>
                      <w:szCs w:val="21"/>
                      <w:highlight w:val="none"/>
                      <w:lang w:val="en-US" w:eastAsia="zh-CN" w:bidi="ar-SA"/>
                    </w:rPr>
                  </w:pPr>
                  <w:r>
                    <w:rPr>
                      <w:rFonts w:ascii="Times New Roman" w:hAnsi="Times New Roman" w:eastAsia="宋体" w:cs="Times New Roman"/>
                      <w:bCs/>
                      <w:color w:val="000000"/>
                      <w:kern w:val="0"/>
                      <w:sz w:val="21"/>
                      <w:szCs w:val="21"/>
                      <w:highlight w:val="none"/>
                      <w:lang w:val="en-US" w:eastAsia="zh-CN" w:bidi="ar-SA"/>
                    </w:rPr>
                    <w:t>固废</w:t>
                  </w:r>
                </w:p>
              </w:tc>
              <w:tc>
                <w:tcPr>
                  <w:tcW w:w="4170" w:type="pct"/>
                  <w:tcBorders>
                    <w:tl2br w:val="nil"/>
                    <w:tr2bl w:val="nil"/>
                  </w:tcBorders>
                  <w:noWrap w:val="0"/>
                  <w:vAlign w:val="top"/>
                </w:tcPr>
                <w:p w14:paraId="79BE15DD">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000000"/>
                      <w:kern w:val="0"/>
                      <w:sz w:val="21"/>
                      <w:szCs w:val="21"/>
                      <w:highlight w:val="none"/>
                      <w:lang w:val="en-US" w:eastAsia="zh-CN" w:bidi="ar-SA"/>
                    </w:rPr>
                  </w:pPr>
                  <w:r>
                    <w:rPr>
                      <w:rFonts w:hint="eastAsia" w:ascii="Times New Roman" w:hAnsi="Times New Roman" w:eastAsia="宋体" w:cs="Times New Roman"/>
                      <w:bCs/>
                      <w:color w:val="000000"/>
                      <w:kern w:val="0"/>
                      <w:sz w:val="21"/>
                      <w:szCs w:val="21"/>
                      <w:highlight w:val="none"/>
                      <w:lang w:val="en-US" w:eastAsia="zh-CN" w:bidi="ar-SA"/>
                    </w:rPr>
                    <w:t>本项目产生的一般工业固废中除尘器收的粉尘、沉降粉尘回用于生产，废包装袋、废布袋集中收集后交由一般固废处置单位进行处置。</w:t>
                  </w:r>
                </w:p>
                <w:p w14:paraId="2C5269B9">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bCs/>
                      <w:color w:val="000000"/>
                      <w:kern w:val="0"/>
                      <w:sz w:val="21"/>
                      <w:szCs w:val="21"/>
                      <w:highlight w:val="none"/>
                      <w:lang w:val="en-US" w:eastAsia="zh-CN" w:bidi="ar-SA"/>
                    </w:rPr>
                  </w:pPr>
                  <w:r>
                    <w:rPr>
                      <w:rFonts w:hint="eastAsia" w:ascii="Times New Roman" w:hAnsi="Times New Roman" w:eastAsia="宋体" w:cs="Times New Roman"/>
                      <w:bCs/>
                      <w:color w:val="000000"/>
                      <w:kern w:val="0"/>
                      <w:sz w:val="21"/>
                      <w:szCs w:val="21"/>
                      <w:highlight w:val="none"/>
                      <w:lang w:val="en-US" w:eastAsia="zh-CN" w:bidi="ar-SA"/>
                    </w:rPr>
                    <w:t>危险废物</w:t>
                  </w:r>
                  <w:r>
                    <w:rPr>
                      <w:rFonts w:hint="eastAsia"/>
                      <w:lang w:eastAsia="zh-CN"/>
                    </w:rPr>
                    <w:t>：</w:t>
                  </w:r>
                  <w:r>
                    <w:rPr>
                      <w:rFonts w:hint="eastAsia" w:ascii="Times New Roman" w:hAnsi="Times New Roman" w:eastAsia="宋体" w:cs="Times New Roman"/>
                      <w:bCs/>
                      <w:color w:val="000000"/>
                      <w:kern w:val="0"/>
                      <w:sz w:val="21"/>
                      <w:szCs w:val="21"/>
                      <w:highlight w:val="none"/>
                      <w:lang w:val="en-US" w:eastAsia="zh-CN" w:bidi="ar-SA"/>
                    </w:rPr>
                    <w:t>废润滑油、废油桶集中收集至危险废物贮存库内，定期交由有资质单位进行清运处置。</w:t>
                  </w:r>
                </w:p>
              </w:tc>
            </w:tr>
          </w:tbl>
          <w:p w14:paraId="33ABC34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宋体" w:cs="Times New Roman"/>
                <w:b/>
                <w:bCs/>
                <w:color w:val="000000"/>
                <w:kern w:val="0"/>
                <w:sz w:val="24"/>
                <w:szCs w:val="24"/>
                <w:highlight w:val="none"/>
              </w:rPr>
            </w:pPr>
            <w:r>
              <w:rPr>
                <w:rFonts w:hint="eastAsia" w:ascii="Times New Roman" w:hAnsi="Times New Roman" w:eastAsia="宋体" w:cs="Times New Roman"/>
                <w:b/>
                <w:bCs/>
                <w:color w:val="000000"/>
                <w:sz w:val="24"/>
                <w:highlight w:val="none"/>
                <w:lang w:val="en-US" w:eastAsia="zh-CN"/>
              </w:rPr>
              <w:t>2</w:t>
            </w:r>
            <w:r>
              <w:rPr>
                <w:rFonts w:ascii="Times New Roman" w:hAnsi="Times New Roman" w:eastAsia="宋体" w:cs="Times New Roman"/>
                <w:b/>
                <w:bCs/>
                <w:color w:val="000000"/>
                <w:sz w:val="24"/>
                <w:highlight w:val="none"/>
              </w:rPr>
              <w:t>、</w:t>
            </w:r>
            <w:r>
              <w:rPr>
                <w:rFonts w:ascii="Times New Roman" w:hAnsi="Times New Roman" w:eastAsia="宋体" w:cs="Times New Roman"/>
                <w:b/>
                <w:bCs/>
                <w:color w:val="000000"/>
                <w:kern w:val="0"/>
                <w:sz w:val="24"/>
                <w:szCs w:val="24"/>
                <w:highlight w:val="none"/>
              </w:rPr>
              <w:t>主要产品产能</w:t>
            </w:r>
          </w:p>
          <w:p w14:paraId="53B496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项目产品为石灰石粉、腻子粉，项目产品产能见表2-2。</w:t>
            </w:r>
          </w:p>
          <w:p w14:paraId="2FE18AF9">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表2-2              主要产品产能表</w:t>
            </w:r>
          </w:p>
          <w:tbl>
            <w:tblPr>
              <w:tblStyle w:val="50"/>
              <w:tblW w:w="4994" w:type="pct"/>
              <w:tblInd w:w="12"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109"/>
              <w:gridCol w:w="2170"/>
              <w:gridCol w:w="3404"/>
              <w:gridCol w:w="1653"/>
            </w:tblGrid>
            <w:tr w14:paraId="23EA81E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665" w:type="pct"/>
                  <w:tcBorders>
                    <w:tl2br w:val="nil"/>
                    <w:tr2bl w:val="nil"/>
                  </w:tcBorders>
                  <w:noWrap w:val="0"/>
                  <w:vAlign w:val="center"/>
                </w:tcPr>
                <w:p w14:paraId="402430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highlight w:val="none"/>
                      <w:lang w:val="en-US" w:eastAsia="zh-CN"/>
                    </w:rPr>
                  </w:pPr>
                  <w:bookmarkStart w:id="2" w:name="bookmark23"/>
                  <w:bookmarkEnd w:id="2"/>
                  <w:bookmarkStart w:id="3" w:name="bookmark24"/>
                  <w:bookmarkEnd w:id="3"/>
                  <w:r>
                    <w:rPr>
                      <w:rFonts w:hint="eastAsia" w:ascii="Times New Roman" w:hAnsi="Times New Roman" w:eastAsia="宋体" w:cs="Times New Roman"/>
                      <w:sz w:val="21"/>
                      <w:szCs w:val="21"/>
                      <w:highlight w:val="none"/>
                      <w:lang w:val="en-US" w:eastAsia="zh-CN"/>
                    </w:rPr>
                    <w:t>序号</w:t>
                  </w:r>
                </w:p>
              </w:tc>
              <w:tc>
                <w:tcPr>
                  <w:tcW w:w="1301" w:type="pct"/>
                  <w:tcBorders>
                    <w:tl2br w:val="nil"/>
                    <w:tr2bl w:val="nil"/>
                  </w:tcBorders>
                  <w:noWrap w:val="0"/>
                  <w:vAlign w:val="center"/>
                </w:tcPr>
                <w:p w14:paraId="030646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名称</w:t>
                  </w:r>
                </w:p>
              </w:tc>
              <w:tc>
                <w:tcPr>
                  <w:tcW w:w="2041" w:type="pct"/>
                  <w:tcBorders>
                    <w:tl2br w:val="nil"/>
                    <w:tr2bl w:val="nil"/>
                  </w:tcBorders>
                  <w:noWrap w:val="0"/>
                  <w:vAlign w:val="center"/>
                </w:tcPr>
                <w:p w14:paraId="3FC3F3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生产规模（t/a）</w:t>
                  </w:r>
                </w:p>
              </w:tc>
              <w:tc>
                <w:tcPr>
                  <w:tcW w:w="991" w:type="pct"/>
                  <w:tcBorders>
                    <w:tl2br w:val="nil"/>
                    <w:tr2bl w:val="nil"/>
                  </w:tcBorders>
                  <w:noWrap w:val="0"/>
                  <w:vAlign w:val="center"/>
                </w:tcPr>
                <w:p w14:paraId="1BAF3D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备注</w:t>
                  </w:r>
                </w:p>
              </w:tc>
            </w:tr>
            <w:tr w14:paraId="1EC4BD1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665" w:type="pct"/>
                  <w:vMerge w:val="restart"/>
                  <w:tcBorders>
                    <w:tl2br w:val="nil"/>
                    <w:tr2bl w:val="nil"/>
                  </w:tcBorders>
                  <w:noWrap w:val="0"/>
                  <w:vAlign w:val="center"/>
                </w:tcPr>
                <w:p w14:paraId="2E2392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c>
                <w:tcPr>
                  <w:tcW w:w="1301" w:type="pct"/>
                  <w:vMerge w:val="restart"/>
                  <w:tcBorders>
                    <w:tl2br w:val="nil"/>
                    <w:tr2bl w:val="nil"/>
                  </w:tcBorders>
                  <w:noWrap w:val="0"/>
                  <w:vAlign w:val="center"/>
                </w:tcPr>
                <w:p w14:paraId="3EC79E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石灰石粉</w:t>
                  </w:r>
                </w:p>
              </w:tc>
              <w:tc>
                <w:tcPr>
                  <w:tcW w:w="2041" w:type="pct"/>
                  <w:tcBorders>
                    <w:tl2br w:val="nil"/>
                    <w:tr2bl w:val="nil"/>
                  </w:tcBorders>
                  <w:noWrap w:val="0"/>
                  <w:vAlign w:val="center"/>
                </w:tcPr>
                <w:p w14:paraId="759E6F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20万</w:t>
                  </w:r>
                </w:p>
              </w:tc>
              <w:tc>
                <w:tcPr>
                  <w:tcW w:w="991" w:type="pct"/>
                  <w:tcBorders>
                    <w:tl2br w:val="nil"/>
                    <w:tr2bl w:val="nil"/>
                  </w:tcBorders>
                  <w:noWrap w:val="0"/>
                  <w:vAlign w:val="center"/>
                </w:tcPr>
                <w:p w14:paraId="54AFD9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60-80目</w:t>
                  </w:r>
                </w:p>
              </w:tc>
            </w:tr>
            <w:tr w14:paraId="2E6C62B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665" w:type="pct"/>
                  <w:vMerge w:val="continue"/>
                  <w:tcBorders>
                    <w:tl2br w:val="nil"/>
                    <w:tr2bl w:val="nil"/>
                  </w:tcBorders>
                  <w:noWrap w:val="0"/>
                  <w:vAlign w:val="center"/>
                </w:tcPr>
                <w:p w14:paraId="6C290F4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1301" w:type="pct"/>
                  <w:vMerge w:val="continue"/>
                  <w:tcBorders>
                    <w:tl2br w:val="nil"/>
                    <w:tr2bl w:val="nil"/>
                  </w:tcBorders>
                  <w:noWrap w:val="0"/>
                  <w:vAlign w:val="center"/>
                </w:tcPr>
                <w:p w14:paraId="3F6C3A9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2041" w:type="pct"/>
                  <w:tcBorders>
                    <w:tl2br w:val="nil"/>
                    <w:tr2bl w:val="nil"/>
                  </w:tcBorders>
                  <w:noWrap w:val="0"/>
                  <w:vAlign w:val="center"/>
                </w:tcPr>
                <w:p w14:paraId="26D242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20万</w:t>
                  </w:r>
                </w:p>
              </w:tc>
              <w:tc>
                <w:tcPr>
                  <w:tcW w:w="991" w:type="pct"/>
                  <w:tcBorders>
                    <w:tl2br w:val="nil"/>
                    <w:tr2bl w:val="nil"/>
                  </w:tcBorders>
                  <w:noWrap w:val="0"/>
                  <w:vAlign w:val="center"/>
                </w:tcPr>
                <w:p w14:paraId="3BEDE3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325目</w:t>
                  </w:r>
                </w:p>
              </w:tc>
            </w:tr>
            <w:tr w14:paraId="35C2838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665" w:type="pct"/>
                  <w:vMerge w:val="continue"/>
                  <w:tcBorders>
                    <w:tl2br w:val="nil"/>
                    <w:tr2bl w:val="nil"/>
                  </w:tcBorders>
                  <w:noWrap w:val="0"/>
                  <w:vAlign w:val="center"/>
                </w:tcPr>
                <w:p w14:paraId="01EBD33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1301" w:type="pct"/>
                  <w:vMerge w:val="continue"/>
                  <w:tcBorders>
                    <w:tl2br w:val="nil"/>
                    <w:tr2bl w:val="nil"/>
                  </w:tcBorders>
                  <w:noWrap w:val="0"/>
                  <w:vAlign w:val="center"/>
                </w:tcPr>
                <w:p w14:paraId="4AACE41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2041" w:type="pct"/>
                  <w:tcBorders>
                    <w:tl2br w:val="nil"/>
                    <w:tr2bl w:val="nil"/>
                  </w:tcBorders>
                  <w:noWrap w:val="0"/>
                  <w:vAlign w:val="center"/>
                </w:tcPr>
                <w:p w14:paraId="7C5EF1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19万</w:t>
                  </w:r>
                </w:p>
              </w:tc>
              <w:tc>
                <w:tcPr>
                  <w:tcW w:w="991" w:type="pct"/>
                  <w:tcBorders>
                    <w:tl2br w:val="nil"/>
                    <w:tr2bl w:val="nil"/>
                  </w:tcBorders>
                  <w:noWrap w:val="0"/>
                  <w:vAlign w:val="center"/>
                </w:tcPr>
                <w:p w14:paraId="60ED8ED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600目</w:t>
                  </w:r>
                </w:p>
              </w:tc>
            </w:tr>
            <w:tr w14:paraId="61C16CE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665" w:type="pct"/>
                  <w:tcBorders>
                    <w:tl2br w:val="nil"/>
                    <w:tr2bl w:val="nil"/>
                  </w:tcBorders>
                  <w:noWrap w:val="0"/>
                  <w:vAlign w:val="center"/>
                </w:tcPr>
                <w:p w14:paraId="5FBF40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w:t>
                  </w:r>
                </w:p>
              </w:tc>
              <w:tc>
                <w:tcPr>
                  <w:tcW w:w="1301" w:type="pct"/>
                  <w:tcBorders>
                    <w:tl2br w:val="nil"/>
                    <w:tr2bl w:val="nil"/>
                  </w:tcBorders>
                  <w:noWrap w:val="0"/>
                  <w:vAlign w:val="center"/>
                </w:tcPr>
                <w:p w14:paraId="11F818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腻子粉</w:t>
                  </w:r>
                </w:p>
              </w:tc>
              <w:tc>
                <w:tcPr>
                  <w:tcW w:w="2041" w:type="pct"/>
                  <w:tcBorders>
                    <w:tl2br w:val="nil"/>
                    <w:tr2bl w:val="nil"/>
                  </w:tcBorders>
                  <w:noWrap w:val="0"/>
                  <w:vAlign w:val="center"/>
                </w:tcPr>
                <w:p w14:paraId="793A0E9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1万</w:t>
                  </w:r>
                </w:p>
              </w:tc>
              <w:tc>
                <w:tcPr>
                  <w:tcW w:w="991" w:type="pct"/>
                  <w:tcBorders>
                    <w:tl2br w:val="nil"/>
                    <w:tr2bl w:val="nil"/>
                  </w:tcBorders>
                  <w:noWrap w:val="0"/>
                  <w:vAlign w:val="center"/>
                </w:tcPr>
                <w:p w14:paraId="2CB584F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highlight w:val="none"/>
                      <w:lang w:val="en-US" w:eastAsia="zh-CN"/>
                    </w:rPr>
                  </w:pPr>
                </w:p>
              </w:tc>
            </w:tr>
          </w:tbl>
          <w:p w14:paraId="6921A91E">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color w:val="000000"/>
                <w:kern w:val="0"/>
                <w:sz w:val="24"/>
                <w:szCs w:val="24"/>
                <w:highlight w:val="none"/>
              </w:rPr>
            </w:pPr>
            <w:r>
              <w:rPr>
                <w:rFonts w:hint="eastAsia" w:ascii="Times New Roman" w:hAnsi="Times New Roman" w:eastAsia="宋体" w:cs="Times New Roman"/>
                <w:b/>
                <w:bCs/>
                <w:color w:val="000000"/>
                <w:kern w:val="0"/>
                <w:sz w:val="24"/>
                <w:szCs w:val="24"/>
                <w:highlight w:val="none"/>
                <w:lang w:val="en-US" w:eastAsia="zh-CN"/>
              </w:rPr>
              <w:t>3、</w:t>
            </w:r>
            <w:r>
              <w:rPr>
                <w:rFonts w:ascii="Times New Roman" w:hAnsi="Times New Roman" w:eastAsia="宋体" w:cs="Times New Roman"/>
                <w:b/>
                <w:bCs/>
                <w:color w:val="000000"/>
                <w:kern w:val="0"/>
                <w:sz w:val="24"/>
                <w:szCs w:val="24"/>
                <w:highlight w:val="none"/>
              </w:rPr>
              <w:t>主要生产设施</w:t>
            </w:r>
          </w:p>
          <w:p w14:paraId="32458B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lang w:val="en-US" w:eastAsia="zh-CN"/>
              </w:rPr>
              <w:t>项目主要设备主要为雷蒙磨、颚式破碎机、振动筛、高效分级机等，详见下表。</w:t>
            </w:r>
          </w:p>
          <w:p w14:paraId="6597402C">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表2-3                 主要设备一览表</w:t>
            </w:r>
          </w:p>
          <w:tbl>
            <w:tblPr>
              <w:tblStyle w:val="23"/>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102"/>
              <w:gridCol w:w="4009"/>
              <w:gridCol w:w="2130"/>
              <w:gridCol w:w="1102"/>
            </w:tblGrid>
            <w:tr w14:paraId="729E76F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660" w:type="pct"/>
                  <w:tcBorders>
                    <w:tl2br w:val="nil"/>
                    <w:tr2bl w:val="nil"/>
                  </w:tcBorders>
                  <w:noWrap w:val="0"/>
                  <w:vAlign w:val="center"/>
                </w:tcPr>
                <w:p w14:paraId="1E6460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rPr>
                    <w:t>序号</w:t>
                  </w:r>
                </w:p>
              </w:tc>
              <w:tc>
                <w:tcPr>
                  <w:tcW w:w="2401" w:type="pct"/>
                  <w:tcBorders>
                    <w:tl2br w:val="nil"/>
                    <w:tr2bl w:val="nil"/>
                  </w:tcBorders>
                  <w:noWrap w:val="0"/>
                  <w:vAlign w:val="center"/>
                </w:tcPr>
                <w:p w14:paraId="59833C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rPr>
                    <w:t>设备名称</w:t>
                  </w:r>
                </w:p>
              </w:tc>
              <w:tc>
                <w:tcPr>
                  <w:tcW w:w="1276" w:type="pct"/>
                  <w:tcBorders>
                    <w:tl2br w:val="nil"/>
                    <w:tr2bl w:val="nil"/>
                  </w:tcBorders>
                  <w:noWrap w:val="0"/>
                  <w:vAlign w:val="center"/>
                </w:tcPr>
                <w:p w14:paraId="77E110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rPr>
                    <w:t>设备型号</w:t>
                  </w:r>
                </w:p>
              </w:tc>
              <w:tc>
                <w:tcPr>
                  <w:tcW w:w="660" w:type="pct"/>
                  <w:tcBorders>
                    <w:tl2br w:val="nil"/>
                    <w:tr2bl w:val="nil"/>
                  </w:tcBorders>
                  <w:noWrap w:val="0"/>
                  <w:vAlign w:val="center"/>
                </w:tcPr>
                <w:p w14:paraId="6E1F5CDF">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sz w:val="21"/>
                      <w:szCs w:val="21"/>
                      <w:highlight w:val="none"/>
                    </w:rPr>
                    <w:t>数量</w:t>
                  </w:r>
                  <w:r>
                    <w:rPr>
                      <w:rFonts w:hint="eastAsia" w:ascii="Times New Roman" w:hAnsi="Times New Roman" w:cs="Times New Roman"/>
                      <w:b/>
                      <w:bCs/>
                      <w:sz w:val="21"/>
                      <w:szCs w:val="21"/>
                      <w:highlight w:val="none"/>
                      <w:lang w:eastAsia="zh-CN"/>
                    </w:rPr>
                    <w:t>（</w:t>
                  </w:r>
                  <w:r>
                    <w:rPr>
                      <w:rFonts w:hint="eastAsia" w:ascii="Times New Roman" w:hAnsi="Times New Roman" w:cs="Times New Roman"/>
                      <w:b/>
                      <w:bCs/>
                      <w:sz w:val="21"/>
                      <w:szCs w:val="21"/>
                      <w:highlight w:val="none"/>
                      <w:lang w:val="en-US" w:eastAsia="zh-CN"/>
                    </w:rPr>
                    <w:t>台</w:t>
                  </w:r>
                  <w:r>
                    <w:rPr>
                      <w:rFonts w:hint="eastAsia" w:ascii="Times New Roman" w:hAnsi="Times New Roman" w:cs="Times New Roman"/>
                      <w:b/>
                      <w:bCs/>
                      <w:sz w:val="21"/>
                      <w:szCs w:val="21"/>
                      <w:highlight w:val="none"/>
                      <w:lang w:eastAsia="zh-CN"/>
                    </w:rPr>
                    <w:t>）</w:t>
                  </w:r>
                </w:p>
              </w:tc>
            </w:tr>
            <w:tr w14:paraId="43DABB5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0" w:type="pct"/>
                  <w:tcBorders>
                    <w:tl2br w:val="nil"/>
                    <w:tr2bl w:val="nil"/>
                  </w:tcBorders>
                  <w:noWrap w:val="0"/>
                  <w:vAlign w:val="center"/>
                </w:tcPr>
                <w:p w14:paraId="2AF721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rPr>
                    <w:t>1</w:t>
                  </w:r>
                </w:p>
              </w:tc>
              <w:tc>
                <w:tcPr>
                  <w:tcW w:w="2401" w:type="pct"/>
                  <w:tcBorders>
                    <w:tl2br w:val="nil"/>
                    <w:tr2bl w:val="nil"/>
                  </w:tcBorders>
                  <w:noWrap w:val="0"/>
                  <w:vAlign w:val="center"/>
                </w:tcPr>
                <w:p w14:paraId="4458EEDD">
                  <w:pPr>
                    <w:keepNext w:val="0"/>
                    <w:keepLines w:val="0"/>
                    <w:pageBreakBefore w:val="0"/>
                    <w:kinsoku/>
                    <w:wordWrap/>
                    <w:overflowPunct/>
                    <w:topLinePunct w:val="0"/>
                    <w:autoSpaceDE/>
                    <w:autoSpaceDN/>
                    <w:bidi w:val="0"/>
                    <w:adjustRightInd w:val="0"/>
                    <w:snapToGrid w:val="0"/>
                    <w:spacing w:line="240" w:lineRule="auto"/>
                    <w:jc w:val="center"/>
                    <w:rPr>
                      <w:rFonts w:hint="default" w:cs="Times New Roman"/>
                      <w:sz w:val="21"/>
                      <w:szCs w:val="21"/>
                      <w:highlight w:val="none"/>
                      <w:lang w:val="en-US" w:eastAsia="zh-CN"/>
                    </w:rPr>
                  </w:pPr>
                  <w:r>
                    <w:rPr>
                      <w:rFonts w:hint="eastAsia" w:cs="Times New Roman"/>
                      <w:sz w:val="21"/>
                      <w:szCs w:val="21"/>
                      <w:highlight w:val="none"/>
                      <w:lang w:val="en-US" w:eastAsia="zh-CN"/>
                    </w:rPr>
                    <w:t>雷蒙磨</w:t>
                  </w:r>
                </w:p>
              </w:tc>
              <w:tc>
                <w:tcPr>
                  <w:tcW w:w="1276" w:type="pct"/>
                  <w:tcBorders>
                    <w:tl2br w:val="nil"/>
                    <w:tr2bl w:val="nil"/>
                  </w:tcBorders>
                  <w:noWrap w:val="0"/>
                  <w:vAlign w:val="center"/>
                </w:tcPr>
                <w:p w14:paraId="1A608B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rPr>
                  </w:pPr>
                  <w:r>
                    <w:rPr>
                      <w:rFonts w:hint="eastAsia" w:ascii="Times New Roman" w:hAnsi="Times New Roman" w:eastAsia="宋体" w:cs="Times New Roman"/>
                      <w:i w:val="0"/>
                      <w:iCs w:val="0"/>
                      <w:color w:val="auto"/>
                      <w:kern w:val="0"/>
                      <w:sz w:val="21"/>
                      <w:szCs w:val="21"/>
                      <w:u w:val="none"/>
                      <w:lang w:val="en-US" w:eastAsia="zh-CN"/>
                    </w:rPr>
                    <w:t>HD-5R</w:t>
                  </w:r>
                </w:p>
              </w:tc>
              <w:tc>
                <w:tcPr>
                  <w:tcW w:w="660" w:type="pct"/>
                  <w:tcBorders>
                    <w:tl2br w:val="nil"/>
                    <w:tr2bl w:val="nil"/>
                  </w:tcBorders>
                  <w:noWrap w:val="0"/>
                  <w:vAlign w:val="center"/>
                </w:tcPr>
                <w:p w14:paraId="79B03F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2</w:t>
                  </w:r>
                </w:p>
              </w:tc>
            </w:tr>
            <w:tr w14:paraId="714D440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0" w:type="pct"/>
                  <w:tcBorders>
                    <w:tl2br w:val="nil"/>
                    <w:tr2bl w:val="nil"/>
                  </w:tcBorders>
                  <w:noWrap w:val="0"/>
                  <w:vAlign w:val="center"/>
                </w:tcPr>
                <w:p w14:paraId="14C314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Calibri" w:hAnsi="Calibri"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rPr>
                    <w:t>2</w:t>
                  </w:r>
                </w:p>
              </w:tc>
              <w:tc>
                <w:tcPr>
                  <w:tcW w:w="2401" w:type="pct"/>
                  <w:tcBorders>
                    <w:tl2br w:val="nil"/>
                    <w:tr2bl w:val="nil"/>
                  </w:tcBorders>
                  <w:noWrap w:val="0"/>
                  <w:vAlign w:val="center"/>
                </w:tcPr>
                <w:p w14:paraId="26926DE8">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sz w:val="21"/>
                      <w:szCs w:val="21"/>
                      <w:highlight w:val="none"/>
                      <w:lang w:val="en-US" w:eastAsia="zh-CN"/>
                    </w:rPr>
                  </w:pPr>
                  <w:r>
                    <w:rPr>
                      <w:rFonts w:hint="eastAsia" w:cs="Times New Roman"/>
                      <w:sz w:val="21"/>
                      <w:szCs w:val="21"/>
                      <w:highlight w:val="none"/>
                      <w:lang w:val="en-US" w:eastAsia="zh-CN"/>
                    </w:rPr>
                    <w:t>颚式破碎机</w:t>
                  </w:r>
                </w:p>
              </w:tc>
              <w:tc>
                <w:tcPr>
                  <w:tcW w:w="1276" w:type="pct"/>
                  <w:tcBorders>
                    <w:tl2br w:val="nil"/>
                    <w:tr2bl w:val="nil"/>
                  </w:tcBorders>
                  <w:noWrap w:val="0"/>
                  <w:vAlign w:val="center"/>
                </w:tcPr>
                <w:p w14:paraId="0FA0EE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rPr>
                  </w:pPr>
                  <w:r>
                    <w:rPr>
                      <w:rFonts w:hint="eastAsia" w:ascii="Times New Roman" w:hAnsi="Times New Roman" w:eastAsia="宋体" w:cs="Times New Roman"/>
                      <w:i w:val="0"/>
                      <w:iCs w:val="0"/>
                      <w:color w:val="auto"/>
                      <w:kern w:val="0"/>
                      <w:sz w:val="21"/>
                      <w:szCs w:val="21"/>
                      <w:u w:val="none"/>
                      <w:lang w:val="en-US" w:eastAsia="zh-CN"/>
                    </w:rPr>
                    <w:t>PE-300-500</w:t>
                  </w:r>
                </w:p>
              </w:tc>
              <w:tc>
                <w:tcPr>
                  <w:tcW w:w="660" w:type="pct"/>
                  <w:tcBorders>
                    <w:tl2br w:val="nil"/>
                    <w:tr2bl w:val="nil"/>
                  </w:tcBorders>
                  <w:noWrap w:val="0"/>
                  <w:vAlign w:val="center"/>
                </w:tcPr>
                <w:p w14:paraId="355BB8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w:t>
                  </w:r>
                </w:p>
              </w:tc>
            </w:tr>
            <w:tr w14:paraId="3082667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0" w:type="pct"/>
                  <w:tcBorders>
                    <w:tl2br w:val="nil"/>
                    <w:tr2bl w:val="nil"/>
                  </w:tcBorders>
                  <w:noWrap w:val="0"/>
                  <w:vAlign w:val="center"/>
                </w:tcPr>
                <w:p w14:paraId="516970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SA"/>
                    </w:rPr>
                    <w:t>3</w:t>
                  </w:r>
                </w:p>
              </w:tc>
              <w:tc>
                <w:tcPr>
                  <w:tcW w:w="2401" w:type="pct"/>
                  <w:tcBorders>
                    <w:tl2br w:val="nil"/>
                    <w:tr2bl w:val="nil"/>
                  </w:tcBorders>
                  <w:noWrap w:val="0"/>
                  <w:vAlign w:val="center"/>
                </w:tcPr>
                <w:p w14:paraId="2E91EC77">
                  <w:pPr>
                    <w:keepNext w:val="0"/>
                    <w:keepLines w:val="0"/>
                    <w:pageBreakBefore w:val="0"/>
                    <w:kinsoku/>
                    <w:wordWrap/>
                    <w:overflowPunct/>
                    <w:topLinePunct w:val="0"/>
                    <w:autoSpaceDE/>
                    <w:autoSpaceDN/>
                    <w:bidi w:val="0"/>
                    <w:adjustRightInd w:val="0"/>
                    <w:snapToGrid w:val="0"/>
                    <w:spacing w:line="240" w:lineRule="auto"/>
                    <w:jc w:val="center"/>
                    <w:rPr>
                      <w:rFonts w:hint="default" w:cs="Times New Roman"/>
                      <w:sz w:val="21"/>
                      <w:szCs w:val="21"/>
                      <w:highlight w:val="none"/>
                      <w:lang w:val="en-US" w:eastAsia="zh-CN"/>
                    </w:rPr>
                  </w:pPr>
                  <w:r>
                    <w:rPr>
                      <w:rFonts w:hint="eastAsia" w:cs="Times New Roman"/>
                      <w:sz w:val="21"/>
                      <w:szCs w:val="21"/>
                      <w:highlight w:val="none"/>
                      <w:lang w:val="en-US" w:eastAsia="zh-CN"/>
                    </w:rPr>
                    <w:t>高效分级机（分选机）</w:t>
                  </w:r>
                </w:p>
              </w:tc>
              <w:tc>
                <w:tcPr>
                  <w:tcW w:w="1276" w:type="pct"/>
                  <w:tcBorders>
                    <w:tl2br w:val="nil"/>
                    <w:tr2bl w:val="nil"/>
                  </w:tcBorders>
                  <w:noWrap w:val="0"/>
                  <w:vAlign w:val="center"/>
                </w:tcPr>
                <w:p w14:paraId="2D5784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rPr>
                  </w:pPr>
                  <w:r>
                    <w:rPr>
                      <w:rFonts w:hint="eastAsia" w:ascii="Times New Roman" w:hAnsi="Times New Roman" w:eastAsia="宋体" w:cs="Times New Roman"/>
                      <w:i w:val="0"/>
                      <w:iCs w:val="0"/>
                      <w:color w:val="auto"/>
                      <w:kern w:val="0"/>
                      <w:sz w:val="21"/>
                      <w:szCs w:val="21"/>
                      <w:u w:val="none"/>
                      <w:lang w:val="en-US" w:eastAsia="zh-CN"/>
                    </w:rPr>
                    <w:t>/</w:t>
                  </w:r>
                </w:p>
              </w:tc>
              <w:tc>
                <w:tcPr>
                  <w:tcW w:w="660" w:type="pct"/>
                  <w:tcBorders>
                    <w:tl2br w:val="nil"/>
                    <w:tr2bl w:val="nil"/>
                  </w:tcBorders>
                  <w:noWrap w:val="0"/>
                  <w:vAlign w:val="center"/>
                </w:tcPr>
                <w:p w14:paraId="2ABF43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w:t>
                  </w:r>
                </w:p>
              </w:tc>
            </w:tr>
            <w:tr w14:paraId="37D1A54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0" w:type="pct"/>
                  <w:tcBorders>
                    <w:tl2br w:val="nil"/>
                    <w:tr2bl w:val="nil"/>
                  </w:tcBorders>
                  <w:noWrap w:val="0"/>
                  <w:vAlign w:val="center"/>
                </w:tcPr>
                <w:p w14:paraId="4964CE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SA"/>
                    </w:rPr>
                    <w:t>4</w:t>
                  </w:r>
                </w:p>
              </w:tc>
              <w:tc>
                <w:tcPr>
                  <w:tcW w:w="2401" w:type="pct"/>
                  <w:tcBorders>
                    <w:tl2br w:val="nil"/>
                    <w:tr2bl w:val="nil"/>
                  </w:tcBorders>
                  <w:noWrap w:val="0"/>
                  <w:vAlign w:val="center"/>
                </w:tcPr>
                <w:p w14:paraId="35158A1E">
                  <w:pPr>
                    <w:keepNext w:val="0"/>
                    <w:keepLines w:val="0"/>
                    <w:pageBreakBefore w:val="0"/>
                    <w:kinsoku/>
                    <w:wordWrap/>
                    <w:overflowPunct/>
                    <w:topLinePunct w:val="0"/>
                    <w:autoSpaceDE/>
                    <w:autoSpaceDN/>
                    <w:bidi w:val="0"/>
                    <w:adjustRightInd w:val="0"/>
                    <w:snapToGrid w:val="0"/>
                    <w:spacing w:line="240" w:lineRule="auto"/>
                    <w:jc w:val="center"/>
                    <w:rPr>
                      <w:rFonts w:hint="default" w:cs="Times New Roman"/>
                      <w:sz w:val="21"/>
                      <w:szCs w:val="21"/>
                      <w:highlight w:val="none"/>
                      <w:lang w:val="en-US" w:eastAsia="zh-CN"/>
                    </w:rPr>
                  </w:pPr>
                  <w:r>
                    <w:rPr>
                      <w:rFonts w:hint="eastAsia" w:cs="Times New Roman"/>
                      <w:sz w:val="21"/>
                      <w:szCs w:val="21"/>
                      <w:highlight w:val="none"/>
                      <w:lang w:val="en-US" w:eastAsia="zh-CN"/>
                    </w:rPr>
                    <w:t>振动筛（筛选机）</w:t>
                  </w:r>
                </w:p>
              </w:tc>
              <w:tc>
                <w:tcPr>
                  <w:tcW w:w="1276" w:type="pct"/>
                  <w:tcBorders>
                    <w:tl2br w:val="nil"/>
                    <w:tr2bl w:val="nil"/>
                  </w:tcBorders>
                  <w:noWrap w:val="0"/>
                  <w:vAlign w:val="center"/>
                </w:tcPr>
                <w:p w14:paraId="4F2E8A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rPr>
                  </w:pPr>
                  <w:r>
                    <w:rPr>
                      <w:rFonts w:hint="eastAsia" w:ascii="Times New Roman" w:hAnsi="Times New Roman" w:eastAsia="宋体" w:cs="Times New Roman"/>
                      <w:i w:val="0"/>
                      <w:iCs w:val="0"/>
                      <w:color w:val="auto"/>
                      <w:kern w:val="0"/>
                      <w:sz w:val="21"/>
                      <w:szCs w:val="21"/>
                      <w:u w:val="none"/>
                      <w:lang w:val="en-US" w:eastAsia="zh-CN"/>
                    </w:rPr>
                    <w:t>/</w:t>
                  </w:r>
                </w:p>
              </w:tc>
              <w:tc>
                <w:tcPr>
                  <w:tcW w:w="660" w:type="pct"/>
                  <w:tcBorders>
                    <w:tl2br w:val="nil"/>
                    <w:tr2bl w:val="nil"/>
                  </w:tcBorders>
                  <w:noWrap w:val="0"/>
                  <w:vAlign w:val="center"/>
                </w:tcPr>
                <w:p w14:paraId="03DAAB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w:t>
                  </w:r>
                </w:p>
              </w:tc>
            </w:tr>
            <w:tr w14:paraId="135AD58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0" w:type="pct"/>
                  <w:tcBorders>
                    <w:tl2br w:val="nil"/>
                    <w:tr2bl w:val="nil"/>
                  </w:tcBorders>
                  <w:noWrap w:val="0"/>
                  <w:vAlign w:val="center"/>
                </w:tcPr>
                <w:p w14:paraId="7F24F3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SA"/>
                    </w:rPr>
                    <w:t>5</w:t>
                  </w:r>
                </w:p>
              </w:tc>
              <w:tc>
                <w:tcPr>
                  <w:tcW w:w="2401" w:type="pct"/>
                  <w:tcBorders>
                    <w:tl2br w:val="nil"/>
                    <w:tr2bl w:val="nil"/>
                  </w:tcBorders>
                  <w:noWrap w:val="0"/>
                  <w:vAlign w:val="center"/>
                </w:tcPr>
                <w:p w14:paraId="0B81E39E">
                  <w:pPr>
                    <w:keepNext w:val="0"/>
                    <w:keepLines w:val="0"/>
                    <w:pageBreakBefore w:val="0"/>
                    <w:kinsoku/>
                    <w:wordWrap/>
                    <w:overflowPunct/>
                    <w:topLinePunct w:val="0"/>
                    <w:autoSpaceDE/>
                    <w:autoSpaceDN/>
                    <w:bidi w:val="0"/>
                    <w:adjustRightInd w:val="0"/>
                    <w:snapToGrid w:val="0"/>
                    <w:spacing w:line="240" w:lineRule="auto"/>
                    <w:jc w:val="center"/>
                    <w:rPr>
                      <w:rFonts w:hint="default" w:cs="Times New Roman"/>
                      <w:sz w:val="21"/>
                      <w:szCs w:val="21"/>
                      <w:highlight w:val="none"/>
                      <w:lang w:val="en-US" w:eastAsia="zh-CN"/>
                    </w:rPr>
                  </w:pPr>
                  <w:r>
                    <w:rPr>
                      <w:rFonts w:hint="eastAsia" w:cs="Times New Roman"/>
                      <w:sz w:val="21"/>
                      <w:szCs w:val="21"/>
                      <w:highlight w:val="none"/>
                      <w:lang w:val="en-US" w:eastAsia="zh-CN"/>
                    </w:rPr>
                    <w:t>高效双轴搅拌机</w:t>
                  </w:r>
                </w:p>
              </w:tc>
              <w:tc>
                <w:tcPr>
                  <w:tcW w:w="1276" w:type="pct"/>
                  <w:tcBorders>
                    <w:tl2br w:val="nil"/>
                    <w:tr2bl w:val="nil"/>
                  </w:tcBorders>
                  <w:noWrap w:val="0"/>
                  <w:vAlign w:val="center"/>
                </w:tcPr>
                <w:p w14:paraId="75D2E0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rPr>
                  </w:pPr>
                  <w:r>
                    <w:rPr>
                      <w:rFonts w:hint="eastAsia" w:ascii="Times New Roman" w:hAnsi="Times New Roman" w:eastAsia="宋体" w:cs="Times New Roman"/>
                      <w:i w:val="0"/>
                      <w:iCs w:val="0"/>
                      <w:color w:val="auto"/>
                      <w:kern w:val="0"/>
                      <w:sz w:val="21"/>
                      <w:szCs w:val="21"/>
                      <w:u w:val="none"/>
                      <w:lang w:val="en-US" w:eastAsia="zh-CN"/>
                    </w:rPr>
                    <w:t>/</w:t>
                  </w:r>
                </w:p>
              </w:tc>
              <w:tc>
                <w:tcPr>
                  <w:tcW w:w="660" w:type="pct"/>
                  <w:tcBorders>
                    <w:tl2br w:val="nil"/>
                    <w:tr2bl w:val="nil"/>
                  </w:tcBorders>
                  <w:noWrap w:val="0"/>
                  <w:vAlign w:val="center"/>
                </w:tcPr>
                <w:p w14:paraId="264D17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w:t>
                  </w:r>
                </w:p>
              </w:tc>
            </w:tr>
            <w:tr w14:paraId="1DCA45E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660" w:type="pct"/>
                  <w:tcBorders>
                    <w:tl2br w:val="nil"/>
                    <w:tr2bl w:val="nil"/>
                  </w:tcBorders>
                  <w:noWrap w:val="0"/>
                  <w:vAlign w:val="center"/>
                </w:tcPr>
                <w:p w14:paraId="3D5EFE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6</w:t>
                  </w:r>
                </w:p>
              </w:tc>
              <w:tc>
                <w:tcPr>
                  <w:tcW w:w="2401" w:type="pct"/>
                  <w:tcBorders>
                    <w:tl2br w:val="nil"/>
                    <w:tr2bl w:val="nil"/>
                  </w:tcBorders>
                  <w:noWrap w:val="0"/>
                  <w:vAlign w:val="center"/>
                </w:tcPr>
                <w:p w14:paraId="2A48CAD0">
                  <w:pPr>
                    <w:keepNext w:val="0"/>
                    <w:keepLines w:val="0"/>
                    <w:pageBreakBefore w:val="0"/>
                    <w:kinsoku/>
                    <w:wordWrap/>
                    <w:overflowPunct/>
                    <w:topLinePunct w:val="0"/>
                    <w:autoSpaceDE/>
                    <w:autoSpaceDN/>
                    <w:bidi w:val="0"/>
                    <w:adjustRightInd w:val="0"/>
                    <w:snapToGrid w:val="0"/>
                    <w:spacing w:line="240" w:lineRule="auto"/>
                    <w:jc w:val="center"/>
                    <w:rPr>
                      <w:rFonts w:hint="default" w:cs="Times New Roman"/>
                      <w:sz w:val="21"/>
                      <w:szCs w:val="21"/>
                      <w:highlight w:val="none"/>
                      <w:lang w:val="en-US" w:eastAsia="zh-CN"/>
                    </w:rPr>
                  </w:pPr>
                  <w:r>
                    <w:rPr>
                      <w:rFonts w:hint="eastAsia" w:cs="Times New Roman"/>
                      <w:sz w:val="21"/>
                      <w:szCs w:val="21"/>
                      <w:highlight w:val="none"/>
                      <w:lang w:val="en-US" w:eastAsia="zh-CN"/>
                    </w:rPr>
                    <w:t>自动化包装机</w:t>
                  </w:r>
                </w:p>
              </w:tc>
              <w:tc>
                <w:tcPr>
                  <w:tcW w:w="1276" w:type="pct"/>
                  <w:tcBorders>
                    <w:tl2br w:val="nil"/>
                    <w:tr2bl w:val="nil"/>
                  </w:tcBorders>
                  <w:noWrap w:val="0"/>
                  <w:vAlign w:val="center"/>
                </w:tcPr>
                <w:p w14:paraId="5F4BB0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rPr>
                  </w:pPr>
                  <w:r>
                    <w:rPr>
                      <w:rFonts w:hint="eastAsia" w:ascii="Times New Roman" w:hAnsi="Times New Roman" w:eastAsia="宋体" w:cs="Times New Roman"/>
                      <w:i w:val="0"/>
                      <w:iCs w:val="0"/>
                      <w:color w:val="auto"/>
                      <w:kern w:val="0"/>
                      <w:sz w:val="21"/>
                      <w:szCs w:val="21"/>
                      <w:u w:val="none"/>
                      <w:lang w:val="en-US" w:eastAsia="zh-CN"/>
                    </w:rPr>
                    <w:t>/</w:t>
                  </w:r>
                </w:p>
              </w:tc>
              <w:tc>
                <w:tcPr>
                  <w:tcW w:w="660" w:type="pct"/>
                  <w:tcBorders>
                    <w:tl2br w:val="nil"/>
                    <w:tr2bl w:val="nil"/>
                  </w:tcBorders>
                  <w:noWrap w:val="0"/>
                  <w:vAlign w:val="center"/>
                </w:tcPr>
                <w:p w14:paraId="34E872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3</w:t>
                  </w:r>
                </w:p>
              </w:tc>
            </w:tr>
            <w:tr w14:paraId="70A9C66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0" w:type="pct"/>
                  <w:tcBorders>
                    <w:tl2br w:val="nil"/>
                    <w:tr2bl w:val="nil"/>
                  </w:tcBorders>
                  <w:noWrap w:val="0"/>
                  <w:vAlign w:val="center"/>
                </w:tcPr>
                <w:p w14:paraId="710497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SA"/>
                    </w:rPr>
                    <w:t>7</w:t>
                  </w:r>
                </w:p>
              </w:tc>
              <w:tc>
                <w:tcPr>
                  <w:tcW w:w="2401" w:type="pct"/>
                  <w:tcBorders>
                    <w:tl2br w:val="nil"/>
                    <w:tr2bl w:val="nil"/>
                  </w:tcBorders>
                  <w:noWrap w:val="0"/>
                  <w:vAlign w:val="center"/>
                </w:tcPr>
                <w:p w14:paraId="525E8237">
                  <w:pPr>
                    <w:keepNext w:val="0"/>
                    <w:keepLines w:val="0"/>
                    <w:pageBreakBefore w:val="0"/>
                    <w:kinsoku/>
                    <w:wordWrap/>
                    <w:overflowPunct/>
                    <w:topLinePunct w:val="0"/>
                    <w:autoSpaceDE/>
                    <w:autoSpaceDN/>
                    <w:bidi w:val="0"/>
                    <w:adjustRightInd w:val="0"/>
                    <w:snapToGrid w:val="0"/>
                    <w:spacing w:line="240" w:lineRule="auto"/>
                    <w:jc w:val="center"/>
                    <w:rPr>
                      <w:rFonts w:hint="default" w:cs="Times New Roman"/>
                      <w:sz w:val="21"/>
                      <w:szCs w:val="21"/>
                      <w:highlight w:val="none"/>
                      <w:lang w:val="en-US" w:eastAsia="zh-CN"/>
                    </w:rPr>
                  </w:pPr>
                  <w:r>
                    <w:rPr>
                      <w:rFonts w:hint="eastAsia" w:cs="Times New Roman"/>
                      <w:sz w:val="21"/>
                      <w:szCs w:val="21"/>
                      <w:highlight w:val="none"/>
                      <w:lang w:val="en-US" w:eastAsia="zh-CN"/>
                    </w:rPr>
                    <w:t>螺旋输送机</w:t>
                  </w:r>
                </w:p>
              </w:tc>
              <w:tc>
                <w:tcPr>
                  <w:tcW w:w="1276" w:type="pct"/>
                  <w:tcBorders>
                    <w:tl2br w:val="nil"/>
                    <w:tr2bl w:val="nil"/>
                  </w:tcBorders>
                  <w:noWrap w:val="0"/>
                  <w:vAlign w:val="center"/>
                </w:tcPr>
                <w:p w14:paraId="651388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rPr>
                  </w:pPr>
                  <w:r>
                    <w:rPr>
                      <w:rFonts w:hint="eastAsia" w:ascii="Times New Roman" w:hAnsi="Times New Roman" w:eastAsia="宋体" w:cs="Times New Roman"/>
                      <w:i w:val="0"/>
                      <w:iCs w:val="0"/>
                      <w:color w:val="auto"/>
                      <w:kern w:val="0"/>
                      <w:sz w:val="21"/>
                      <w:szCs w:val="21"/>
                      <w:u w:val="none"/>
                      <w:lang w:val="en-US" w:eastAsia="zh-CN"/>
                    </w:rPr>
                    <w:t>/</w:t>
                  </w:r>
                </w:p>
              </w:tc>
              <w:tc>
                <w:tcPr>
                  <w:tcW w:w="660" w:type="pct"/>
                  <w:tcBorders>
                    <w:tl2br w:val="nil"/>
                    <w:tr2bl w:val="nil"/>
                  </w:tcBorders>
                  <w:noWrap w:val="0"/>
                  <w:vAlign w:val="center"/>
                </w:tcPr>
                <w:p w14:paraId="489C57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w:t>
                  </w:r>
                </w:p>
              </w:tc>
            </w:tr>
            <w:tr w14:paraId="1C77F8F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0" w:type="pct"/>
                  <w:tcBorders>
                    <w:tl2br w:val="nil"/>
                    <w:tr2bl w:val="nil"/>
                  </w:tcBorders>
                  <w:noWrap w:val="0"/>
                  <w:vAlign w:val="center"/>
                </w:tcPr>
                <w:p w14:paraId="677F28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Calibri" w:hAnsi="Calibri" w:eastAsia="宋体" w:cs="Times New Roman"/>
                      <w:i w:val="0"/>
                      <w:iCs w:val="0"/>
                      <w:color w:val="000000"/>
                      <w:kern w:val="0"/>
                      <w:sz w:val="21"/>
                      <w:szCs w:val="21"/>
                      <w:u w:val="none"/>
                      <w:lang w:val="en-US" w:eastAsia="zh-CN" w:bidi="ar-SA"/>
                    </w:rPr>
                  </w:pPr>
                  <w:r>
                    <w:rPr>
                      <w:rFonts w:hint="eastAsia" w:ascii="Calibri" w:hAnsi="Calibri" w:eastAsia="宋体" w:cs="Times New Roman"/>
                      <w:i w:val="0"/>
                      <w:iCs w:val="0"/>
                      <w:color w:val="000000"/>
                      <w:kern w:val="0"/>
                      <w:sz w:val="21"/>
                      <w:szCs w:val="21"/>
                      <w:u w:val="none"/>
                      <w:lang w:val="en-US" w:eastAsia="zh-CN" w:bidi="ar-SA"/>
                    </w:rPr>
                    <w:t>8</w:t>
                  </w:r>
                </w:p>
              </w:tc>
              <w:tc>
                <w:tcPr>
                  <w:tcW w:w="2401" w:type="pct"/>
                  <w:tcBorders>
                    <w:tl2br w:val="nil"/>
                    <w:tr2bl w:val="nil"/>
                  </w:tcBorders>
                  <w:noWrap w:val="0"/>
                  <w:vAlign w:val="center"/>
                </w:tcPr>
                <w:p w14:paraId="422EC350">
                  <w:pPr>
                    <w:keepNext w:val="0"/>
                    <w:keepLines w:val="0"/>
                    <w:pageBreakBefore w:val="0"/>
                    <w:kinsoku/>
                    <w:wordWrap/>
                    <w:overflowPunct/>
                    <w:topLinePunct w:val="0"/>
                    <w:autoSpaceDE/>
                    <w:autoSpaceDN/>
                    <w:bidi w:val="0"/>
                    <w:adjustRightInd w:val="0"/>
                    <w:snapToGrid w:val="0"/>
                    <w:spacing w:line="240" w:lineRule="auto"/>
                    <w:jc w:val="center"/>
                    <w:rPr>
                      <w:rFonts w:hint="default" w:cs="Times New Roman"/>
                      <w:sz w:val="21"/>
                      <w:szCs w:val="21"/>
                      <w:highlight w:val="none"/>
                      <w:lang w:val="en-US" w:eastAsia="zh-CN"/>
                    </w:rPr>
                  </w:pPr>
                  <w:r>
                    <w:rPr>
                      <w:rFonts w:hint="eastAsia" w:cs="Times New Roman"/>
                      <w:sz w:val="21"/>
                      <w:szCs w:val="21"/>
                      <w:highlight w:val="none"/>
                      <w:lang w:val="en-US" w:eastAsia="zh-CN"/>
                    </w:rPr>
                    <w:t>斗式提升机</w:t>
                  </w:r>
                </w:p>
              </w:tc>
              <w:tc>
                <w:tcPr>
                  <w:tcW w:w="1276" w:type="pct"/>
                  <w:tcBorders>
                    <w:tl2br w:val="nil"/>
                    <w:tr2bl w:val="nil"/>
                  </w:tcBorders>
                  <w:noWrap w:val="0"/>
                  <w:vAlign w:val="center"/>
                </w:tcPr>
                <w:p w14:paraId="20F640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rPr>
                  </w:pPr>
                  <w:r>
                    <w:rPr>
                      <w:rFonts w:hint="eastAsia" w:ascii="Times New Roman" w:hAnsi="Times New Roman" w:eastAsia="宋体" w:cs="Times New Roman"/>
                      <w:i w:val="0"/>
                      <w:iCs w:val="0"/>
                      <w:color w:val="auto"/>
                      <w:kern w:val="0"/>
                      <w:sz w:val="21"/>
                      <w:szCs w:val="21"/>
                      <w:u w:val="none"/>
                      <w:lang w:val="en-US" w:eastAsia="zh-CN"/>
                    </w:rPr>
                    <w:t>/</w:t>
                  </w:r>
                </w:p>
              </w:tc>
              <w:tc>
                <w:tcPr>
                  <w:tcW w:w="660" w:type="pct"/>
                  <w:tcBorders>
                    <w:tl2br w:val="nil"/>
                    <w:tr2bl w:val="nil"/>
                  </w:tcBorders>
                  <w:noWrap w:val="0"/>
                  <w:vAlign w:val="center"/>
                </w:tcPr>
                <w:p w14:paraId="691ECBA8">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kern w:val="2"/>
                      <w:sz w:val="21"/>
                      <w:szCs w:val="21"/>
                      <w:highlight w:val="none"/>
                      <w:lang w:val="en-US" w:eastAsia="zh-CN"/>
                    </w:rPr>
                  </w:pPr>
                  <w:r>
                    <w:rPr>
                      <w:rFonts w:hint="eastAsia" w:ascii="Times New Roman" w:hAnsi="Times New Roman" w:eastAsia="宋体" w:cs="Times New Roman"/>
                      <w:i w:val="0"/>
                      <w:iCs w:val="0"/>
                      <w:color w:val="auto"/>
                      <w:sz w:val="21"/>
                      <w:szCs w:val="21"/>
                      <w:u w:val="none"/>
                      <w:lang w:val="en-US" w:eastAsia="zh-CN"/>
                    </w:rPr>
                    <w:t>1</w:t>
                  </w:r>
                </w:p>
              </w:tc>
            </w:tr>
            <w:tr w14:paraId="3122C24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0" w:type="pct"/>
                  <w:tcBorders>
                    <w:tl2br w:val="nil"/>
                    <w:tr2bl w:val="nil"/>
                  </w:tcBorders>
                  <w:noWrap w:val="0"/>
                  <w:vAlign w:val="center"/>
                </w:tcPr>
                <w:p w14:paraId="4BF346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i w:val="0"/>
                      <w:iCs w:val="0"/>
                      <w:color w:val="000000"/>
                      <w:kern w:val="0"/>
                      <w:sz w:val="21"/>
                      <w:szCs w:val="21"/>
                      <w:u w:val="none"/>
                      <w:lang w:val="en-US" w:eastAsia="zh-CN"/>
                    </w:rPr>
                  </w:pPr>
                  <w:r>
                    <w:rPr>
                      <w:rFonts w:hint="eastAsia" w:cs="Times New Roman"/>
                      <w:i w:val="0"/>
                      <w:iCs w:val="0"/>
                      <w:color w:val="000000"/>
                      <w:kern w:val="0"/>
                      <w:sz w:val="21"/>
                      <w:szCs w:val="21"/>
                      <w:u w:val="none"/>
                      <w:lang w:val="en-US" w:eastAsia="zh-CN"/>
                    </w:rPr>
                    <w:t>9</w:t>
                  </w:r>
                </w:p>
              </w:tc>
              <w:tc>
                <w:tcPr>
                  <w:tcW w:w="2401" w:type="pct"/>
                  <w:tcBorders>
                    <w:tl2br w:val="nil"/>
                    <w:tr2bl w:val="nil"/>
                  </w:tcBorders>
                  <w:noWrap w:val="0"/>
                  <w:vAlign w:val="center"/>
                </w:tcPr>
                <w:p w14:paraId="79DB97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i w:val="0"/>
                      <w:iCs w:val="0"/>
                      <w:color w:val="auto"/>
                      <w:kern w:val="0"/>
                      <w:sz w:val="21"/>
                      <w:szCs w:val="21"/>
                      <w:u w:val="none"/>
                      <w:lang w:val="en-US" w:eastAsia="zh-CN"/>
                    </w:rPr>
                  </w:pPr>
                  <w:r>
                    <w:rPr>
                      <w:rFonts w:hint="eastAsia" w:cs="Times New Roman"/>
                      <w:i w:val="0"/>
                      <w:iCs w:val="0"/>
                      <w:color w:val="auto"/>
                      <w:kern w:val="0"/>
                      <w:sz w:val="21"/>
                      <w:szCs w:val="21"/>
                      <w:u w:val="none"/>
                      <w:lang w:val="en-US" w:eastAsia="zh-CN"/>
                    </w:rPr>
                    <w:t>装载机</w:t>
                  </w:r>
                </w:p>
              </w:tc>
              <w:tc>
                <w:tcPr>
                  <w:tcW w:w="1276" w:type="pct"/>
                  <w:tcBorders>
                    <w:tl2br w:val="nil"/>
                    <w:tr2bl w:val="nil"/>
                  </w:tcBorders>
                  <w:noWrap w:val="0"/>
                  <w:vAlign w:val="center"/>
                </w:tcPr>
                <w:p w14:paraId="666621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rPr>
                  </w:pPr>
                  <w:r>
                    <w:rPr>
                      <w:rFonts w:hint="eastAsia" w:ascii="Times New Roman" w:hAnsi="Times New Roman" w:eastAsia="宋体" w:cs="Times New Roman"/>
                      <w:i w:val="0"/>
                      <w:iCs w:val="0"/>
                      <w:color w:val="auto"/>
                      <w:kern w:val="0"/>
                      <w:sz w:val="21"/>
                      <w:szCs w:val="21"/>
                      <w:u w:val="none"/>
                      <w:lang w:val="en-US" w:eastAsia="zh-CN"/>
                    </w:rPr>
                    <w:t>50型</w:t>
                  </w:r>
                </w:p>
              </w:tc>
              <w:tc>
                <w:tcPr>
                  <w:tcW w:w="660" w:type="pct"/>
                  <w:tcBorders>
                    <w:tl2br w:val="nil"/>
                    <w:tr2bl w:val="nil"/>
                  </w:tcBorders>
                  <w:noWrap w:val="0"/>
                  <w:vAlign w:val="center"/>
                </w:tcPr>
                <w:p w14:paraId="004AC0F3">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w:t>
                  </w:r>
                </w:p>
              </w:tc>
            </w:tr>
            <w:tr w14:paraId="3B1CD25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0" w:type="pct"/>
                  <w:tcBorders>
                    <w:tl2br w:val="nil"/>
                    <w:tr2bl w:val="nil"/>
                  </w:tcBorders>
                  <w:noWrap w:val="0"/>
                  <w:vAlign w:val="center"/>
                </w:tcPr>
                <w:p w14:paraId="5A8C6D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i w:val="0"/>
                      <w:iCs w:val="0"/>
                      <w:color w:val="000000"/>
                      <w:kern w:val="0"/>
                      <w:sz w:val="21"/>
                      <w:szCs w:val="21"/>
                      <w:u w:val="none"/>
                      <w:lang w:val="en-US" w:eastAsia="zh-CN"/>
                    </w:rPr>
                  </w:pPr>
                  <w:r>
                    <w:rPr>
                      <w:rFonts w:hint="eastAsia" w:cs="Times New Roman"/>
                      <w:i w:val="0"/>
                      <w:iCs w:val="0"/>
                      <w:color w:val="000000"/>
                      <w:kern w:val="0"/>
                      <w:sz w:val="21"/>
                      <w:szCs w:val="21"/>
                      <w:u w:val="none"/>
                      <w:lang w:val="en-US" w:eastAsia="zh-CN"/>
                    </w:rPr>
                    <w:t>10</w:t>
                  </w:r>
                </w:p>
              </w:tc>
              <w:tc>
                <w:tcPr>
                  <w:tcW w:w="2401" w:type="pct"/>
                  <w:tcBorders>
                    <w:tl2br w:val="nil"/>
                    <w:tr2bl w:val="nil"/>
                  </w:tcBorders>
                  <w:noWrap w:val="0"/>
                  <w:vAlign w:val="center"/>
                </w:tcPr>
                <w:p w14:paraId="208821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i w:val="0"/>
                      <w:iCs w:val="0"/>
                      <w:color w:val="auto"/>
                      <w:kern w:val="0"/>
                      <w:sz w:val="21"/>
                      <w:szCs w:val="21"/>
                      <w:u w:val="none"/>
                      <w:lang w:val="en-US" w:eastAsia="zh-CN"/>
                    </w:rPr>
                  </w:pPr>
                  <w:r>
                    <w:rPr>
                      <w:rFonts w:hint="eastAsia" w:cs="Times New Roman"/>
                      <w:i w:val="0"/>
                      <w:iCs w:val="0"/>
                      <w:color w:val="auto"/>
                      <w:kern w:val="0"/>
                      <w:sz w:val="21"/>
                      <w:szCs w:val="21"/>
                      <w:u w:val="none"/>
                      <w:lang w:val="en-US" w:eastAsia="zh-CN"/>
                    </w:rPr>
                    <w:t>叉</w:t>
                  </w:r>
                  <w:r>
                    <w:rPr>
                      <w:rFonts w:hint="default" w:cs="Times New Roman"/>
                      <w:i w:val="0"/>
                      <w:iCs w:val="0"/>
                      <w:color w:val="auto"/>
                      <w:kern w:val="0"/>
                      <w:sz w:val="21"/>
                      <w:szCs w:val="21"/>
                      <w:u w:val="none"/>
                      <w:lang w:val="en-US" w:eastAsia="zh-CN"/>
                    </w:rPr>
                    <w:t>车</w:t>
                  </w:r>
                </w:p>
              </w:tc>
              <w:tc>
                <w:tcPr>
                  <w:tcW w:w="1276" w:type="pct"/>
                  <w:tcBorders>
                    <w:tl2br w:val="nil"/>
                    <w:tr2bl w:val="nil"/>
                  </w:tcBorders>
                  <w:noWrap w:val="0"/>
                  <w:vAlign w:val="center"/>
                </w:tcPr>
                <w:p w14:paraId="43EE56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rPr>
                  </w:pPr>
                  <w:r>
                    <w:rPr>
                      <w:rFonts w:hint="eastAsia" w:ascii="Times New Roman" w:hAnsi="Times New Roman" w:eastAsia="宋体" w:cs="Times New Roman"/>
                      <w:i w:val="0"/>
                      <w:iCs w:val="0"/>
                      <w:color w:val="auto"/>
                      <w:kern w:val="0"/>
                      <w:sz w:val="21"/>
                      <w:szCs w:val="21"/>
                      <w:u w:val="none"/>
                      <w:lang w:val="en-US" w:eastAsia="zh-CN"/>
                    </w:rPr>
                    <w:t>H3C型</w:t>
                  </w:r>
                </w:p>
              </w:tc>
              <w:tc>
                <w:tcPr>
                  <w:tcW w:w="660" w:type="pct"/>
                  <w:tcBorders>
                    <w:tl2br w:val="nil"/>
                    <w:tr2bl w:val="nil"/>
                  </w:tcBorders>
                  <w:noWrap w:val="0"/>
                  <w:vAlign w:val="center"/>
                </w:tcPr>
                <w:p w14:paraId="6D2C52DC">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w:t>
                  </w:r>
                </w:p>
              </w:tc>
            </w:tr>
            <w:tr w14:paraId="559C3DC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0" w:type="pct"/>
                  <w:tcBorders>
                    <w:tl2br w:val="nil"/>
                    <w:tr2bl w:val="nil"/>
                  </w:tcBorders>
                  <w:noWrap w:val="0"/>
                  <w:vAlign w:val="center"/>
                </w:tcPr>
                <w:p w14:paraId="6A5E5F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i w:val="0"/>
                      <w:iCs w:val="0"/>
                      <w:color w:val="000000"/>
                      <w:kern w:val="0"/>
                      <w:sz w:val="21"/>
                      <w:szCs w:val="21"/>
                      <w:u w:val="none"/>
                      <w:lang w:val="en-US" w:eastAsia="zh-CN"/>
                    </w:rPr>
                  </w:pPr>
                  <w:r>
                    <w:rPr>
                      <w:rFonts w:hint="eastAsia" w:cs="Times New Roman"/>
                      <w:i w:val="0"/>
                      <w:iCs w:val="0"/>
                      <w:color w:val="000000"/>
                      <w:kern w:val="0"/>
                      <w:sz w:val="21"/>
                      <w:szCs w:val="21"/>
                      <w:u w:val="none"/>
                      <w:lang w:val="en-US" w:eastAsia="zh-CN"/>
                    </w:rPr>
                    <w:t>11</w:t>
                  </w:r>
                </w:p>
              </w:tc>
              <w:tc>
                <w:tcPr>
                  <w:tcW w:w="2401" w:type="pct"/>
                  <w:tcBorders>
                    <w:tl2br w:val="nil"/>
                    <w:tr2bl w:val="nil"/>
                  </w:tcBorders>
                  <w:noWrap w:val="0"/>
                  <w:vAlign w:val="center"/>
                </w:tcPr>
                <w:p w14:paraId="73081B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i w:val="0"/>
                      <w:iCs w:val="0"/>
                      <w:color w:val="auto"/>
                      <w:kern w:val="0"/>
                      <w:sz w:val="21"/>
                      <w:szCs w:val="21"/>
                      <w:u w:val="none"/>
                      <w:lang w:val="en-US" w:eastAsia="zh-CN"/>
                    </w:rPr>
                  </w:pPr>
                  <w:r>
                    <w:rPr>
                      <w:rFonts w:hint="eastAsia" w:cs="Times New Roman"/>
                      <w:i w:val="0"/>
                      <w:iCs w:val="0"/>
                      <w:color w:val="auto"/>
                      <w:kern w:val="0"/>
                      <w:sz w:val="21"/>
                      <w:szCs w:val="21"/>
                      <w:u w:val="none"/>
                      <w:lang w:val="en-US" w:eastAsia="zh-CN"/>
                    </w:rPr>
                    <w:t>空压机</w:t>
                  </w:r>
                </w:p>
              </w:tc>
              <w:tc>
                <w:tcPr>
                  <w:tcW w:w="1276" w:type="pct"/>
                  <w:tcBorders>
                    <w:tl2br w:val="nil"/>
                    <w:tr2bl w:val="nil"/>
                  </w:tcBorders>
                  <w:noWrap w:val="0"/>
                  <w:vAlign w:val="center"/>
                </w:tcPr>
                <w:p w14:paraId="7BFF6A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rPr>
                    <w:t>/</w:t>
                  </w:r>
                </w:p>
              </w:tc>
              <w:tc>
                <w:tcPr>
                  <w:tcW w:w="660" w:type="pct"/>
                  <w:tcBorders>
                    <w:tl2br w:val="nil"/>
                    <w:tr2bl w:val="nil"/>
                  </w:tcBorders>
                  <w:noWrap w:val="0"/>
                  <w:vAlign w:val="center"/>
                </w:tcPr>
                <w:p w14:paraId="0EFE904B">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w:t>
                  </w:r>
                </w:p>
              </w:tc>
            </w:tr>
          </w:tbl>
          <w:p w14:paraId="1874CB0A">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color w:val="000000"/>
                <w:sz w:val="24"/>
                <w:highlight w:val="none"/>
              </w:rPr>
            </w:pPr>
            <w:r>
              <w:rPr>
                <w:rFonts w:hint="eastAsia" w:ascii="Times New Roman" w:hAnsi="Times New Roman" w:eastAsia="宋体" w:cs="Times New Roman"/>
                <w:b/>
                <w:bCs/>
                <w:color w:val="000000"/>
                <w:sz w:val="24"/>
                <w:highlight w:val="none"/>
                <w:lang w:val="en-US" w:eastAsia="zh-CN"/>
              </w:rPr>
              <w:t>4</w:t>
            </w:r>
            <w:r>
              <w:rPr>
                <w:rFonts w:ascii="Times New Roman" w:hAnsi="Times New Roman" w:eastAsia="宋体" w:cs="Times New Roman"/>
                <w:b/>
                <w:bCs/>
                <w:color w:val="000000"/>
                <w:sz w:val="24"/>
                <w:highlight w:val="none"/>
              </w:rPr>
              <w:t>、主要原辅材料</w:t>
            </w:r>
          </w:p>
          <w:p w14:paraId="769763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项目原（辅）料、动力用量见表</w:t>
            </w:r>
            <w:r>
              <w:rPr>
                <w:rFonts w:hint="eastAsia" w:ascii="Times New Roman" w:hAnsi="Times New Roman" w:eastAsia="宋体" w:cs="Times New Roman"/>
                <w:color w:val="000000"/>
                <w:sz w:val="24"/>
                <w:highlight w:val="none"/>
                <w:lang w:val="en-US" w:eastAsia="zh-CN"/>
              </w:rPr>
              <w:t>2-4</w:t>
            </w:r>
            <w:r>
              <w:rPr>
                <w:rFonts w:ascii="Times New Roman" w:hAnsi="Times New Roman" w:eastAsia="宋体" w:cs="Times New Roman"/>
                <w:color w:val="000000"/>
                <w:sz w:val="24"/>
                <w:highlight w:val="none"/>
              </w:rPr>
              <w:t>及</w:t>
            </w:r>
            <w:r>
              <w:rPr>
                <w:rFonts w:hint="eastAsia" w:ascii="Times New Roman" w:hAnsi="Times New Roman" w:eastAsia="宋体" w:cs="Times New Roman"/>
                <w:color w:val="000000"/>
                <w:sz w:val="24"/>
                <w:highlight w:val="none"/>
                <w:lang w:val="en-US" w:eastAsia="zh-CN"/>
              </w:rPr>
              <w:t>2-5</w:t>
            </w:r>
            <w:r>
              <w:rPr>
                <w:rFonts w:ascii="Times New Roman" w:hAnsi="Times New Roman" w:eastAsia="宋体" w:cs="Times New Roman"/>
                <w:color w:val="000000"/>
                <w:sz w:val="24"/>
                <w:highlight w:val="none"/>
              </w:rPr>
              <w:t>。</w:t>
            </w:r>
          </w:p>
          <w:p w14:paraId="1CB01C0D">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ascii="Times New Roman" w:hAnsi="Times New Roman" w:eastAsia="宋体" w:cs="Times New Roman"/>
                <w:b/>
                <w:bCs/>
                <w:color w:val="000000"/>
                <w:sz w:val="24"/>
                <w:highlight w:val="none"/>
              </w:rPr>
            </w:pPr>
            <w:r>
              <w:rPr>
                <w:rFonts w:ascii="Times New Roman" w:hAnsi="Times New Roman" w:eastAsia="宋体" w:cs="Times New Roman"/>
                <w:b/>
                <w:bCs/>
                <w:color w:val="000000"/>
                <w:sz w:val="24"/>
                <w:highlight w:val="none"/>
              </w:rPr>
              <w:t>表2</w:t>
            </w:r>
            <w:r>
              <w:rPr>
                <w:rFonts w:hint="eastAsia" w:ascii="Times New Roman" w:hAnsi="Times New Roman" w:eastAsia="宋体" w:cs="Times New Roman"/>
                <w:b/>
                <w:bCs/>
                <w:color w:val="000000"/>
                <w:sz w:val="24"/>
                <w:highlight w:val="none"/>
                <w:lang w:val="en-US" w:eastAsia="zh-CN"/>
              </w:rPr>
              <w:t xml:space="preserve">-4   </w:t>
            </w:r>
            <w:r>
              <w:rPr>
                <w:rFonts w:ascii="Times New Roman" w:hAnsi="Times New Roman" w:eastAsia="宋体" w:cs="Times New Roman"/>
                <w:b/>
                <w:bCs/>
                <w:color w:val="000000"/>
                <w:sz w:val="24"/>
                <w:highlight w:val="none"/>
              </w:rPr>
              <w:t>原（辅）料用量一览表</w:t>
            </w:r>
          </w:p>
          <w:tbl>
            <w:tblPr>
              <w:tblStyle w:val="50"/>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913"/>
              <w:gridCol w:w="2737"/>
              <w:gridCol w:w="1946"/>
              <w:gridCol w:w="1831"/>
              <w:gridCol w:w="916"/>
            </w:tblGrid>
            <w:tr w14:paraId="0831236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0" w:hRule="atLeast"/>
              </w:trPr>
              <w:tc>
                <w:tcPr>
                  <w:tcW w:w="547" w:type="pct"/>
                  <w:tcBorders>
                    <w:tl2br w:val="nil"/>
                    <w:tr2bl w:val="nil"/>
                  </w:tcBorders>
                  <w:noWrap w:val="0"/>
                  <w:vAlign w:val="center"/>
                </w:tcPr>
                <w:p w14:paraId="47C25C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序号</w:t>
                  </w:r>
                </w:p>
              </w:tc>
              <w:tc>
                <w:tcPr>
                  <w:tcW w:w="1640" w:type="pct"/>
                  <w:tcBorders>
                    <w:tl2br w:val="nil"/>
                    <w:tr2bl w:val="nil"/>
                  </w:tcBorders>
                  <w:noWrap w:val="0"/>
                  <w:vAlign w:val="center"/>
                </w:tcPr>
                <w:p w14:paraId="67EC68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原辅材料名称</w:t>
                  </w:r>
                </w:p>
              </w:tc>
              <w:tc>
                <w:tcPr>
                  <w:tcW w:w="1166" w:type="pct"/>
                  <w:tcBorders>
                    <w:tl2br w:val="nil"/>
                    <w:tr2bl w:val="nil"/>
                  </w:tcBorders>
                  <w:noWrap w:val="0"/>
                  <w:vAlign w:val="center"/>
                </w:tcPr>
                <w:p w14:paraId="173268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年用量t/a</w:t>
                  </w:r>
                </w:p>
              </w:tc>
              <w:tc>
                <w:tcPr>
                  <w:tcW w:w="1097" w:type="pct"/>
                  <w:tcBorders>
                    <w:tl2br w:val="nil"/>
                    <w:tr2bl w:val="nil"/>
                  </w:tcBorders>
                  <w:noWrap w:val="0"/>
                  <w:vAlign w:val="center"/>
                </w:tcPr>
                <w:p w14:paraId="514E46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存储地点</w:t>
                  </w:r>
                </w:p>
              </w:tc>
              <w:tc>
                <w:tcPr>
                  <w:tcW w:w="548" w:type="pct"/>
                  <w:tcBorders>
                    <w:tl2br w:val="nil"/>
                    <w:tr2bl w:val="nil"/>
                  </w:tcBorders>
                  <w:noWrap w:val="0"/>
                  <w:vAlign w:val="center"/>
                </w:tcPr>
                <w:p w14:paraId="009256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备注</w:t>
                  </w:r>
                </w:p>
              </w:tc>
            </w:tr>
            <w:tr w14:paraId="0D4A79C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47" w:type="pct"/>
                  <w:tcBorders>
                    <w:tl2br w:val="nil"/>
                    <w:tr2bl w:val="nil"/>
                  </w:tcBorders>
                  <w:noWrap w:val="0"/>
                  <w:vAlign w:val="center"/>
                </w:tcPr>
                <w:p w14:paraId="409F0B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1</w:t>
                  </w:r>
                </w:p>
              </w:tc>
              <w:tc>
                <w:tcPr>
                  <w:tcW w:w="1640" w:type="pct"/>
                  <w:tcBorders>
                    <w:tl2br w:val="nil"/>
                    <w:tr2bl w:val="nil"/>
                  </w:tcBorders>
                  <w:noWrap w:val="0"/>
                  <w:vAlign w:val="center"/>
                </w:tcPr>
                <w:p w14:paraId="65939D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eastAsia="zh-CN"/>
                    </w:rPr>
                    <w:t>石灰石</w:t>
                  </w:r>
                  <w:r>
                    <w:rPr>
                      <w:rFonts w:ascii="Times New Roman" w:hAnsi="Times New Roman" w:eastAsia="宋体" w:cs="Times New Roman"/>
                      <w:color w:val="000000"/>
                      <w:sz w:val="21"/>
                      <w:szCs w:val="21"/>
                      <w:highlight w:val="none"/>
                    </w:rPr>
                    <w:t>矿</w:t>
                  </w:r>
                  <w:r>
                    <w:rPr>
                      <w:rFonts w:hint="eastAsia" w:eastAsia="宋体"/>
                      <w:lang w:val="en-US" w:eastAsia="zh-CN"/>
                    </w:rPr>
                    <w:t>石</w:t>
                  </w:r>
                </w:p>
              </w:tc>
              <w:tc>
                <w:tcPr>
                  <w:tcW w:w="1166" w:type="pct"/>
                  <w:tcBorders>
                    <w:tl2br w:val="nil"/>
                    <w:tr2bl w:val="nil"/>
                  </w:tcBorders>
                  <w:noWrap w:val="0"/>
                  <w:vAlign w:val="center"/>
                </w:tcPr>
                <w:p w14:paraId="094899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hint="eastAsia" w:cs="Times New Roman"/>
                      <w:color w:val="000000"/>
                      <w:sz w:val="21"/>
                      <w:szCs w:val="21"/>
                      <w:highlight w:val="none"/>
                      <w:lang w:val="en-US" w:eastAsia="zh-CN"/>
                    </w:rPr>
                    <w:t>598034.534</w:t>
                  </w:r>
                </w:p>
              </w:tc>
              <w:tc>
                <w:tcPr>
                  <w:tcW w:w="1097" w:type="pct"/>
                  <w:tcBorders>
                    <w:tl2br w:val="nil"/>
                    <w:tr2bl w:val="nil"/>
                  </w:tcBorders>
                  <w:noWrap w:val="0"/>
                  <w:vAlign w:val="center"/>
                </w:tcPr>
                <w:p w14:paraId="5FBE9D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lang w:val="en-US" w:eastAsia="zh-CN"/>
                    </w:rPr>
                    <w:t>原料堆场</w:t>
                  </w:r>
                </w:p>
              </w:tc>
              <w:tc>
                <w:tcPr>
                  <w:tcW w:w="548" w:type="pct"/>
                  <w:tcBorders>
                    <w:tl2br w:val="nil"/>
                    <w:tr2bl w:val="nil"/>
                  </w:tcBorders>
                  <w:noWrap w:val="0"/>
                  <w:vAlign w:val="center"/>
                </w:tcPr>
                <w:p w14:paraId="59DFAB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外购</w:t>
                  </w:r>
                </w:p>
              </w:tc>
            </w:tr>
            <w:tr w14:paraId="060E6C8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47" w:type="pct"/>
                  <w:tcBorders>
                    <w:tl2br w:val="nil"/>
                    <w:tr2bl w:val="nil"/>
                  </w:tcBorders>
                  <w:noWrap w:val="0"/>
                  <w:vAlign w:val="center"/>
                </w:tcPr>
                <w:p w14:paraId="35FD85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2</w:t>
                  </w:r>
                </w:p>
              </w:tc>
              <w:tc>
                <w:tcPr>
                  <w:tcW w:w="1640" w:type="pct"/>
                  <w:tcBorders>
                    <w:tl2br w:val="nil"/>
                    <w:tr2bl w:val="nil"/>
                  </w:tcBorders>
                  <w:noWrap w:val="0"/>
                  <w:vAlign w:val="center"/>
                </w:tcPr>
                <w:p w14:paraId="70F11C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纤维素</w:t>
                  </w:r>
                </w:p>
              </w:tc>
              <w:tc>
                <w:tcPr>
                  <w:tcW w:w="1166" w:type="pct"/>
                  <w:tcBorders>
                    <w:tl2br w:val="nil"/>
                    <w:tr2bl w:val="nil"/>
                  </w:tcBorders>
                  <w:noWrap w:val="0"/>
                  <w:vAlign w:val="center"/>
                </w:tcPr>
                <w:p w14:paraId="65069C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2000</w:t>
                  </w:r>
                </w:p>
              </w:tc>
              <w:tc>
                <w:tcPr>
                  <w:tcW w:w="1097" w:type="pct"/>
                  <w:tcBorders>
                    <w:tl2br w:val="nil"/>
                    <w:tr2bl w:val="nil"/>
                  </w:tcBorders>
                  <w:noWrap w:val="0"/>
                  <w:vAlign w:val="center"/>
                </w:tcPr>
                <w:p w14:paraId="35A945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bookmarkStart w:id="4" w:name="bookmark138"/>
                  <w:bookmarkEnd w:id="4"/>
                  <w:r>
                    <w:rPr>
                      <w:rFonts w:hint="eastAsia" w:ascii="Times New Roman" w:hAnsi="Times New Roman" w:eastAsia="宋体" w:cs="Times New Roman"/>
                      <w:color w:val="000000"/>
                      <w:sz w:val="21"/>
                      <w:szCs w:val="21"/>
                      <w:highlight w:val="none"/>
                      <w:lang w:val="en-US" w:eastAsia="zh-CN"/>
                    </w:rPr>
                    <w:t>原料堆场</w:t>
                  </w:r>
                </w:p>
              </w:tc>
              <w:tc>
                <w:tcPr>
                  <w:tcW w:w="548" w:type="pct"/>
                  <w:tcBorders>
                    <w:tl2br w:val="nil"/>
                    <w:tr2bl w:val="nil"/>
                  </w:tcBorders>
                  <w:noWrap w:val="0"/>
                  <w:vAlign w:val="center"/>
                </w:tcPr>
                <w:p w14:paraId="4B33AF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外购</w:t>
                  </w:r>
                </w:p>
              </w:tc>
            </w:tr>
          </w:tbl>
          <w:p w14:paraId="26A7F555">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ascii="Times New Roman" w:hAnsi="Times New Roman" w:eastAsia="宋体" w:cs="Times New Roman"/>
                <w:b/>
                <w:bCs/>
                <w:color w:val="000000"/>
                <w:sz w:val="24"/>
                <w:highlight w:val="none"/>
              </w:rPr>
            </w:pPr>
            <w:r>
              <w:rPr>
                <w:rFonts w:ascii="Times New Roman" w:hAnsi="Times New Roman" w:eastAsia="宋体" w:cs="Times New Roman"/>
                <w:b/>
                <w:bCs/>
                <w:color w:val="000000"/>
                <w:sz w:val="24"/>
                <w:highlight w:val="none"/>
              </w:rPr>
              <w:t>表2</w:t>
            </w:r>
            <w:r>
              <w:rPr>
                <w:rFonts w:hint="eastAsia" w:ascii="Times New Roman" w:hAnsi="Times New Roman" w:eastAsia="宋体" w:cs="Times New Roman"/>
                <w:b/>
                <w:bCs/>
                <w:color w:val="000000"/>
                <w:sz w:val="24"/>
                <w:highlight w:val="none"/>
                <w:lang w:val="en-US" w:eastAsia="zh-CN"/>
              </w:rPr>
              <w:t xml:space="preserve">-5            </w:t>
            </w:r>
            <w:r>
              <w:rPr>
                <w:rFonts w:ascii="Times New Roman" w:hAnsi="Times New Roman" w:eastAsia="宋体" w:cs="Times New Roman"/>
                <w:b/>
                <w:bCs/>
                <w:color w:val="000000"/>
                <w:sz w:val="24"/>
                <w:highlight w:val="none"/>
              </w:rPr>
              <w:t>动力用量一览表</w:t>
            </w:r>
          </w:p>
          <w:tbl>
            <w:tblPr>
              <w:tblStyle w:val="50"/>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835"/>
              <w:gridCol w:w="845"/>
              <w:gridCol w:w="2087"/>
              <w:gridCol w:w="1673"/>
              <w:gridCol w:w="2903"/>
            </w:tblGrid>
            <w:tr w14:paraId="55AD520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01" w:type="pct"/>
                  <w:tcBorders>
                    <w:tl2br w:val="nil"/>
                    <w:tr2bl w:val="nil"/>
                  </w:tcBorders>
                  <w:noWrap w:val="0"/>
                  <w:vAlign w:val="center"/>
                </w:tcPr>
                <w:p w14:paraId="6BFE8F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序号</w:t>
                  </w:r>
                </w:p>
              </w:tc>
              <w:tc>
                <w:tcPr>
                  <w:tcW w:w="506" w:type="pct"/>
                  <w:tcBorders>
                    <w:tl2br w:val="nil"/>
                    <w:tr2bl w:val="nil"/>
                  </w:tcBorders>
                  <w:noWrap w:val="0"/>
                  <w:vAlign w:val="center"/>
                </w:tcPr>
                <w:p w14:paraId="4D6544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名称</w:t>
                  </w:r>
                </w:p>
              </w:tc>
              <w:tc>
                <w:tcPr>
                  <w:tcW w:w="1250" w:type="pct"/>
                  <w:tcBorders>
                    <w:tl2br w:val="nil"/>
                    <w:tr2bl w:val="nil"/>
                  </w:tcBorders>
                  <w:noWrap w:val="0"/>
                  <w:vAlign w:val="center"/>
                </w:tcPr>
                <w:p w14:paraId="77886F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能源消耗量</w:t>
                  </w:r>
                </w:p>
              </w:tc>
              <w:tc>
                <w:tcPr>
                  <w:tcW w:w="1002" w:type="pct"/>
                  <w:tcBorders>
                    <w:tl2br w:val="nil"/>
                    <w:tr2bl w:val="nil"/>
                  </w:tcBorders>
                  <w:noWrap w:val="0"/>
                  <w:vAlign w:val="center"/>
                </w:tcPr>
                <w:p w14:paraId="40E09A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最大储量</w:t>
                  </w:r>
                </w:p>
              </w:tc>
              <w:tc>
                <w:tcPr>
                  <w:tcW w:w="1739" w:type="pct"/>
                  <w:tcBorders>
                    <w:tl2br w:val="nil"/>
                    <w:tr2bl w:val="nil"/>
                  </w:tcBorders>
                  <w:noWrap w:val="0"/>
                  <w:vAlign w:val="center"/>
                </w:tcPr>
                <w:p w14:paraId="110A2E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来源及运输方式</w:t>
                  </w:r>
                </w:p>
              </w:tc>
            </w:tr>
            <w:tr w14:paraId="5F4E175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01" w:type="pct"/>
                  <w:tcBorders>
                    <w:tl2br w:val="nil"/>
                    <w:tr2bl w:val="nil"/>
                  </w:tcBorders>
                  <w:noWrap w:val="0"/>
                  <w:vAlign w:val="center"/>
                </w:tcPr>
                <w:p w14:paraId="122A59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1</w:t>
                  </w:r>
                </w:p>
              </w:tc>
              <w:tc>
                <w:tcPr>
                  <w:tcW w:w="506" w:type="pct"/>
                  <w:tcBorders>
                    <w:tl2br w:val="nil"/>
                    <w:tr2bl w:val="nil"/>
                  </w:tcBorders>
                  <w:noWrap w:val="0"/>
                  <w:vAlign w:val="center"/>
                </w:tcPr>
                <w:p w14:paraId="32189F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水</w:t>
                  </w:r>
                </w:p>
              </w:tc>
              <w:tc>
                <w:tcPr>
                  <w:tcW w:w="1250" w:type="pct"/>
                  <w:tcBorders>
                    <w:tl2br w:val="nil"/>
                    <w:tr2bl w:val="nil"/>
                  </w:tcBorders>
                  <w:noWrap w:val="0"/>
                  <w:vAlign w:val="center"/>
                </w:tcPr>
                <w:p w14:paraId="55CE87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lang w:val="en-US" w:eastAsia="zh-CN"/>
                    </w:rPr>
                    <w:t>2484</w:t>
                  </w:r>
                  <w:r>
                    <w:rPr>
                      <w:rFonts w:hint="default" w:ascii="Times New Roman" w:hAnsi="Times New Roman" w:eastAsia="宋体" w:cs="Times New Roman"/>
                      <w:color w:val="000000"/>
                      <w:sz w:val="21"/>
                      <w:szCs w:val="21"/>
                      <w:highlight w:val="none"/>
                      <w:lang w:val="zh-CN"/>
                    </w:rPr>
                    <w:t>m</w:t>
                  </w:r>
                  <w:r>
                    <w:rPr>
                      <w:rFonts w:hint="default" w:ascii="Times New Roman" w:hAnsi="Times New Roman" w:eastAsia="宋体" w:cs="Times New Roman"/>
                      <w:color w:val="000000"/>
                      <w:sz w:val="21"/>
                      <w:szCs w:val="21"/>
                      <w:highlight w:val="none"/>
                      <w:vertAlign w:val="superscript"/>
                      <w:lang w:val="zh-CN"/>
                    </w:rPr>
                    <w:t>3</w:t>
                  </w:r>
                  <w:r>
                    <w:rPr>
                      <w:rFonts w:hint="default" w:ascii="Times New Roman" w:hAnsi="Times New Roman" w:eastAsia="宋体" w:cs="Times New Roman"/>
                      <w:color w:val="000000"/>
                      <w:sz w:val="21"/>
                      <w:szCs w:val="21"/>
                      <w:highlight w:val="none"/>
                      <w:lang w:val="zh-CN"/>
                    </w:rPr>
                    <w:t>/a</w:t>
                  </w:r>
                </w:p>
              </w:tc>
              <w:tc>
                <w:tcPr>
                  <w:tcW w:w="1002" w:type="pct"/>
                  <w:tcBorders>
                    <w:tl2br w:val="nil"/>
                    <w:tr2bl w:val="nil"/>
                  </w:tcBorders>
                  <w:noWrap w:val="0"/>
                  <w:vAlign w:val="center"/>
                </w:tcPr>
                <w:p w14:paraId="747D0C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w:t>
                  </w:r>
                </w:p>
              </w:tc>
              <w:tc>
                <w:tcPr>
                  <w:tcW w:w="1739" w:type="pct"/>
                  <w:tcBorders>
                    <w:tl2br w:val="nil"/>
                    <w:tr2bl w:val="nil"/>
                  </w:tcBorders>
                  <w:noWrap w:val="0"/>
                  <w:vAlign w:val="center"/>
                </w:tcPr>
                <w:p w14:paraId="2E1479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园区供给</w:t>
                  </w:r>
                </w:p>
              </w:tc>
            </w:tr>
            <w:tr w14:paraId="2D63F58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01" w:type="pct"/>
                  <w:tcBorders>
                    <w:tl2br w:val="nil"/>
                    <w:tr2bl w:val="nil"/>
                  </w:tcBorders>
                  <w:noWrap w:val="0"/>
                  <w:vAlign w:val="center"/>
                </w:tcPr>
                <w:p w14:paraId="0EDE62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2</w:t>
                  </w:r>
                </w:p>
              </w:tc>
              <w:tc>
                <w:tcPr>
                  <w:tcW w:w="506" w:type="pct"/>
                  <w:tcBorders>
                    <w:tl2br w:val="nil"/>
                    <w:tr2bl w:val="nil"/>
                  </w:tcBorders>
                  <w:noWrap w:val="0"/>
                  <w:vAlign w:val="center"/>
                </w:tcPr>
                <w:p w14:paraId="6AC8B2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电</w:t>
                  </w:r>
                </w:p>
              </w:tc>
              <w:tc>
                <w:tcPr>
                  <w:tcW w:w="1250" w:type="pct"/>
                  <w:tcBorders>
                    <w:tl2br w:val="nil"/>
                    <w:tr2bl w:val="nil"/>
                  </w:tcBorders>
                  <w:noWrap w:val="0"/>
                  <w:vAlign w:val="center"/>
                </w:tcPr>
                <w:p w14:paraId="4DBFF3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126万kWh</w:t>
                  </w:r>
                </w:p>
              </w:tc>
              <w:tc>
                <w:tcPr>
                  <w:tcW w:w="1002" w:type="pct"/>
                  <w:tcBorders>
                    <w:tl2br w:val="nil"/>
                    <w:tr2bl w:val="nil"/>
                  </w:tcBorders>
                  <w:noWrap w:val="0"/>
                  <w:vAlign w:val="center"/>
                </w:tcPr>
                <w:p w14:paraId="31F7E2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w:t>
                  </w:r>
                </w:p>
              </w:tc>
              <w:tc>
                <w:tcPr>
                  <w:tcW w:w="1739" w:type="pct"/>
                  <w:tcBorders>
                    <w:tl2br w:val="nil"/>
                    <w:tr2bl w:val="nil"/>
                  </w:tcBorders>
                  <w:noWrap w:val="0"/>
                  <w:vAlign w:val="center"/>
                </w:tcPr>
                <w:p w14:paraId="0561B4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园区供给</w:t>
                  </w:r>
                </w:p>
              </w:tc>
            </w:tr>
          </w:tbl>
          <w:p w14:paraId="22A9CB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5</w:t>
            </w:r>
            <w:r>
              <w:rPr>
                <w:rFonts w:ascii="Times New Roman" w:hAnsi="Times New Roman" w:eastAsia="宋体" w:cs="Times New Roman"/>
                <w:b/>
                <w:bCs/>
                <w:color w:val="000000"/>
                <w:sz w:val="24"/>
                <w:highlight w:val="none"/>
              </w:rPr>
              <w:t>、</w:t>
            </w:r>
            <w:r>
              <w:rPr>
                <w:rFonts w:hint="eastAsia" w:ascii="Times New Roman" w:hAnsi="Times New Roman" w:eastAsia="宋体" w:cs="Times New Roman"/>
                <w:b/>
                <w:bCs/>
                <w:color w:val="000000"/>
                <w:sz w:val="24"/>
                <w:highlight w:val="none"/>
                <w:lang w:val="en-US" w:eastAsia="zh-CN"/>
              </w:rPr>
              <w:t>公用工程</w:t>
            </w:r>
          </w:p>
          <w:p w14:paraId="6D544628">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000000"/>
                <w:sz w:val="24"/>
                <w:highlight w:val="none"/>
                <w:lang w:val="ru-RU" w:eastAsia="ru-RU"/>
              </w:rPr>
            </w:pPr>
            <w:r>
              <w:rPr>
                <w:rFonts w:hint="default" w:ascii="Times New Roman" w:hAnsi="Times New Roman" w:eastAsia="宋体" w:cs="Times New Roman"/>
                <w:color w:val="000000"/>
                <w:sz w:val="24"/>
                <w:highlight w:val="none"/>
                <w:lang w:val="ru-RU"/>
              </w:rPr>
              <w:t>（</w:t>
            </w:r>
            <w:r>
              <w:rPr>
                <w:rFonts w:hint="default" w:ascii="Times New Roman" w:hAnsi="Times New Roman" w:eastAsia="宋体" w:cs="Times New Roman"/>
                <w:color w:val="000000"/>
                <w:sz w:val="24"/>
                <w:highlight w:val="none"/>
              </w:rPr>
              <w:t>1</w:t>
            </w:r>
            <w:r>
              <w:rPr>
                <w:rFonts w:hint="default" w:ascii="Times New Roman" w:hAnsi="Times New Roman" w:eastAsia="宋体" w:cs="Times New Roman"/>
                <w:color w:val="000000"/>
                <w:sz w:val="24"/>
                <w:highlight w:val="none"/>
                <w:lang w:val="ru-RU"/>
              </w:rPr>
              <w:t>）</w:t>
            </w:r>
            <w:r>
              <w:rPr>
                <w:rFonts w:hint="default" w:ascii="Times New Roman" w:hAnsi="Times New Roman" w:eastAsia="宋体" w:cs="Times New Roman"/>
                <w:color w:val="000000"/>
                <w:sz w:val="24"/>
                <w:highlight w:val="none"/>
                <w:lang w:val="ru-RU" w:eastAsia="ru-RU"/>
              </w:rPr>
              <w:t>供水</w:t>
            </w:r>
          </w:p>
          <w:p w14:paraId="17A31873">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highlight w:val="none"/>
                <w:lang w:val="zh-CN"/>
              </w:rPr>
            </w:pPr>
            <w:r>
              <w:rPr>
                <w:rFonts w:hint="default" w:ascii="Times New Roman" w:hAnsi="Times New Roman" w:eastAsia="宋体" w:cs="Times New Roman"/>
                <w:color w:val="000000"/>
                <w:sz w:val="24"/>
                <w:highlight w:val="none"/>
                <w:lang w:val="zh-CN"/>
              </w:rPr>
              <w:t>项目用水主要为</w:t>
            </w:r>
            <w:r>
              <w:rPr>
                <w:rFonts w:hint="eastAsia" w:ascii="Times New Roman" w:hAnsi="Times New Roman" w:eastAsia="宋体" w:cs="Times New Roman"/>
                <w:color w:val="000000"/>
                <w:sz w:val="24"/>
                <w:highlight w:val="none"/>
                <w:lang w:val="en-US" w:eastAsia="zh-CN"/>
              </w:rPr>
              <w:t>生活用水</w:t>
            </w:r>
            <w:r>
              <w:rPr>
                <w:rFonts w:hint="default" w:ascii="Times New Roman" w:hAnsi="Times New Roman" w:eastAsia="宋体" w:cs="Times New Roman"/>
                <w:color w:val="000000"/>
                <w:sz w:val="24"/>
                <w:highlight w:val="none"/>
                <w:lang w:val="zh-CN"/>
              </w:rPr>
              <w:t>及绿化用水等，均来自</w:t>
            </w:r>
            <w:r>
              <w:rPr>
                <w:rFonts w:hint="default" w:ascii="Times New Roman" w:hAnsi="Times New Roman" w:eastAsia="宋体" w:cs="Times New Roman"/>
                <w:color w:val="000000"/>
                <w:sz w:val="24"/>
                <w:highlight w:val="none"/>
                <w:lang w:val="zh-CN" w:eastAsia="zh-CN"/>
              </w:rPr>
              <w:t>园区供水管网</w:t>
            </w:r>
            <w:r>
              <w:rPr>
                <w:rFonts w:hint="default" w:ascii="Times New Roman" w:hAnsi="Times New Roman" w:eastAsia="宋体" w:cs="Times New Roman"/>
                <w:color w:val="000000"/>
                <w:sz w:val="24"/>
                <w:highlight w:val="none"/>
                <w:lang w:val="zh-CN"/>
              </w:rPr>
              <w:t>。</w:t>
            </w:r>
          </w:p>
          <w:p w14:paraId="432CB666">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highlight w:val="none"/>
                <w:lang w:val="zh-CN"/>
              </w:rPr>
            </w:pPr>
            <w:bookmarkStart w:id="5" w:name="_Toc27494"/>
            <w:bookmarkStart w:id="6" w:name="_Toc24382"/>
            <w:r>
              <w:rPr>
                <w:rFonts w:hint="default" w:ascii="Times New Roman" w:hAnsi="Times New Roman" w:eastAsia="宋体" w:cs="Times New Roman"/>
                <w:color w:val="000000"/>
                <w:sz w:val="24"/>
                <w:highlight w:val="none"/>
                <w:lang w:val="zh-CN"/>
              </w:rPr>
              <w:t>①办公生活用水</w:t>
            </w:r>
            <w:bookmarkEnd w:id="5"/>
            <w:bookmarkEnd w:id="6"/>
          </w:p>
          <w:p w14:paraId="68D480DB">
            <w:pPr>
              <w:keepNext/>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auto"/>
              <w:rPr>
                <w:rFonts w:hint="default" w:ascii="Times New Roman" w:hAnsi="Times New Roman" w:eastAsia="宋体" w:cs="Times New Roman"/>
                <w:color w:val="000000"/>
                <w:spacing w:val="0"/>
                <w:kern w:val="0"/>
                <w:position w:val="0"/>
                <w:sz w:val="24"/>
                <w:szCs w:val="24"/>
                <w:highlight w:val="none"/>
                <w:lang w:val="en-US" w:eastAsia="zh-CN" w:bidi="zh-CN"/>
              </w:rPr>
            </w:pPr>
            <w:bookmarkStart w:id="7" w:name="_Toc15719"/>
            <w:bookmarkStart w:id="8" w:name="_Toc2482"/>
            <w:r>
              <w:rPr>
                <w:rFonts w:hint="default" w:ascii="Times New Roman" w:hAnsi="Times New Roman" w:eastAsia="宋体" w:cs="Times New Roman"/>
                <w:color w:val="000000"/>
                <w:spacing w:val="0"/>
                <w:kern w:val="0"/>
                <w:position w:val="0"/>
                <w:sz w:val="24"/>
                <w:szCs w:val="24"/>
                <w:highlight w:val="none"/>
                <w:lang w:val="en-US" w:eastAsia="zh-CN" w:bidi="zh-CN"/>
              </w:rPr>
              <w:t>项目劳动定员共计</w:t>
            </w:r>
            <w:r>
              <w:rPr>
                <w:rFonts w:hint="eastAsia" w:ascii="Times New Roman" w:hAnsi="Times New Roman" w:eastAsia="宋体" w:cs="Times New Roman"/>
                <w:color w:val="000000"/>
                <w:spacing w:val="0"/>
                <w:kern w:val="0"/>
                <w:position w:val="0"/>
                <w:sz w:val="24"/>
                <w:szCs w:val="24"/>
                <w:highlight w:val="none"/>
                <w:lang w:val="en-US" w:eastAsia="zh-CN" w:bidi="zh-CN"/>
              </w:rPr>
              <w:t>15</w:t>
            </w:r>
            <w:r>
              <w:rPr>
                <w:rFonts w:hint="default" w:ascii="Times New Roman" w:hAnsi="Times New Roman" w:eastAsia="宋体" w:cs="Times New Roman"/>
                <w:color w:val="000000"/>
                <w:spacing w:val="0"/>
                <w:kern w:val="0"/>
                <w:position w:val="0"/>
                <w:sz w:val="24"/>
                <w:szCs w:val="24"/>
                <w:highlight w:val="none"/>
                <w:lang w:val="en-US" w:eastAsia="zh-CN" w:bidi="zh-CN"/>
              </w:rPr>
              <w:t>人，厂区设有宿舍，根据《新疆维吾尔自治区生活用水定额》，用水量按80L/人·d计算，年工作天</w:t>
            </w:r>
            <w:r>
              <w:rPr>
                <w:rFonts w:hint="eastAsia" w:ascii="Times New Roman" w:hAnsi="Times New Roman" w:eastAsia="宋体" w:cs="Times New Roman"/>
                <w:color w:val="000000"/>
                <w:spacing w:val="0"/>
                <w:kern w:val="0"/>
                <w:position w:val="0"/>
                <w:sz w:val="24"/>
                <w:szCs w:val="24"/>
                <w:highlight w:val="none"/>
                <w:lang w:val="en-US" w:eastAsia="zh-CN" w:bidi="zh-CN"/>
              </w:rPr>
              <w:t>300</w:t>
            </w:r>
            <w:r>
              <w:rPr>
                <w:rFonts w:hint="default" w:ascii="Times New Roman" w:hAnsi="Times New Roman" w:eastAsia="宋体" w:cs="Times New Roman"/>
                <w:color w:val="000000"/>
                <w:spacing w:val="0"/>
                <w:kern w:val="0"/>
                <w:position w:val="0"/>
                <w:sz w:val="24"/>
                <w:szCs w:val="24"/>
                <w:highlight w:val="none"/>
                <w:lang w:val="en-US" w:eastAsia="zh-CN" w:bidi="zh-CN"/>
              </w:rPr>
              <w:t>d，则生活用水总量为</w:t>
            </w:r>
            <w:r>
              <w:rPr>
                <w:rFonts w:hint="eastAsia" w:ascii="Times New Roman" w:hAnsi="Times New Roman" w:eastAsia="宋体" w:cs="Times New Roman"/>
                <w:color w:val="000000"/>
                <w:spacing w:val="0"/>
                <w:kern w:val="0"/>
                <w:position w:val="0"/>
                <w:sz w:val="24"/>
                <w:szCs w:val="24"/>
                <w:highlight w:val="none"/>
                <w:lang w:val="en-US" w:eastAsia="zh-CN" w:bidi="zh-CN"/>
              </w:rPr>
              <w:t>360</w:t>
            </w:r>
            <w:r>
              <w:rPr>
                <w:rFonts w:hint="default" w:ascii="Times New Roman" w:hAnsi="Times New Roman" w:eastAsia="宋体" w:cs="Times New Roman"/>
                <w:color w:val="000000"/>
                <w:spacing w:val="0"/>
                <w:kern w:val="0"/>
                <w:position w:val="0"/>
                <w:sz w:val="24"/>
                <w:szCs w:val="24"/>
                <w:highlight w:val="none"/>
                <w:lang w:val="en-US" w:eastAsia="zh-CN" w:bidi="zh-CN"/>
              </w:rPr>
              <w:t>m</w:t>
            </w:r>
            <w:r>
              <w:rPr>
                <w:rFonts w:hint="default" w:ascii="Times New Roman" w:hAnsi="Times New Roman" w:eastAsia="宋体" w:cs="Times New Roman"/>
                <w:color w:val="000000"/>
                <w:spacing w:val="0"/>
                <w:kern w:val="0"/>
                <w:position w:val="0"/>
                <w:sz w:val="24"/>
                <w:szCs w:val="24"/>
                <w:highlight w:val="none"/>
                <w:vertAlign w:val="superscript"/>
                <w:lang w:val="en-US" w:eastAsia="zh-CN" w:bidi="zh-CN"/>
              </w:rPr>
              <w:t>3</w:t>
            </w:r>
            <w:r>
              <w:rPr>
                <w:rFonts w:hint="default" w:ascii="Times New Roman" w:hAnsi="Times New Roman" w:eastAsia="宋体" w:cs="Times New Roman"/>
                <w:color w:val="000000"/>
                <w:spacing w:val="0"/>
                <w:kern w:val="0"/>
                <w:position w:val="0"/>
                <w:sz w:val="24"/>
                <w:szCs w:val="24"/>
                <w:highlight w:val="none"/>
                <w:lang w:val="en-US" w:eastAsia="zh-CN" w:bidi="zh-CN"/>
              </w:rPr>
              <w:t>/a（</w:t>
            </w:r>
            <w:r>
              <w:rPr>
                <w:rFonts w:hint="eastAsia" w:ascii="Times New Roman" w:hAnsi="Times New Roman" w:eastAsia="宋体" w:cs="Times New Roman"/>
                <w:color w:val="000000"/>
                <w:spacing w:val="0"/>
                <w:kern w:val="0"/>
                <w:position w:val="0"/>
                <w:sz w:val="24"/>
                <w:szCs w:val="24"/>
                <w:highlight w:val="none"/>
                <w:lang w:val="en-US" w:eastAsia="zh-CN" w:bidi="zh-CN"/>
              </w:rPr>
              <w:t>1.2</w:t>
            </w:r>
            <w:r>
              <w:rPr>
                <w:rFonts w:hint="default" w:ascii="Times New Roman" w:hAnsi="Times New Roman" w:eastAsia="宋体" w:cs="Times New Roman"/>
                <w:color w:val="000000"/>
                <w:spacing w:val="0"/>
                <w:kern w:val="0"/>
                <w:position w:val="0"/>
                <w:sz w:val="24"/>
                <w:szCs w:val="24"/>
                <w:highlight w:val="none"/>
                <w:lang w:val="en-US" w:eastAsia="zh-CN" w:bidi="zh-CN"/>
              </w:rPr>
              <w:t>m</w:t>
            </w:r>
            <w:r>
              <w:rPr>
                <w:rFonts w:hint="default" w:ascii="Times New Roman" w:hAnsi="Times New Roman" w:eastAsia="宋体" w:cs="Times New Roman"/>
                <w:color w:val="000000"/>
                <w:spacing w:val="0"/>
                <w:kern w:val="0"/>
                <w:position w:val="0"/>
                <w:sz w:val="24"/>
                <w:szCs w:val="24"/>
                <w:highlight w:val="none"/>
                <w:vertAlign w:val="superscript"/>
                <w:lang w:val="en-US" w:eastAsia="zh-CN" w:bidi="zh-CN"/>
              </w:rPr>
              <w:t>3</w:t>
            </w:r>
            <w:r>
              <w:rPr>
                <w:rFonts w:hint="default" w:ascii="Times New Roman" w:hAnsi="Times New Roman" w:eastAsia="宋体" w:cs="Times New Roman"/>
                <w:color w:val="000000"/>
                <w:spacing w:val="0"/>
                <w:kern w:val="0"/>
                <w:position w:val="0"/>
                <w:sz w:val="24"/>
                <w:szCs w:val="24"/>
                <w:highlight w:val="none"/>
                <w:lang w:val="en-US" w:eastAsia="zh-CN" w:bidi="zh-CN"/>
              </w:rPr>
              <w:t>/d）。</w:t>
            </w:r>
          </w:p>
          <w:bookmarkEnd w:id="7"/>
          <w:bookmarkEnd w:id="8"/>
          <w:p w14:paraId="4262A5E0">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highlight w:val="none"/>
                <w:lang w:val="zh-CN"/>
              </w:rPr>
            </w:pPr>
            <w:r>
              <w:rPr>
                <w:rFonts w:hint="eastAsia" w:ascii="Times New Roman" w:hAnsi="Times New Roman" w:eastAsia="宋体" w:cs="Times New Roman"/>
                <w:color w:val="000000"/>
                <w:sz w:val="24"/>
                <w:highlight w:val="none"/>
                <w:lang w:val="en-US" w:eastAsia="zh-CN"/>
              </w:rPr>
              <w:t>②</w:t>
            </w:r>
            <w:bookmarkStart w:id="9" w:name="_Toc7246"/>
            <w:bookmarkStart w:id="10" w:name="_Toc11469"/>
            <w:r>
              <w:rPr>
                <w:rFonts w:hint="default" w:ascii="Times New Roman" w:hAnsi="Times New Roman" w:eastAsia="宋体" w:cs="Times New Roman"/>
                <w:color w:val="000000"/>
                <w:sz w:val="24"/>
                <w:highlight w:val="none"/>
                <w:lang w:val="zh-CN"/>
              </w:rPr>
              <w:t>绿化用水</w:t>
            </w:r>
            <w:bookmarkEnd w:id="9"/>
            <w:bookmarkEnd w:id="10"/>
          </w:p>
          <w:p w14:paraId="0605105C">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highlight w:val="none"/>
                <w:lang w:val="zh-CN"/>
              </w:rPr>
            </w:pPr>
            <w:r>
              <w:rPr>
                <w:rFonts w:hint="default" w:ascii="Times New Roman" w:hAnsi="Times New Roman" w:eastAsia="宋体" w:cs="Times New Roman"/>
                <w:color w:val="000000"/>
                <w:sz w:val="24"/>
                <w:highlight w:val="none"/>
                <w:lang w:val="zh-CN"/>
              </w:rPr>
              <w:t>项目绿地面积约为</w:t>
            </w:r>
            <w:r>
              <w:rPr>
                <w:rFonts w:hint="eastAsia" w:ascii="Times New Roman" w:hAnsi="Times New Roman" w:eastAsia="宋体" w:cs="Times New Roman"/>
                <w:color w:val="000000"/>
                <w:sz w:val="24"/>
                <w:highlight w:val="none"/>
                <w:lang w:val="en-US" w:eastAsia="zh-CN"/>
              </w:rPr>
              <w:t>2358.69</w:t>
            </w:r>
            <w:r>
              <w:rPr>
                <w:rFonts w:hint="default" w:ascii="Times New Roman" w:hAnsi="Times New Roman" w:eastAsia="宋体" w:cs="Times New Roman"/>
                <w:color w:val="000000"/>
                <w:sz w:val="24"/>
                <w:highlight w:val="none"/>
                <w:lang w:val="zh-CN"/>
              </w:rPr>
              <w:t>m</w:t>
            </w:r>
            <w:r>
              <w:rPr>
                <w:rFonts w:hint="default" w:ascii="Times New Roman" w:hAnsi="Times New Roman" w:eastAsia="宋体" w:cs="Times New Roman"/>
                <w:color w:val="000000"/>
                <w:sz w:val="24"/>
                <w:highlight w:val="none"/>
                <w:vertAlign w:val="superscript"/>
                <w:lang w:val="zh-CN"/>
              </w:rPr>
              <w:t>2</w:t>
            </w:r>
            <w:r>
              <w:rPr>
                <w:rFonts w:hint="eastAsia" w:ascii="Times New Roman" w:hAnsi="Times New Roman" w:eastAsia="宋体" w:cs="Times New Roman"/>
                <w:color w:val="000000"/>
                <w:sz w:val="24"/>
                <w:highlight w:val="none"/>
                <w:vertAlign w:val="baseline"/>
                <w:lang w:val="zh-CN"/>
              </w:rPr>
              <w:t>（</w:t>
            </w:r>
            <w:r>
              <w:rPr>
                <w:rFonts w:hint="eastAsia" w:ascii="Times New Roman" w:hAnsi="Times New Roman" w:eastAsia="宋体" w:cs="Times New Roman"/>
                <w:color w:val="000000"/>
                <w:sz w:val="24"/>
                <w:highlight w:val="none"/>
                <w:vertAlign w:val="baseline"/>
                <w:lang w:val="en-US" w:eastAsia="zh-CN"/>
              </w:rPr>
              <w:t>约3.54亩</w:t>
            </w:r>
            <w:r>
              <w:rPr>
                <w:rFonts w:hint="eastAsia" w:ascii="Times New Roman" w:hAnsi="Times New Roman" w:eastAsia="宋体" w:cs="Times New Roman"/>
                <w:color w:val="000000"/>
                <w:sz w:val="24"/>
                <w:highlight w:val="none"/>
                <w:vertAlign w:val="baseline"/>
                <w:lang w:val="zh-CN"/>
              </w:rPr>
              <w:t>）</w:t>
            </w:r>
            <w:r>
              <w:rPr>
                <w:rFonts w:hint="default" w:ascii="Times New Roman" w:hAnsi="Times New Roman" w:eastAsia="宋体" w:cs="Times New Roman"/>
                <w:color w:val="000000"/>
                <w:sz w:val="24"/>
                <w:highlight w:val="none"/>
                <w:lang w:val="zh-CN"/>
              </w:rPr>
              <w:t>，</w:t>
            </w:r>
            <w:r>
              <w:rPr>
                <w:rFonts w:hint="default" w:ascii="Times New Roman" w:hAnsi="Times New Roman" w:eastAsia="宋体" w:cs="Times New Roman"/>
                <w:color w:val="000000"/>
                <w:sz w:val="24"/>
                <w:highlight w:val="none"/>
                <w:lang w:val="zh-CN" w:eastAsia="zh-CN"/>
              </w:rPr>
              <w:t>参考</w:t>
            </w:r>
            <w:r>
              <w:rPr>
                <w:rFonts w:hint="default" w:ascii="Times New Roman" w:hAnsi="Times New Roman" w:eastAsia="宋体" w:cs="Times New Roman"/>
                <w:color w:val="000000"/>
                <w:sz w:val="24"/>
                <w:highlight w:val="none"/>
                <w:lang w:val="zh-CN"/>
              </w:rPr>
              <w:t>《新疆维吾尔自治区生活用水定额》</w:t>
            </w:r>
            <w:r>
              <w:rPr>
                <w:rFonts w:hint="eastAsia" w:ascii="Times New Roman" w:hAnsi="Times New Roman" w:eastAsia="宋体" w:cs="Times New Roman"/>
                <w:color w:val="000000"/>
                <w:sz w:val="24"/>
                <w:highlight w:val="none"/>
                <w:lang w:val="en-US" w:eastAsia="zh-CN"/>
              </w:rPr>
              <w:t>中城市绿化-南疆地区用水定额为500~600立方米/亩·年（本项目取值600立方米/亩·年）</w:t>
            </w:r>
            <w:r>
              <w:rPr>
                <w:rFonts w:hint="default" w:ascii="Times New Roman" w:hAnsi="Times New Roman" w:eastAsia="宋体" w:cs="Times New Roman"/>
                <w:color w:val="000000"/>
                <w:sz w:val="24"/>
                <w:highlight w:val="none"/>
                <w:lang w:val="zh-CN"/>
              </w:rPr>
              <w:t>，则绿化用水为</w:t>
            </w:r>
            <w:r>
              <w:rPr>
                <w:rFonts w:hint="eastAsia" w:ascii="Times New Roman" w:hAnsi="Times New Roman" w:eastAsia="宋体" w:cs="Times New Roman"/>
                <w:color w:val="000000"/>
                <w:sz w:val="24"/>
                <w:highlight w:val="none"/>
                <w:lang w:val="en-US" w:eastAsia="zh-CN"/>
              </w:rPr>
              <w:t>2124</w:t>
            </w:r>
            <w:r>
              <w:rPr>
                <w:rFonts w:hint="default" w:ascii="Times New Roman" w:hAnsi="Times New Roman" w:eastAsia="宋体" w:cs="Times New Roman"/>
                <w:color w:val="000000"/>
                <w:sz w:val="24"/>
                <w:highlight w:val="none"/>
                <w:lang w:val="zh-CN"/>
              </w:rPr>
              <w:t>m</w:t>
            </w:r>
            <w:r>
              <w:rPr>
                <w:rFonts w:hint="default" w:ascii="Times New Roman" w:hAnsi="Times New Roman" w:eastAsia="宋体" w:cs="Times New Roman"/>
                <w:color w:val="000000"/>
                <w:sz w:val="24"/>
                <w:highlight w:val="none"/>
                <w:vertAlign w:val="superscript"/>
                <w:lang w:val="zh-CN"/>
              </w:rPr>
              <w:t>3</w:t>
            </w:r>
            <w:r>
              <w:rPr>
                <w:rFonts w:hint="default" w:ascii="Times New Roman" w:hAnsi="Times New Roman" w:eastAsia="宋体" w:cs="Times New Roman"/>
                <w:color w:val="000000"/>
                <w:sz w:val="24"/>
                <w:highlight w:val="none"/>
                <w:lang w:val="zh-CN"/>
              </w:rPr>
              <w:t>/a。</w:t>
            </w:r>
          </w:p>
          <w:p w14:paraId="381A4B37">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highlight w:val="none"/>
                <w:lang w:val="zh-CN"/>
              </w:rPr>
            </w:pPr>
            <w:r>
              <w:rPr>
                <w:rFonts w:hint="default" w:ascii="Times New Roman" w:hAnsi="Times New Roman" w:eastAsia="宋体" w:cs="Times New Roman"/>
                <w:color w:val="000000"/>
                <w:sz w:val="24"/>
                <w:highlight w:val="none"/>
                <w:lang w:val="zh-CN"/>
              </w:rPr>
              <w:t>综上所述，本项目运营期</w:t>
            </w:r>
            <w:r>
              <w:rPr>
                <w:rFonts w:hint="eastAsia" w:ascii="Times New Roman" w:hAnsi="Times New Roman" w:eastAsia="宋体" w:cs="Times New Roman"/>
                <w:color w:val="000000"/>
                <w:sz w:val="24"/>
                <w:highlight w:val="none"/>
                <w:lang w:val="en-US" w:eastAsia="zh-CN"/>
              </w:rPr>
              <w:t>新鲜水总用量为2484</w:t>
            </w:r>
            <w:r>
              <w:rPr>
                <w:rFonts w:hint="default" w:ascii="Times New Roman" w:hAnsi="Times New Roman" w:eastAsia="宋体" w:cs="Times New Roman"/>
                <w:color w:val="000000"/>
                <w:sz w:val="24"/>
                <w:highlight w:val="none"/>
                <w:lang w:val="zh-CN"/>
              </w:rPr>
              <w:t>m</w:t>
            </w:r>
            <w:r>
              <w:rPr>
                <w:rFonts w:hint="default" w:ascii="Times New Roman" w:hAnsi="Times New Roman" w:eastAsia="宋体" w:cs="Times New Roman"/>
                <w:color w:val="000000"/>
                <w:sz w:val="24"/>
                <w:highlight w:val="none"/>
                <w:vertAlign w:val="superscript"/>
                <w:lang w:val="zh-CN"/>
              </w:rPr>
              <w:t>3</w:t>
            </w:r>
            <w:r>
              <w:rPr>
                <w:rFonts w:hint="default" w:ascii="Times New Roman" w:hAnsi="Times New Roman" w:eastAsia="宋体" w:cs="Times New Roman"/>
                <w:color w:val="000000"/>
                <w:sz w:val="24"/>
                <w:highlight w:val="none"/>
                <w:lang w:val="zh-CN"/>
              </w:rPr>
              <w:t>/a。</w:t>
            </w:r>
          </w:p>
          <w:p w14:paraId="0DF8371F">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highlight w:val="none"/>
                <w:lang w:val="zh-CN"/>
              </w:rPr>
            </w:pPr>
            <w:r>
              <w:rPr>
                <w:rFonts w:hint="default" w:ascii="Times New Roman" w:hAnsi="Times New Roman" w:eastAsia="宋体" w:cs="Times New Roman"/>
                <w:color w:val="000000"/>
                <w:sz w:val="24"/>
                <w:highlight w:val="none"/>
                <w:lang w:val="ru-RU"/>
              </w:rPr>
              <w:t>（</w:t>
            </w:r>
            <w:r>
              <w:rPr>
                <w:rFonts w:hint="default" w:ascii="Times New Roman" w:hAnsi="Times New Roman" w:eastAsia="宋体" w:cs="Times New Roman"/>
                <w:color w:val="000000"/>
                <w:sz w:val="24"/>
                <w:highlight w:val="none"/>
                <w:lang w:val="zh-CN"/>
              </w:rPr>
              <w:t>2</w:t>
            </w:r>
            <w:r>
              <w:rPr>
                <w:rFonts w:hint="default" w:ascii="Times New Roman" w:hAnsi="Times New Roman" w:eastAsia="宋体" w:cs="Times New Roman"/>
                <w:color w:val="000000"/>
                <w:sz w:val="24"/>
                <w:highlight w:val="none"/>
                <w:lang w:val="ru-RU"/>
              </w:rPr>
              <w:t>）</w:t>
            </w:r>
            <w:r>
              <w:rPr>
                <w:rFonts w:hint="default" w:ascii="Times New Roman" w:hAnsi="Times New Roman" w:eastAsia="宋体" w:cs="Times New Roman"/>
                <w:color w:val="000000"/>
                <w:sz w:val="24"/>
                <w:highlight w:val="none"/>
                <w:lang w:val="zh-CN"/>
              </w:rPr>
              <w:t>排水</w:t>
            </w:r>
          </w:p>
          <w:p w14:paraId="19F8512D">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highlight w:val="none"/>
                <w:lang w:val="zh-CN"/>
              </w:rPr>
            </w:pPr>
            <w:r>
              <w:rPr>
                <w:rFonts w:hint="default" w:ascii="Times New Roman" w:hAnsi="Times New Roman" w:eastAsia="宋体" w:cs="Times New Roman"/>
                <w:color w:val="000000"/>
                <w:sz w:val="24"/>
                <w:highlight w:val="none"/>
                <w:lang w:val="zh-CN"/>
              </w:rPr>
              <w:t>项目运营期废水主要为生活污水。</w:t>
            </w:r>
          </w:p>
          <w:p w14:paraId="428E244C">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highlight w:val="none"/>
                <w:lang w:val="zh-CN"/>
              </w:rPr>
            </w:pPr>
            <w:r>
              <w:rPr>
                <w:rFonts w:hint="default" w:ascii="Times New Roman" w:hAnsi="Times New Roman" w:eastAsia="宋体" w:cs="Times New Roman"/>
                <w:color w:val="000000"/>
                <w:spacing w:val="0"/>
                <w:kern w:val="0"/>
                <w:position w:val="0"/>
                <w:sz w:val="24"/>
                <w:szCs w:val="24"/>
                <w:highlight w:val="none"/>
              </w:rPr>
              <w:t>生活污水的排放量按用水量的80%计，污水产生量为</w:t>
            </w:r>
            <w:r>
              <w:rPr>
                <w:rFonts w:hint="eastAsia" w:ascii="Times New Roman" w:hAnsi="Times New Roman" w:eastAsia="宋体" w:cs="Times New Roman"/>
                <w:color w:val="000000"/>
                <w:spacing w:val="0"/>
                <w:kern w:val="0"/>
                <w:position w:val="0"/>
                <w:sz w:val="24"/>
                <w:szCs w:val="24"/>
                <w:highlight w:val="none"/>
                <w:lang w:val="en-US" w:eastAsia="zh-CN"/>
              </w:rPr>
              <w:t>288</w:t>
            </w:r>
            <w:r>
              <w:rPr>
                <w:rFonts w:hint="default" w:ascii="Times New Roman" w:hAnsi="Times New Roman" w:eastAsia="宋体" w:cs="Times New Roman"/>
                <w:color w:val="000000"/>
                <w:spacing w:val="0"/>
                <w:kern w:val="0"/>
                <w:position w:val="0"/>
                <w:sz w:val="24"/>
                <w:szCs w:val="24"/>
                <w:highlight w:val="none"/>
              </w:rPr>
              <w:t>m</w:t>
            </w:r>
            <w:r>
              <w:rPr>
                <w:rFonts w:hint="default" w:ascii="Times New Roman" w:hAnsi="Times New Roman" w:eastAsia="宋体" w:cs="Times New Roman"/>
                <w:color w:val="000000"/>
                <w:spacing w:val="0"/>
                <w:kern w:val="0"/>
                <w:position w:val="0"/>
                <w:sz w:val="24"/>
                <w:szCs w:val="24"/>
                <w:highlight w:val="none"/>
                <w:vertAlign w:val="superscript"/>
              </w:rPr>
              <w:t>3</w:t>
            </w:r>
            <w:r>
              <w:rPr>
                <w:rFonts w:hint="default" w:ascii="Times New Roman" w:hAnsi="Times New Roman" w:eastAsia="宋体" w:cs="Times New Roman"/>
                <w:color w:val="000000"/>
                <w:spacing w:val="0"/>
                <w:kern w:val="0"/>
                <w:position w:val="0"/>
                <w:sz w:val="24"/>
                <w:szCs w:val="24"/>
                <w:highlight w:val="none"/>
              </w:rPr>
              <w:t>/a（</w:t>
            </w:r>
            <w:r>
              <w:rPr>
                <w:rFonts w:hint="eastAsia" w:ascii="Times New Roman" w:hAnsi="Times New Roman" w:eastAsia="宋体" w:cs="Times New Roman"/>
                <w:color w:val="000000"/>
                <w:spacing w:val="0"/>
                <w:kern w:val="0"/>
                <w:position w:val="0"/>
                <w:sz w:val="24"/>
                <w:szCs w:val="24"/>
                <w:highlight w:val="none"/>
                <w:lang w:val="en-US" w:eastAsia="zh-CN"/>
              </w:rPr>
              <w:t>0.96</w:t>
            </w:r>
            <w:r>
              <w:rPr>
                <w:rFonts w:hint="default" w:ascii="Times New Roman" w:hAnsi="Times New Roman" w:eastAsia="宋体" w:cs="Times New Roman"/>
                <w:color w:val="000000"/>
                <w:spacing w:val="0"/>
                <w:kern w:val="0"/>
                <w:position w:val="0"/>
                <w:sz w:val="24"/>
                <w:szCs w:val="24"/>
                <w:highlight w:val="none"/>
              </w:rPr>
              <w:t>m</w:t>
            </w:r>
            <w:r>
              <w:rPr>
                <w:rFonts w:hint="default" w:ascii="Times New Roman" w:hAnsi="Times New Roman" w:eastAsia="宋体" w:cs="Times New Roman"/>
                <w:color w:val="000000"/>
                <w:spacing w:val="0"/>
                <w:kern w:val="0"/>
                <w:position w:val="0"/>
                <w:sz w:val="24"/>
                <w:szCs w:val="24"/>
                <w:highlight w:val="none"/>
                <w:vertAlign w:val="superscript"/>
              </w:rPr>
              <w:t>3</w:t>
            </w:r>
            <w:r>
              <w:rPr>
                <w:rFonts w:hint="default" w:ascii="Times New Roman" w:hAnsi="Times New Roman" w:eastAsia="宋体" w:cs="Times New Roman"/>
                <w:color w:val="000000"/>
                <w:spacing w:val="0"/>
                <w:kern w:val="0"/>
                <w:position w:val="0"/>
                <w:sz w:val="24"/>
                <w:szCs w:val="24"/>
                <w:highlight w:val="none"/>
              </w:rPr>
              <w:t>/d）。项目产生的</w:t>
            </w:r>
            <w:r>
              <w:rPr>
                <w:rFonts w:hint="default" w:ascii="Times New Roman" w:hAnsi="Times New Roman" w:eastAsia="宋体" w:cs="Times New Roman"/>
                <w:color w:val="000000"/>
                <w:spacing w:val="0"/>
                <w:kern w:val="0"/>
                <w:position w:val="0"/>
                <w:sz w:val="24"/>
                <w:szCs w:val="24"/>
                <w:highlight w:val="none"/>
                <w:lang w:val="en-US" w:eastAsia="zh-CN"/>
              </w:rPr>
              <w:t>生活污水排入园区下水管网</w:t>
            </w:r>
            <w:r>
              <w:rPr>
                <w:rFonts w:hint="eastAsia" w:ascii="Times New Roman" w:hAnsi="Times New Roman" w:eastAsia="宋体" w:cs="Times New Roman"/>
                <w:color w:val="000000"/>
                <w:spacing w:val="0"/>
                <w:kern w:val="0"/>
                <w:position w:val="0"/>
                <w:sz w:val="24"/>
                <w:szCs w:val="24"/>
                <w:highlight w:val="none"/>
                <w:lang w:val="en-US" w:eastAsia="zh-CN"/>
              </w:rPr>
              <w:t>，最终进入和静县污水处理厂处理。</w:t>
            </w:r>
          </w:p>
          <w:p w14:paraId="745C57E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drawing>
                <wp:inline distT="0" distB="0" distL="114300" distR="114300">
                  <wp:extent cx="4422775" cy="1573530"/>
                  <wp:effectExtent l="0" t="0" r="0" b="0"/>
                  <wp:docPr id="1"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wps"/>
                          <pic:cNvPicPr>
                            <a:picLocks noChangeAspect="1"/>
                          </pic:cNvPicPr>
                        </pic:nvPicPr>
                        <pic:blipFill>
                          <a:blip r:embed="rId9"/>
                          <a:stretch>
                            <a:fillRect/>
                          </a:stretch>
                        </pic:blipFill>
                        <pic:spPr>
                          <a:xfrm>
                            <a:off x="0" y="0"/>
                            <a:ext cx="4422775" cy="1573530"/>
                          </a:xfrm>
                          <a:prstGeom prst="rect">
                            <a:avLst/>
                          </a:prstGeom>
                          <a:noFill/>
                          <a:ln>
                            <a:noFill/>
                          </a:ln>
                        </pic:spPr>
                      </pic:pic>
                    </a:graphicData>
                  </a:graphic>
                </wp:inline>
              </w:drawing>
            </w:r>
          </w:p>
          <w:p w14:paraId="599C661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图2-1       水平衡图（单位：m</w:t>
            </w:r>
            <w:r>
              <w:rPr>
                <w:rFonts w:hint="eastAsia" w:ascii="Times New Roman" w:hAnsi="Times New Roman" w:eastAsia="宋体" w:cs="Times New Roman"/>
                <w:b/>
                <w:bCs/>
                <w:color w:val="000000"/>
                <w:sz w:val="24"/>
                <w:szCs w:val="24"/>
                <w:highlight w:val="none"/>
                <w:vertAlign w:val="superscript"/>
                <w:lang w:val="en-US" w:eastAsia="zh-CN"/>
              </w:rPr>
              <w:t>3</w:t>
            </w:r>
            <w:r>
              <w:rPr>
                <w:rFonts w:hint="eastAsia" w:ascii="Times New Roman" w:hAnsi="Times New Roman" w:eastAsia="宋体" w:cs="Times New Roman"/>
                <w:b/>
                <w:bCs/>
                <w:color w:val="000000"/>
                <w:sz w:val="24"/>
                <w:szCs w:val="24"/>
                <w:highlight w:val="none"/>
                <w:lang w:val="en-US" w:eastAsia="zh-CN"/>
              </w:rPr>
              <w:t>/a）</w:t>
            </w:r>
          </w:p>
          <w:p w14:paraId="2FF4ABFF">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lang w:val="ru-RU"/>
              </w:rPr>
              <w:t>（</w:t>
            </w:r>
            <w:r>
              <w:rPr>
                <w:rFonts w:hint="default" w:ascii="Times New Roman" w:hAnsi="Times New Roman" w:eastAsia="宋体" w:cs="Times New Roman"/>
                <w:color w:val="000000"/>
                <w:sz w:val="24"/>
                <w:highlight w:val="none"/>
              </w:rPr>
              <w:t>3</w:t>
            </w:r>
            <w:r>
              <w:rPr>
                <w:rFonts w:hint="default" w:ascii="Times New Roman" w:hAnsi="Times New Roman" w:eastAsia="宋体" w:cs="Times New Roman"/>
                <w:color w:val="000000"/>
                <w:sz w:val="24"/>
                <w:highlight w:val="none"/>
                <w:lang w:val="ru-RU"/>
              </w:rPr>
              <w:t>）</w:t>
            </w:r>
            <w:r>
              <w:rPr>
                <w:rFonts w:hint="default" w:ascii="Times New Roman" w:hAnsi="Times New Roman" w:eastAsia="宋体" w:cs="Times New Roman"/>
                <w:color w:val="000000"/>
                <w:sz w:val="24"/>
                <w:highlight w:val="none"/>
              </w:rPr>
              <w:t>供电</w:t>
            </w:r>
          </w:p>
          <w:p w14:paraId="4029E220">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bCs/>
                <w:color w:val="000000"/>
                <w:kern w:val="2"/>
                <w:sz w:val="24"/>
                <w:szCs w:val="24"/>
                <w:highlight w:val="none"/>
                <w:lang w:val="en-US" w:eastAsia="zh-CN" w:bidi="ar-SA"/>
              </w:rPr>
            </w:pPr>
            <w:r>
              <w:rPr>
                <w:rFonts w:hint="default" w:ascii="Times New Roman" w:hAnsi="Times New Roman" w:eastAsia="宋体" w:cs="Times New Roman"/>
                <w:bCs/>
                <w:color w:val="000000"/>
                <w:kern w:val="2"/>
                <w:sz w:val="24"/>
                <w:szCs w:val="24"/>
                <w:highlight w:val="none"/>
                <w:lang w:val="en-US" w:eastAsia="zh-CN" w:bidi="ar-SA"/>
              </w:rPr>
              <w:t>项目</w:t>
            </w:r>
            <w:r>
              <w:rPr>
                <w:rFonts w:hint="eastAsia" w:ascii="Times New Roman" w:hAnsi="Times New Roman" w:eastAsia="宋体" w:cs="Times New Roman"/>
                <w:bCs/>
                <w:color w:val="000000"/>
                <w:kern w:val="2"/>
                <w:sz w:val="24"/>
                <w:szCs w:val="24"/>
                <w:highlight w:val="none"/>
                <w:lang w:val="en-US" w:eastAsia="zh-CN" w:bidi="ar-SA"/>
              </w:rPr>
              <w:t>用电接</w:t>
            </w:r>
            <w:r>
              <w:rPr>
                <w:rFonts w:hint="default" w:ascii="Times New Roman" w:hAnsi="Times New Roman" w:eastAsia="宋体" w:cs="Times New Roman"/>
                <w:bCs/>
                <w:color w:val="000000"/>
                <w:kern w:val="2"/>
                <w:sz w:val="24"/>
                <w:szCs w:val="24"/>
                <w:highlight w:val="none"/>
                <w:lang w:val="en-US" w:eastAsia="zh-CN" w:bidi="ar-SA"/>
              </w:rPr>
              <w:t>园区</w:t>
            </w:r>
            <w:r>
              <w:rPr>
                <w:rFonts w:hint="eastAsia" w:ascii="Times New Roman" w:hAnsi="Times New Roman" w:eastAsia="宋体" w:cs="Times New Roman"/>
                <w:bCs/>
                <w:color w:val="000000"/>
                <w:kern w:val="2"/>
                <w:sz w:val="24"/>
                <w:szCs w:val="24"/>
                <w:highlight w:val="none"/>
                <w:lang w:val="en-US" w:eastAsia="zh-CN" w:bidi="ar-SA"/>
              </w:rPr>
              <w:t>电网</w:t>
            </w:r>
            <w:r>
              <w:rPr>
                <w:rFonts w:hint="default" w:ascii="Times New Roman" w:hAnsi="Times New Roman" w:eastAsia="宋体" w:cs="Times New Roman"/>
                <w:bCs/>
                <w:color w:val="000000"/>
                <w:kern w:val="2"/>
                <w:sz w:val="24"/>
                <w:szCs w:val="24"/>
                <w:highlight w:val="none"/>
                <w:lang w:val="en-US" w:eastAsia="zh-CN" w:bidi="ar-SA"/>
              </w:rPr>
              <w:t>，可满足项目用电负荷的需求。</w:t>
            </w:r>
          </w:p>
          <w:p w14:paraId="3FCC5845">
            <w:pPr>
              <w:keepNext w:val="0"/>
              <w:keepLines w:val="0"/>
              <w:pageBreakBefore w:val="0"/>
              <w:widowControl w:val="0"/>
              <w:numPr>
                <w:ilvl w:val="0"/>
                <w:numId w:val="3"/>
              </w:numPr>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eastAsia="宋体" w:cs="Times New Roman"/>
                <w:bCs/>
                <w:color w:val="000000"/>
                <w:kern w:val="2"/>
                <w:sz w:val="24"/>
                <w:szCs w:val="24"/>
                <w:highlight w:val="none"/>
                <w:lang w:val="en-US" w:eastAsia="zh-CN" w:bidi="ar-SA"/>
              </w:rPr>
            </w:pPr>
            <w:r>
              <w:rPr>
                <w:rFonts w:hint="eastAsia" w:ascii="Times New Roman" w:hAnsi="Times New Roman" w:eastAsia="宋体" w:cs="Times New Roman"/>
                <w:bCs/>
                <w:color w:val="000000"/>
                <w:kern w:val="2"/>
                <w:sz w:val="24"/>
                <w:szCs w:val="24"/>
                <w:highlight w:val="none"/>
                <w:lang w:val="en-US" w:eastAsia="zh-CN" w:bidi="ar-SA"/>
              </w:rPr>
              <w:t>供热</w:t>
            </w:r>
          </w:p>
          <w:p w14:paraId="138C50E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Cs/>
                <w:color w:val="000000"/>
                <w:kern w:val="2"/>
                <w:sz w:val="24"/>
                <w:szCs w:val="24"/>
                <w:highlight w:val="none"/>
                <w:lang w:val="en-US" w:eastAsia="zh-CN" w:bidi="ar-SA"/>
              </w:rPr>
            </w:pPr>
            <w:r>
              <w:rPr>
                <w:rFonts w:hint="eastAsia" w:ascii="Times New Roman" w:hAnsi="Times New Roman" w:eastAsia="宋体" w:cs="Times New Roman"/>
                <w:bCs/>
                <w:color w:val="000000"/>
                <w:kern w:val="2"/>
                <w:sz w:val="24"/>
                <w:szCs w:val="24"/>
                <w:highlight w:val="none"/>
                <w:lang w:val="en-US" w:eastAsia="zh-CN" w:bidi="ar-SA"/>
              </w:rPr>
              <w:t>冬季采用电采暖。</w:t>
            </w:r>
          </w:p>
          <w:p w14:paraId="4C24B81A">
            <w:pPr>
              <w:keepNext w:val="0"/>
              <w:keepLines w:val="0"/>
              <w:pageBreakBefore w:val="0"/>
              <w:widowControl w:val="0"/>
              <w:numPr>
                <w:ilvl w:val="0"/>
                <w:numId w:val="0"/>
              </w:numPr>
              <w:kinsoku/>
              <w:wordWrap/>
              <w:overflowPunct/>
              <w:topLinePunct w:val="0"/>
              <w:bidi w:val="0"/>
              <w:adjustRightInd w:val="0"/>
              <w:snapToGrid w:val="0"/>
              <w:spacing w:line="360" w:lineRule="auto"/>
              <w:ind w:leftChars="0"/>
              <w:jc w:val="both"/>
              <w:textAlignment w:val="auto"/>
              <w:rPr>
                <w:rFonts w:hint="default" w:ascii="Times New Roman" w:hAnsi="Times New Roman" w:eastAsia="宋体" w:cs="Times New Roman"/>
                <w:b/>
                <w:bCs/>
                <w:color w:val="000000"/>
                <w:kern w:val="2"/>
                <w:sz w:val="24"/>
                <w:szCs w:val="24"/>
                <w:highlight w:val="none"/>
                <w:lang w:val="en-US" w:eastAsia="zh-CN" w:bidi="ar-SA"/>
              </w:rPr>
            </w:pPr>
            <w:r>
              <w:rPr>
                <w:rFonts w:hint="eastAsia" w:ascii="Times New Roman" w:hAnsi="Times New Roman" w:eastAsia="宋体" w:cs="Times New Roman"/>
                <w:b/>
                <w:bCs/>
                <w:color w:val="000000"/>
                <w:kern w:val="2"/>
                <w:sz w:val="24"/>
                <w:szCs w:val="24"/>
                <w:highlight w:val="none"/>
                <w:lang w:val="en-US" w:eastAsia="zh-CN" w:bidi="ar-SA"/>
              </w:rPr>
              <w:t>6、</w:t>
            </w:r>
            <w:r>
              <w:rPr>
                <w:rFonts w:hint="default" w:ascii="Times New Roman" w:hAnsi="Times New Roman" w:eastAsia="宋体" w:cs="Times New Roman"/>
                <w:b/>
                <w:bCs/>
                <w:color w:val="000000"/>
                <w:kern w:val="2"/>
                <w:sz w:val="24"/>
                <w:szCs w:val="24"/>
                <w:highlight w:val="none"/>
                <w:lang w:val="en-US" w:eastAsia="zh-CN" w:bidi="ar-SA"/>
              </w:rPr>
              <w:t>劳动定员及工作制度</w:t>
            </w:r>
          </w:p>
          <w:p w14:paraId="7E07A1C1">
            <w:pPr>
              <w:keepNext w:val="0"/>
              <w:keepLines w:val="0"/>
              <w:pageBreakBefore w:val="0"/>
              <w:widowControl w:val="0"/>
              <w:kinsoku/>
              <w:wordWrap/>
              <w:overflowPunct/>
              <w:topLinePunct w:val="0"/>
              <w:bidi w:val="0"/>
              <w:spacing w:line="360" w:lineRule="auto"/>
              <w:ind w:firstLine="480" w:firstLineChars="200"/>
              <w:jc w:val="both"/>
              <w:textAlignment w:val="auto"/>
              <w:rPr>
                <w:rFonts w:hint="eastAsia" w:ascii="Times New Roman" w:hAnsi="Times New Roman" w:eastAsia="宋体" w:cs="Times New Roman"/>
                <w:color w:val="000000"/>
                <w:kern w:val="0"/>
                <w:sz w:val="24"/>
                <w:szCs w:val="28"/>
                <w:highlight w:val="none"/>
                <w:lang w:val="en-US" w:eastAsia="zh-CN" w:bidi="ar-SA"/>
              </w:rPr>
            </w:pPr>
            <w:r>
              <w:rPr>
                <w:rFonts w:hint="eastAsia" w:ascii="Times New Roman" w:hAnsi="Times New Roman" w:eastAsia="宋体" w:cs="Times New Roman"/>
                <w:color w:val="000000"/>
                <w:kern w:val="0"/>
                <w:sz w:val="24"/>
                <w:szCs w:val="28"/>
                <w:highlight w:val="none"/>
                <w:lang w:val="en-US" w:eastAsia="zh-CN" w:bidi="ar-SA"/>
              </w:rPr>
              <w:t>本项目劳动定员为15人，年工作日为300天，实行1班制每班工作8小时，年工作2400小时。</w:t>
            </w:r>
          </w:p>
          <w:p w14:paraId="56BB75C8">
            <w:pPr>
              <w:keepNext w:val="0"/>
              <w:keepLines w:val="0"/>
              <w:pageBreakBefore w:val="0"/>
              <w:widowControl w:val="0"/>
              <w:kinsoku/>
              <w:wordWrap/>
              <w:overflowPunct/>
              <w:topLinePunct w:val="0"/>
              <w:bidi w:val="0"/>
              <w:spacing w:line="360" w:lineRule="auto"/>
              <w:jc w:val="both"/>
              <w:textAlignment w:val="auto"/>
              <w:rPr>
                <w:rFonts w:hint="default" w:ascii="Times New Roman" w:hAnsi="Times New Roman" w:eastAsia="宋体" w:cs="Times New Roman"/>
                <w:b/>
                <w:bCs/>
                <w:color w:val="000000"/>
                <w:kern w:val="0"/>
                <w:sz w:val="24"/>
                <w:szCs w:val="24"/>
                <w:highlight w:val="none"/>
                <w:lang w:val="en-US" w:eastAsia="zh-CN" w:bidi="ar-SA"/>
              </w:rPr>
            </w:pPr>
            <w:r>
              <w:rPr>
                <w:rFonts w:hint="eastAsia" w:ascii="Times New Roman" w:hAnsi="Times New Roman" w:eastAsia="宋体" w:cs="Times New Roman"/>
                <w:b/>
                <w:bCs/>
                <w:color w:val="000000"/>
                <w:kern w:val="0"/>
                <w:sz w:val="24"/>
                <w:szCs w:val="24"/>
                <w:highlight w:val="none"/>
                <w:lang w:val="en-US" w:eastAsia="zh-CN" w:bidi="ar-SA"/>
              </w:rPr>
              <w:t>7、</w:t>
            </w:r>
            <w:r>
              <w:rPr>
                <w:rFonts w:hint="default" w:ascii="Times New Roman" w:hAnsi="Times New Roman" w:eastAsia="宋体" w:cs="Times New Roman"/>
                <w:b/>
                <w:bCs/>
                <w:color w:val="000000"/>
                <w:kern w:val="0"/>
                <w:sz w:val="24"/>
                <w:szCs w:val="24"/>
                <w:highlight w:val="none"/>
                <w:lang w:val="en-US" w:eastAsia="zh-CN" w:bidi="ar-SA"/>
              </w:rPr>
              <w:t>平面布置</w:t>
            </w:r>
            <w:r>
              <w:rPr>
                <w:rFonts w:hint="eastAsia" w:ascii="Times New Roman" w:hAnsi="Times New Roman" w:eastAsia="宋体" w:cs="Times New Roman"/>
                <w:b/>
                <w:bCs/>
                <w:color w:val="000000"/>
                <w:kern w:val="0"/>
                <w:sz w:val="24"/>
                <w:szCs w:val="24"/>
                <w:highlight w:val="none"/>
                <w:lang w:val="en-US" w:eastAsia="zh-CN" w:bidi="ar-SA"/>
              </w:rPr>
              <w:t>情况</w:t>
            </w:r>
          </w:p>
          <w:p w14:paraId="1F7DBB91">
            <w:pPr>
              <w:keepNext w:val="0"/>
              <w:keepLines w:val="0"/>
              <w:pageBreakBefore w:val="0"/>
              <w:widowControl w:val="0"/>
              <w:kinsoku/>
              <w:wordWrap/>
              <w:overflowPunct/>
              <w:topLinePunct w:val="0"/>
              <w:bidi w:val="0"/>
              <w:spacing w:line="360" w:lineRule="auto"/>
              <w:ind w:firstLine="480" w:firstLineChars="200"/>
              <w:jc w:val="both"/>
              <w:textAlignment w:val="auto"/>
              <w:rPr>
                <w:rFonts w:ascii="宋体" w:hAnsi="宋体" w:cs="宋体"/>
                <w:bCs/>
                <w:szCs w:val="21"/>
              </w:rPr>
            </w:pPr>
            <w:r>
              <w:rPr>
                <w:rFonts w:hint="default" w:ascii="Times New Roman" w:hAnsi="Times New Roman" w:eastAsia="宋体" w:cs="Times New Roman"/>
                <w:color w:val="000000"/>
                <w:kern w:val="0"/>
                <w:sz w:val="24"/>
                <w:szCs w:val="28"/>
                <w:highlight w:val="none"/>
                <w:lang w:val="en-US" w:eastAsia="zh-CN" w:bidi="ar-SA"/>
              </w:rPr>
              <w:t>项目区主入口位于</w:t>
            </w:r>
            <w:r>
              <w:rPr>
                <w:rFonts w:hint="eastAsia" w:ascii="Times New Roman" w:hAnsi="Times New Roman" w:eastAsia="宋体" w:cs="Times New Roman"/>
                <w:color w:val="000000"/>
                <w:kern w:val="0"/>
                <w:sz w:val="24"/>
                <w:szCs w:val="28"/>
                <w:highlight w:val="none"/>
                <w:lang w:val="en-US" w:eastAsia="zh-CN" w:bidi="ar-SA"/>
              </w:rPr>
              <w:t>东南</w:t>
            </w:r>
            <w:r>
              <w:rPr>
                <w:rFonts w:hint="default" w:ascii="Times New Roman" w:hAnsi="Times New Roman" w:eastAsia="宋体" w:cs="Times New Roman"/>
                <w:color w:val="000000"/>
                <w:kern w:val="0"/>
                <w:sz w:val="24"/>
                <w:szCs w:val="28"/>
                <w:highlight w:val="none"/>
                <w:lang w:val="en-US" w:eastAsia="zh-CN" w:bidi="ar-SA"/>
              </w:rPr>
              <w:t>侧，</w:t>
            </w:r>
            <w:r>
              <w:rPr>
                <w:rFonts w:hint="eastAsia" w:ascii="Times New Roman" w:hAnsi="Times New Roman" w:eastAsia="宋体" w:cs="Times New Roman"/>
                <w:color w:val="000000"/>
                <w:kern w:val="0"/>
                <w:sz w:val="24"/>
                <w:szCs w:val="28"/>
                <w:highlight w:val="none"/>
                <w:lang w:val="en-US" w:eastAsia="zh-CN" w:bidi="ar-SA"/>
              </w:rPr>
              <w:t>办公楼位于厂区南侧，自西向东依次为1#厂房、原料堆棚、2#厂房。</w:t>
            </w:r>
            <w:r>
              <w:rPr>
                <w:rFonts w:hint="default" w:ascii="Times New Roman" w:hAnsi="Times New Roman" w:eastAsia="宋体" w:cs="Times New Roman"/>
                <w:color w:val="000000"/>
                <w:kern w:val="0"/>
                <w:sz w:val="24"/>
                <w:szCs w:val="28"/>
                <w:highlight w:val="none"/>
                <w:lang w:val="en-US" w:eastAsia="zh-CN" w:bidi="ar-SA"/>
              </w:rPr>
              <w:t>厂房周围</w:t>
            </w:r>
            <w:r>
              <w:rPr>
                <w:rFonts w:hint="eastAsia" w:ascii="Times New Roman" w:hAnsi="Times New Roman" w:eastAsia="宋体" w:cs="Times New Roman"/>
                <w:color w:val="000000"/>
                <w:kern w:val="0"/>
                <w:sz w:val="24"/>
                <w:szCs w:val="28"/>
                <w:highlight w:val="none"/>
                <w:lang w:val="en-US" w:eastAsia="zh-CN" w:bidi="ar-SA"/>
              </w:rPr>
              <w:t>采用</w:t>
            </w:r>
            <w:r>
              <w:rPr>
                <w:rFonts w:hint="default" w:ascii="Times New Roman" w:hAnsi="Times New Roman" w:eastAsia="宋体" w:cs="Times New Roman"/>
                <w:color w:val="000000"/>
                <w:kern w:val="0"/>
                <w:sz w:val="24"/>
                <w:szCs w:val="28"/>
                <w:highlight w:val="none"/>
                <w:lang w:val="en-US" w:eastAsia="zh-CN" w:bidi="ar-SA"/>
              </w:rPr>
              <w:t>环形道路，并与厂区道路网连接，车间周围道路宽度为6m可确保车辆通行。项目区主导风向为</w:t>
            </w:r>
            <w:r>
              <w:rPr>
                <w:rFonts w:hint="eastAsia" w:ascii="Times New Roman" w:hAnsi="Times New Roman" w:eastAsia="宋体" w:cs="Times New Roman"/>
                <w:color w:val="000000"/>
                <w:kern w:val="0"/>
                <w:sz w:val="24"/>
                <w:szCs w:val="28"/>
                <w:highlight w:val="none"/>
                <w:lang w:val="en-US" w:eastAsia="zh-CN" w:bidi="ar-SA"/>
              </w:rPr>
              <w:t>东南</w:t>
            </w:r>
            <w:r>
              <w:rPr>
                <w:rFonts w:hint="default" w:ascii="Times New Roman" w:hAnsi="Times New Roman" w:eastAsia="宋体" w:cs="Times New Roman"/>
                <w:color w:val="000000"/>
                <w:kern w:val="0"/>
                <w:sz w:val="24"/>
                <w:szCs w:val="28"/>
                <w:highlight w:val="none"/>
                <w:lang w:val="en-US" w:eastAsia="zh-CN" w:bidi="ar-SA"/>
              </w:rPr>
              <w:t>风，</w:t>
            </w:r>
            <w:r>
              <w:rPr>
                <w:rFonts w:hint="eastAsia" w:ascii="Times New Roman" w:hAnsi="Times New Roman" w:eastAsia="宋体" w:cs="Times New Roman"/>
                <w:color w:val="000000"/>
                <w:kern w:val="0"/>
                <w:sz w:val="24"/>
                <w:szCs w:val="28"/>
                <w:highlight w:val="none"/>
                <w:lang w:val="en-US" w:eastAsia="zh-CN" w:bidi="ar-SA"/>
              </w:rPr>
              <w:t>办公楼位于主导风向的上方向。</w:t>
            </w:r>
            <w:r>
              <w:rPr>
                <w:rFonts w:hint="default" w:ascii="Times New Roman" w:hAnsi="Times New Roman" w:eastAsia="宋体" w:cs="Times New Roman"/>
                <w:color w:val="000000"/>
                <w:kern w:val="0"/>
                <w:sz w:val="24"/>
                <w:szCs w:val="28"/>
                <w:highlight w:val="none"/>
                <w:lang w:val="en-US" w:eastAsia="zh-CN" w:bidi="ar-SA"/>
              </w:rPr>
              <w:t>从环境</w:t>
            </w:r>
            <w:r>
              <w:rPr>
                <w:rFonts w:hint="eastAsia" w:ascii="Times New Roman" w:hAnsi="Times New Roman" w:eastAsia="宋体" w:cs="Times New Roman"/>
                <w:color w:val="000000"/>
                <w:kern w:val="0"/>
                <w:sz w:val="24"/>
                <w:szCs w:val="28"/>
                <w:highlight w:val="none"/>
                <w:lang w:val="en-US" w:eastAsia="zh-CN" w:bidi="ar-SA"/>
              </w:rPr>
              <w:t>保护</w:t>
            </w:r>
            <w:r>
              <w:rPr>
                <w:rFonts w:hint="default" w:ascii="Times New Roman" w:hAnsi="Times New Roman" w:eastAsia="宋体" w:cs="Times New Roman"/>
                <w:color w:val="000000"/>
                <w:kern w:val="0"/>
                <w:sz w:val="24"/>
                <w:szCs w:val="28"/>
                <w:highlight w:val="none"/>
                <w:lang w:val="en-US" w:eastAsia="zh-CN" w:bidi="ar-SA"/>
              </w:rPr>
              <w:t>角度，项目平面布局合理，项目平面布置见：附图</w:t>
            </w:r>
            <w:r>
              <w:rPr>
                <w:rFonts w:hint="eastAsia" w:ascii="Times New Roman" w:hAnsi="Times New Roman" w:eastAsia="宋体" w:cs="Times New Roman"/>
                <w:color w:val="000000"/>
                <w:kern w:val="0"/>
                <w:sz w:val="24"/>
                <w:szCs w:val="28"/>
                <w:highlight w:val="none"/>
                <w:lang w:val="en-US" w:eastAsia="zh-CN" w:bidi="ar-SA"/>
              </w:rPr>
              <w:t>2-3</w:t>
            </w:r>
            <w:r>
              <w:rPr>
                <w:rFonts w:hint="default" w:ascii="Times New Roman" w:hAnsi="Times New Roman" w:eastAsia="宋体" w:cs="Times New Roman"/>
                <w:color w:val="000000"/>
                <w:kern w:val="0"/>
                <w:sz w:val="24"/>
                <w:szCs w:val="28"/>
                <w:highlight w:val="none"/>
                <w:lang w:val="en-US" w:eastAsia="zh-CN" w:bidi="ar-SA"/>
              </w:rPr>
              <w:t>建设项目平面布置图。</w:t>
            </w:r>
          </w:p>
        </w:tc>
      </w:tr>
      <w:tr w14:paraId="469D1B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433" w:type="dxa"/>
            <w:tcBorders>
              <w:tl2br w:val="nil"/>
              <w:tr2bl w:val="nil"/>
            </w:tcBorders>
            <w:noWrap w:val="0"/>
            <w:vAlign w:val="center"/>
          </w:tcPr>
          <w:p w14:paraId="02997CDB">
            <w:pPr>
              <w:pStyle w:val="19"/>
              <w:adjustRightInd w:val="0"/>
              <w:snapToGrid w:val="0"/>
              <w:spacing w:before="0" w:beforeAutospacing="0" w:after="0" w:afterAutospacing="0"/>
              <w:jc w:val="center"/>
              <w:rPr>
                <w:rFonts w:cs="宋体"/>
                <w:sz w:val="21"/>
                <w:szCs w:val="21"/>
              </w:rPr>
            </w:pPr>
            <w:r>
              <w:rPr>
                <w:rFonts w:hint="eastAsia" w:cs="宋体"/>
                <w:b/>
                <w:bCs/>
                <w:sz w:val="28"/>
                <w:szCs w:val="28"/>
              </w:rPr>
              <w:t>工艺流程和产排污环节</w:t>
            </w:r>
          </w:p>
        </w:tc>
        <w:tc>
          <w:tcPr>
            <w:tcW w:w="8627" w:type="dxa"/>
            <w:tcBorders>
              <w:tl2br w:val="nil"/>
              <w:tr2bl w:val="nil"/>
            </w:tcBorders>
            <w:noWrap w:val="0"/>
            <w:vAlign w:val="top"/>
          </w:tcPr>
          <w:p w14:paraId="24A3E2BD">
            <w:pPr>
              <w:adjustRightInd w:val="0"/>
              <w:snapToGrid w:val="0"/>
              <w:jc w:val="center"/>
              <w:rPr>
                <w:rFonts w:hint="eastAsia" w:ascii="宋体" w:hAnsi="宋体" w:eastAsia="宋体" w:cs="Times New Roman"/>
                <w:bCs/>
                <w:szCs w:val="21"/>
                <w:lang w:eastAsia="zh-CN"/>
              </w:rPr>
            </w:pPr>
            <w:r>
              <w:rPr>
                <w:rFonts w:hint="eastAsia" w:ascii="宋体" w:hAnsi="宋体" w:eastAsia="宋体" w:cs="Times New Roman"/>
                <w:bCs/>
                <w:szCs w:val="21"/>
                <w:lang w:eastAsia="zh-CN"/>
              </w:rPr>
              <w:drawing>
                <wp:inline distT="0" distB="0" distL="114300" distR="114300">
                  <wp:extent cx="4159250" cy="4145915"/>
                  <wp:effectExtent l="0" t="0" r="0" b="0"/>
                  <wp:docPr id="25" name="ECB019B1-382A-4266-B25C-5B523AA43C14-2" descr="C:/Users/MyPC/AppData/Local/Temp/wps.ewWaXt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CB019B1-382A-4266-B25C-5B523AA43C14-2" descr="C:/Users/MyPC/AppData/Local/Temp/wps.ewWaXtwps"/>
                          <pic:cNvPicPr>
                            <a:picLocks noChangeAspect="1"/>
                          </pic:cNvPicPr>
                        </pic:nvPicPr>
                        <pic:blipFill>
                          <a:blip r:embed="rId10"/>
                          <a:stretch>
                            <a:fillRect/>
                          </a:stretch>
                        </pic:blipFill>
                        <pic:spPr>
                          <a:xfrm>
                            <a:off x="0" y="0"/>
                            <a:ext cx="4159250" cy="4145915"/>
                          </a:xfrm>
                          <a:prstGeom prst="rect">
                            <a:avLst/>
                          </a:prstGeom>
                        </pic:spPr>
                      </pic:pic>
                    </a:graphicData>
                  </a:graphic>
                </wp:inline>
              </w:drawing>
            </w:r>
          </w:p>
          <w:p w14:paraId="51BB952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图2-3   石灰石粉生产线工艺流程及产污环节图</w:t>
            </w:r>
          </w:p>
          <w:p w14:paraId="424CD2F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工艺流程简述</w:t>
            </w:r>
          </w:p>
          <w:p w14:paraId="157B01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000000"/>
                <w:sz w:val="24"/>
                <w:highlight w:val="none"/>
                <w:lang w:val="en-US" w:eastAsia="zh-CN"/>
              </w:rPr>
            </w:pPr>
            <w:r>
              <w:rPr>
                <w:rFonts w:hint="default" w:ascii="Times New Roman" w:hAnsi="Times New Roman" w:eastAsia="宋体" w:cs="Times New Roman"/>
                <w:b w:val="0"/>
                <w:bCs w:val="0"/>
                <w:color w:val="000000"/>
                <w:sz w:val="24"/>
                <w:highlight w:val="none"/>
                <w:lang w:val="en-US" w:eastAsia="zh-CN"/>
              </w:rPr>
              <w:t>原料投入：以石灰石矿石为原料，进入生产系统。</w:t>
            </w:r>
            <w:r>
              <w:rPr>
                <w:rFonts w:hint="eastAsia" w:cs="Times New Roman"/>
                <w:b w:val="0"/>
                <w:bCs w:val="0"/>
                <w:color w:val="000000"/>
                <w:sz w:val="24"/>
                <w:highlight w:val="none"/>
                <w:lang w:val="en-US" w:eastAsia="zh-CN"/>
              </w:rPr>
              <w:t>本项目原料贮存在原料堆棚内，铲车上料至上料口，通过输送带输送至雷蒙磨和鄂式破碎机，输送带进行封闭。</w:t>
            </w:r>
          </w:p>
          <w:p w14:paraId="08463B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000000"/>
                <w:sz w:val="24"/>
                <w:highlight w:val="none"/>
                <w:lang w:val="en-US" w:eastAsia="zh-CN"/>
              </w:rPr>
            </w:pPr>
            <w:r>
              <w:rPr>
                <w:rFonts w:hint="eastAsia" w:ascii="Times New Roman" w:hAnsi="Times New Roman" w:eastAsia="宋体" w:cs="Times New Roman"/>
                <w:b w:val="0"/>
                <w:bCs w:val="0"/>
                <w:color w:val="000000"/>
                <w:sz w:val="24"/>
                <w:highlight w:val="none"/>
                <w:lang w:val="en-US" w:eastAsia="zh-CN"/>
              </w:rPr>
              <w:t>雷蒙磨</w:t>
            </w:r>
            <w:r>
              <w:rPr>
                <w:rFonts w:hint="default" w:ascii="Times New Roman" w:hAnsi="Times New Roman" w:eastAsia="宋体" w:cs="Times New Roman"/>
                <w:b w:val="0"/>
                <w:bCs w:val="0"/>
                <w:color w:val="000000"/>
                <w:sz w:val="24"/>
                <w:highlight w:val="none"/>
                <w:lang w:val="en-US" w:eastAsia="zh-CN"/>
              </w:rPr>
              <w:t>：物料进入雷蒙磨，将块状物料磨成</w:t>
            </w:r>
            <w:r>
              <w:rPr>
                <w:rFonts w:hint="eastAsia" w:ascii="Times New Roman" w:hAnsi="Times New Roman" w:eastAsia="宋体" w:cs="Times New Roman"/>
                <w:b w:val="0"/>
                <w:bCs w:val="0"/>
                <w:color w:val="000000"/>
                <w:sz w:val="24"/>
                <w:highlight w:val="none"/>
                <w:lang w:val="en-US" w:eastAsia="zh-CN"/>
              </w:rPr>
              <w:t>粉末状，雷蒙磨内部设置分级筛，根据设置筛出325目和600目</w:t>
            </w:r>
            <w:r>
              <w:rPr>
                <w:rFonts w:hint="default" w:ascii="Times New Roman" w:hAnsi="Times New Roman" w:eastAsia="宋体" w:cs="Times New Roman"/>
                <w:b w:val="0"/>
                <w:bCs w:val="0"/>
                <w:color w:val="000000"/>
                <w:sz w:val="24"/>
                <w:highlight w:val="none"/>
                <w:lang w:val="en-US" w:eastAsia="zh-CN"/>
              </w:rPr>
              <w:t>。</w:t>
            </w:r>
          </w:p>
          <w:p w14:paraId="71A150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000000"/>
                <w:sz w:val="24"/>
                <w:highlight w:val="none"/>
                <w:lang w:val="en-US" w:eastAsia="zh-CN"/>
              </w:rPr>
            </w:pPr>
            <w:r>
              <w:rPr>
                <w:rFonts w:hint="eastAsia" w:ascii="Times New Roman" w:hAnsi="Times New Roman" w:eastAsia="宋体" w:cs="Times New Roman"/>
                <w:b w:val="0"/>
                <w:bCs w:val="0"/>
                <w:color w:val="000000"/>
                <w:sz w:val="24"/>
                <w:highlight w:val="none"/>
                <w:lang w:val="en-US" w:eastAsia="zh-CN"/>
              </w:rPr>
              <w:t>鄂式破碎：在生产60-80目产品时，使用鄂式破碎机对石灰石矿石进行破碎，破碎后经振动筛筛选后大于60目的重新回到破碎机内进行破碎，经振动筛筛选</w:t>
            </w:r>
            <w:r>
              <w:rPr>
                <w:rFonts w:hint="eastAsia" w:cs="Times New Roman"/>
                <w:b w:val="0"/>
                <w:bCs w:val="0"/>
                <w:color w:val="000000"/>
                <w:sz w:val="24"/>
                <w:highlight w:val="none"/>
                <w:lang w:val="en-US" w:eastAsia="zh-CN"/>
              </w:rPr>
              <w:t>后</w:t>
            </w:r>
            <w:r>
              <w:rPr>
                <w:rFonts w:hint="eastAsia" w:ascii="Times New Roman" w:hAnsi="Times New Roman" w:eastAsia="宋体" w:cs="Times New Roman"/>
                <w:b w:val="0"/>
                <w:bCs w:val="0"/>
                <w:color w:val="000000"/>
                <w:sz w:val="24"/>
                <w:highlight w:val="none"/>
                <w:lang w:val="en-US" w:eastAsia="zh-CN"/>
              </w:rPr>
              <w:t>小于60目的进入高级分级机内进行分选，分选出60-80目的产品，小于80目的进入雷蒙磨。</w:t>
            </w:r>
          </w:p>
          <w:p w14:paraId="2A94E2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000000"/>
                <w:sz w:val="24"/>
                <w:highlight w:val="none"/>
                <w:lang w:val="en-US" w:eastAsia="zh-CN"/>
              </w:rPr>
            </w:pPr>
            <w:r>
              <w:rPr>
                <w:rFonts w:hint="default" w:ascii="Times New Roman" w:hAnsi="Times New Roman" w:eastAsia="宋体" w:cs="Times New Roman"/>
                <w:b w:val="0"/>
                <w:bCs w:val="0"/>
                <w:color w:val="000000"/>
                <w:sz w:val="24"/>
                <w:highlight w:val="none"/>
                <w:lang w:val="en-US" w:eastAsia="zh-CN"/>
              </w:rPr>
              <w:t>成品打包：合格的石灰石粉最终进行打包，对外销售。</w:t>
            </w:r>
          </w:p>
          <w:p w14:paraId="0CE063F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bCs/>
                <w:color w:val="000000"/>
                <w:sz w:val="24"/>
                <w:highlight w:val="none"/>
                <w:lang w:val="en-US" w:eastAsia="zh-CN"/>
              </w:rPr>
            </w:pPr>
            <w:r>
              <w:rPr>
                <w:rFonts w:hint="default" w:ascii="Times New Roman" w:hAnsi="Times New Roman" w:eastAsia="宋体" w:cs="Times New Roman"/>
                <w:b/>
                <w:bCs/>
                <w:color w:val="000000"/>
                <w:sz w:val="24"/>
                <w:highlight w:val="none"/>
                <w:lang w:val="en-US" w:eastAsia="zh-CN"/>
              </w:rPr>
              <w:t>产污环节描述</w:t>
            </w:r>
          </w:p>
          <w:p w14:paraId="4B3537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000000"/>
                <w:sz w:val="24"/>
                <w:highlight w:val="none"/>
                <w:lang w:val="en-US" w:eastAsia="zh-CN"/>
              </w:rPr>
            </w:pPr>
            <w:r>
              <w:rPr>
                <w:rFonts w:hint="default" w:ascii="Times New Roman" w:hAnsi="Times New Roman" w:eastAsia="宋体" w:cs="Times New Roman"/>
                <w:b w:val="0"/>
                <w:bCs w:val="0"/>
                <w:color w:val="000000"/>
                <w:sz w:val="24"/>
                <w:highlight w:val="none"/>
                <w:lang w:val="en-US" w:eastAsia="zh-CN"/>
              </w:rPr>
              <w:t>生产过程中各工序均产生废气和噪声污染，具体如下：</w:t>
            </w:r>
          </w:p>
          <w:p w14:paraId="772D0F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000000"/>
                <w:sz w:val="24"/>
                <w:highlight w:val="none"/>
                <w:lang w:val="en-US" w:eastAsia="zh-CN"/>
              </w:rPr>
            </w:pPr>
            <w:r>
              <w:rPr>
                <w:rFonts w:hint="default" w:ascii="Times New Roman" w:hAnsi="Times New Roman" w:eastAsia="宋体" w:cs="Times New Roman"/>
                <w:b w:val="0"/>
                <w:bCs w:val="0"/>
                <w:color w:val="000000"/>
                <w:sz w:val="24"/>
                <w:highlight w:val="none"/>
                <w:lang w:val="en-US" w:eastAsia="zh-CN"/>
              </w:rPr>
              <w:t>雷蒙磨工序：磨机高速研磨物料时，设备产生机械噪声；研磨过程中粉尘随气流运动，产生废气（粉尘）。</w:t>
            </w:r>
          </w:p>
          <w:p w14:paraId="2F9B58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000000"/>
                <w:sz w:val="24"/>
                <w:highlight w:val="none"/>
                <w:lang w:val="en-US" w:eastAsia="zh-CN"/>
              </w:rPr>
            </w:pPr>
            <w:r>
              <w:rPr>
                <w:rFonts w:hint="eastAsia" w:ascii="Times New Roman" w:hAnsi="Times New Roman" w:eastAsia="宋体" w:cs="Times New Roman"/>
                <w:b w:val="0"/>
                <w:bCs w:val="0"/>
                <w:color w:val="000000"/>
                <w:sz w:val="24"/>
                <w:highlight w:val="none"/>
                <w:lang w:val="en-US" w:eastAsia="zh-CN"/>
              </w:rPr>
              <w:t>包装</w:t>
            </w:r>
            <w:r>
              <w:rPr>
                <w:rFonts w:hint="default" w:ascii="Times New Roman" w:hAnsi="Times New Roman" w:eastAsia="宋体" w:cs="Times New Roman"/>
                <w:b w:val="0"/>
                <w:bCs w:val="0"/>
                <w:color w:val="000000"/>
                <w:sz w:val="24"/>
                <w:highlight w:val="none"/>
                <w:lang w:val="en-US" w:eastAsia="zh-CN"/>
              </w:rPr>
              <w:t>外售工序：</w:t>
            </w:r>
            <w:r>
              <w:rPr>
                <w:rFonts w:hint="eastAsia" w:ascii="Times New Roman" w:hAnsi="Times New Roman" w:eastAsia="宋体" w:cs="Times New Roman"/>
                <w:b w:val="0"/>
                <w:bCs w:val="0"/>
                <w:color w:val="000000"/>
                <w:sz w:val="24"/>
                <w:highlight w:val="none"/>
                <w:lang w:val="en-US" w:eastAsia="zh-CN"/>
              </w:rPr>
              <w:t>包装</w:t>
            </w:r>
            <w:r>
              <w:rPr>
                <w:rFonts w:hint="default" w:ascii="Times New Roman" w:hAnsi="Times New Roman" w:eastAsia="宋体" w:cs="Times New Roman"/>
                <w:b w:val="0"/>
                <w:bCs w:val="0"/>
                <w:color w:val="000000"/>
                <w:sz w:val="24"/>
                <w:highlight w:val="none"/>
                <w:lang w:val="en-US" w:eastAsia="zh-CN"/>
              </w:rPr>
              <w:t>过程中扬起粉尘，产生废气（粉尘）；</w:t>
            </w:r>
            <w:r>
              <w:rPr>
                <w:rFonts w:hint="eastAsia" w:ascii="Times New Roman" w:hAnsi="Times New Roman" w:eastAsia="宋体" w:cs="Times New Roman"/>
                <w:b w:val="0"/>
                <w:bCs w:val="0"/>
                <w:color w:val="000000"/>
                <w:sz w:val="24"/>
                <w:highlight w:val="none"/>
                <w:lang w:val="en-US" w:eastAsia="zh-CN"/>
              </w:rPr>
              <w:t>包装</w:t>
            </w:r>
            <w:r>
              <w:rPr>
                <w:rFonts w:hint="default" w:ascii="Times New Roman" w:hAnsi="Times New Roman" w:eastAsia="宋体" w:cs="Times New Roman"/>
                <w:b w:val="0"/>
                <w:bCs w:val="0"/>
                <w:color w:val="000000"/>
                <w:sz w:val="24"/>
                <w:highlight w:val="none"/>
                <w:lang w:val="en-US" w:eastAsia="zh-CN"/>
              </w:rPr>
              <w:t>设备运转产生机械噪声。</w:t>
            </w:r>
          </w:p>
          <w:p w14:paraId="03B3EC7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腻子粉生产线</w:t>
            </w:r>
          </w:p>
          <w:p w14:paraId="5FCB1D1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val="0"/>
                <w:bCs w:val="0"/>
                <w:color w:val="000000"/>
                <w:sz w:val="24"/>
                <w:highlight w:val="none"/>
                <w:lang w:val="en-US" w:eastAsia="zh-CN"/>
              </w:rPr>
            </w:pPr>
            <w:r>
              <w:rPr>
                <w:rFonts w:hint="default" w:ascii="Times New Roman" w:hAnsi="Times New Roman" w:eastAsia="宋体" w:cs="Times New Roman"/>
                <w:b w:val="0"/>
                <w:bCs w:val="0"/>
                <w:color w:val="000000"/>
                <w:sz w:val="24"/>
                <w:highlight w:val="none"/>
                <w:lang w:val="en-US" w:eastAsia="zh-CN"/>
              </w:rPr>
              <w:drawing>
                <wp:inline distT="0" distB="0" distL="114300" distR="114300">
                  <wp:extent cx="2413635" cy="1894205"/>
                  <wp:effectExtent l="0" t="0" r="0" b="0"/>
                  <wp:docPr id="4" name="ECB019B1-382A-4266-B25C-5B523AA43C14-3" descr="C:/Users/MyPC/AppData/Local/Temp/wps.koXulN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3" descr="C:/Users/MyPC/AppData/Local/Temp/wps.koXulNwps"/>
                          <pic:cNvPicPr>
                            <a:picLocks noChangeAspect="1"/>
                          </pic:cNvPicPr>
                        </pic:nvPicPr>
                        <pic:blipFill>
                          <a:blip r:embed="rId11"/>
                          <a:srcRect t="6676" b="3595"/>
                          <a:stretch>
                            <a:fillRect/>
                          </a:stretch>
                        </pic:blipFill>
                        <pic:spPr>
                          <a:xfrm>
                            <a:off x="0" y="0"/>
                            <a:ext cx="2413635" cy="1894205"/>
                          </a:xfrm>
                          <a:prstGeom prst="rect">
                            <a:avLst/>
                          </a:prstGeom>
                          <a:noFill/>
                          <a:ln>
                            <a:noFill/>
                          </a:ln>
                        </pic:spPr>
                      </pic:pic>
                    </a:graphicData>
                  </a:graphic>
                </wp:inline>
              </w:drawing>
            </w:r>
          </w:p>
          <w:p w14:paraId="287745E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 xml:space="preserve">图2-4   腻子粉生产线工艺流程及产污环节图 </w:t>
            </w:r>
          </w:p>
          <w:p w14:paraId="3F66CB81">
            <w:pPr>
              <w:spacing w:line="360" w:lineRule="auto"/>
              <w:rPr>
                <w:rFonts w:hint="eastAsia"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工艺流程简述</w:t>
            </w:r>
          </w:p>
          <w:p w14:paraId="47AE3D37">
            <w:pPr>
              <w:spacing w:line="360" w:lineRule="auto"/>
              <w:ind w:firstLine="480" w:firstLineChars="200"/>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上料：使用325目的石灰石粉与</w:t>
            </w:r>
            <w:r>
              <w:rPr>
                <w:rFonts w:hint="default" w:ascii="Times New Roman" w:hAnsi="Times New Roman" w:eastAsia="宋体" w:cs="Times New Roman"/>
                <w:color w:val="000000"/>
                <w:sz w:val="24"/>
                <w:szCs w:val="24"/>
                <w:highlight w:val="none"/>
                <w:lang w:val="en-US" w:eastAsia="zh-CN"/>
              </w:rPr>
              <w:t>纤维素</w:t>
            </w:r>
            <w:r>
              <w:rPr>
                <w:rFonts w:hint="eastAsia" w:ascii="Times New Roman" w:hAnsi="Times New Roman" w:eastAsia="宋体" w:cs="Times New Roman"/>
                <w:color w:val="000000"/>
                <w:sz w:val="24"/>
                <w:szCs w:val="24"/>
                <w:highlight w:val="none"/>
                <w:lang w:val="en-US" w:eastAsia="zh-CN"/>
              </w:rPr>
              <w:t>作为原料，按照4:1的比例进行配料。</w:t>
            </w:r>
          </w:p>
          <w:p w14:paraId="33EB2AE1">
            <w:pPr>
              <w:spacing w:line="360" w:lineRule="auto"/>
              <w:ind w:firstLine="480" w:firstLineChars="200"/>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搅拌：上料后的325目的石灰石粉与纤维素在高效双轴搅拌机内进行均匀的搅拌。</w:t>
            </w:r>
          </w:p>
          <w:p w14:paraId="6132BCB0">
            <w:pPr>
              <w:spacing w:line="360" w:lineRule="auto"/>
              <w:ind w:firstLine="480" w:firstLineChars="200"/>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成品</w:t>
            </w:r>
            <w:r>
              <w:rPr>
                <w:rFonts w:hint="eastAsia" w:ascii="Times New Roman" w:hAnsi="Times New Roman" w:eastAsia="宋体" w:cs="Times New Roman"/>
                <w:color w:val="000000"/>
                <w:sz w:val="24"/>
                <w:szCs w:val="24"/>
                <w:highlight w:val="none"/>
                <w:lang w:val="en-US" w:eastAsia="zh-CN"/>
              </w:rPr>
              <w:t>包装</w:t>
            </w:r>
            <w:r>
              <w:rPr>
                <w:rFonts w:hint="default" w:ascii="Times New Roman" w:hAnsi="Times New Roman" w:eastAsia="宋体" w:cs="Times New Roman"/>
                <w:color w:val="000000"/>
                <w:sz w:val="24"/>
                <w:szCs w:val="24"/>
                <w:highlight w:val="none"/>
                <w:lang w:val="en-US" w:eastAsia="zh-CN"/>
              </w:rPr>
              <w:t>：合格的</w:t>
            </w:r>
            <w:r>
              <w:rPr>
                <w:rFonts w:hint="eastAsia" w:ascii="Times New Roman" w:hAnsi="Times New Roman" w:eastAsia="宋体" w:cs="Times New Roman"/>
                <w:color w:val="000000"/>
                <w:sz w:val="24"/>
                <w:szCs w:val="24"/>
                <w:highlight w:val="none"/>
                <w:lang w:val="en-US" w:eastAsia="zh-CN"/>
              </w:rPr>
              <w:t>腻子</w:t>
            </w:r>
            <w:r>
              <w:rPr>
                <w:rFonts w:hint="default" w:ascii="Times New Roman" w:hAnsi="Times New Roman" w:eastAsia="宋体" w:cs="Times New Roman"/>
                <w:color w:val="000000"/>
                <w:sz w:val="24"/>
                <w:szCs w:val="24"/>
                <w:highlight w:val="none"/>
                <w:lang w:val="en-US" w:eastAsia="zh-CN"/>
              </w:rPr>
              <w:t>粉最终进行</w:t>
            </w:r>
            <w:r>
              <w:rPr>
                <w:rFonts w:hint="eastAsia" w:ascii="Times New Roman" w:hAnsi="Times New Roman" w:eastAsia="宋体" w:cs="Times New Roman"/>
                <w:color w:val="000000"/>
                <w:sz w:val="24"/>
                <w:szCs w:val="24"/>
                <w:highlight w:val="none"/>
                <w:lang w:val="en-US" w:eastAsia="zh-CN"/>
              </w:rPr>
              <w:t>包装</w:t>
            </w:r>
            <w:r>
              <w:rPr>
                <w:rFonts w:hint="default" w:ascii="Times New Roman" w:hAnsi="Times New Roman" w:eastAsia="宋体" w:cs="Times New Roman"/>
                <w:color w:val="000000"/>
                <w:sz w:val="24"/>
                <w:szCs w:val="24"/>
                <w:highlight w:val="none"/>
                <w:lang w:val="en-US" w:eastAsia="zh-CN"/>
              </w:rPr>
              <w:t>，对外销售。</w:t>
            </w:r>
          </w:p>
          <w:p w14:paraId="181E389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bCs/>
                <w:color w:val="000000"/>
                <w:sz w:val="24"/>
                <w:highlight w:val="none"/>
                <w:lang w:val="en-US" w:eastAsia="zh-CN"/>
              </w:rPr>
            </w:pPr>
            <w:r>
              <w:rPr>
                <w:rFonts w:hint="default" w:ascii="Times New Roman" w:hAnsi="Times New Roman" w:eastAsia="宋体" w:cs="Times New Roman"/>
                <w:b/>
                <w:bCs/>
                <w:color w:val="000000"/>
                <w:sz w:val="24"/>
                <w:highlight w:val="none"/>
                <w:lang w:val="en-US" w:eastAsia="zh-CN"/>
              </w:rPr>
              <w:t>产污环节描述</w:t>
            </w:r>
          </w:p>
          <w:p w14:paraId="1F6BC018">
            <w:pPr>
              <w:spacing w:line="360" w:lineRule="auto"/>
              <w:ind w:firstLine="480" w:firstLineChars="200"/>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生产过程中各工序均产生废气和噪声，具体如下：</w:t>
            </w:r>
          </w:p>
          <w:p w14:paraId="18377252">
            <w:pPr>
              <w:spacing w:line="360" w:lineRule="auto"/>
              <w:ind w:firstLine="480" w:firstLineChars="200"/>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上料工序：上料过程中主要产生废气（粉尘）、固废（废包装袋）。</w:t>
            </w:r>
          </w:p>
          <w:p w14:paraId="2B78239C">
            <w:pPr>
              <w:spacing w:line="360" w:lineRule="auto"/>
              <w:ind w:firstLine="480" w:firstLineChars="200"/>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搅拌工序：搅拌过程主要产生废气（粉尘）、设备运转噪声。</w:t>
            </w:r>
          </w:p>
          <w:p w14:paraId="47F29B07">
            <w:pPr>
              <w:spacing w:line="360" w:lineRule="auto"/>
              <w:ind w:firstLine="480" w:firstLineChars="200"/>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包装</w:t>
            </w:r>
            <w:r>
              <w:rPr>
                <w:rFonts w:hint="default" w:ascii="Times New Roman" w:hAnsi="Times New Roman" w:eastAsia="宋体" w:cs="Times New Roman"/>
                <w:color w:val="000000"/>
                <w:sz w:val="24"/>
                <w:szCs w:val="24"/>
                <w:highlight w:val="none"/>
                <w:lang w:val="en-US" w:eastAsia="zh-CN"/>
              </w:rPr>
              <w:t>外售工序：物料</w:t>
            </w:r>
            <w:r>
              <w:rPr>
                <w:rFonts w:hint="eastAsia" w:ascii="Times New Roman" w:hAnsi="Times New Roman" w:eastAsia="宋体" w:cs="Times New Roman"/>
                <w:color w:val="000000"/>
                <w:sz w:val="24"/>
                <w:szCs w:val="24"/>
                <w:highlight w:val="none"/>
                <w:lang w:val="en-US" w:eastAsia="zh-CN"/>
              </w:rPr>
              <w:t>包装</w:t>
            </w:r>
            <w:r>
              <w:rPr>
                <w:rFonts w:hint="default" w:ascii="Times New Roman" w:hAnsi="Times New Roman" w:eastAsia="宋体" w:cs="Times New Roman"/>
                <w:color w:val="000000"/>
                <w:sz w:val="24"/>
                <w:szCs w:val="24"/>
                <w:highlight w:val="none"/>
                <w:lang w:val="en-US" w:eastAsia="zh-CN"/>
              </w:rPr>
              <w:t>过程中扬起粉尘，产生废气（粉尘）；</w:t>
            </w:r>
            <w:r>
              <w:rPr>
                <w:rFonts w:hint="eastAsia" w:ascii="Times New Roman" w:hAnsi="Times New Roman" w:eastAsia="宋体" w:cs="Times New Roman"/>
                <w:color w:val="000000"/>
                <w:sz w:val="24"/>
                <w:szCs w:val="24"/>
                <w:highlight w:val="none"/>
                <w:lang w:val="en-US" w:eastAsia="zh-CN"/>
              </w:rPr>
              <w:t>包装</w:t>
            </w:r>
            <w:r>
              <w:rPr>
                <w:rFonts w:hint="default" w:ascii="Times New Roman" w:hAnsi="Times New Roman" w:eastAsia="宋体" w:cs="Times New Roman"/>
                <w:color w:val="000000"/>
                <w:sz w:val="24"/>
                <w:szCs w:val="24"/>
                <w:highlight w:val="none"/>
                <w:lang w:val="en-US" w:eastAsia="zh-CN"/>
              </w:rPr>
              <w:t>设备运转产生机械噪声。</w:t>
            </w:r>
          </w:p>
          <w:p w14:paraId="1387220F">
            <w:pPr>
              <w:spacing w:line="360" w:lineRule="auto"/>
              <w:ind w:firstLine="480" w:firstLineChars="200"/>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本项目排污节点一见表2-6。</w:t>
            </w:r>
          </w:p>
          <w:p w14:paraId="155A6130">
            <w:pPr>
              <w:adjustRightInd w:val="0"/>
              <w:snapToGrid w:val="0"/>
              <w:jc w:val="center"/>
              <w:rPr>
                <w:rFonts w:hint="default" w:ascii="Times New Roman" w:hAnsi="Times New Roman" w:eastAsia="宋体" w:cs="Times New Roman"/>
                <w:b/>
                <w:bCs/>
                <w:color w:val="000000"/>
                <w:sz w:val="24"/>
                <w:szCs w:val="24"/>
                <w:highlight w:val="none"/>
                <w:lang w:val="en-US" w:eastAsia="zh-CN"/>
              </w:rPr>
            </w:pPr>
            <w:bookmarkStart w:id="11" w:name="_Hlk69063382"/>
            <w:r>
              <w:rPr>
                <w:rFonts w:hint="eastAsia" w:ascii="Times New Roman" w:hAnsi="Times New Roman" w:eastAsia="宋体" w:cs="Times New Roman"/>
                <w:b/>
                <w:bCs/>
                <w:color w:val="000000"/>
                <w:sz w:val="24"/>
                <w:szCs w:val="24"/>
                <w:highlight w:val="none"/>
                <w:lang w:val="en-US" w:eastAsia="zh-CN"/>
              </w:rPr>
              <w:t>表2-6 本项目排污节点一览表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651"/>
              <w:gridCol w:w="1501"/>
              <w:gridCol w:w="2738"/>
              <w:gridCol w:w="3456"/>
            </w:tblGrid>
            <w:tr w14:paraId="128E1A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90" w:type="pct"/>
                  <w:tcBorders>
                    <w:tl2br w:val="nil"/>
                    <w:tr2bl w:val="nil"/>
                  </w:tcBorders>
                  <w:noWrap w:val="0"/>
                  <w:vAlign w:val="center"/>
                </w:tcPr>
                <w:p w14:paraId="3CD734CE">
                  <w:pPr>
                    <w:widowControl/>
                    <w:adjustRightInd w:val="0"/>
                    <w:snapToGrid w:val="0"/>
                    <w:spacing w:line="240" w:lineRule="auto"/>
                    <w:jc w:val="center"/>
                    <w:rPr>
                      <w:rFonts w:hint="eastAsia" w:ascii="Times New Roman" w:hAnsi="Times New Roman" w:eastAsia="宋体" w:cs="Times New Roman"/>
                      <w:b w:val="0"/>
                      <w:bCs w:val="0"/>
                      <w:color w:val="000000"/>
                      <w:spacing w:val="0"/>
                      <w:kern w:val="0"/>
                      <w:sz w:val="21"/>
                      <w:szCs w:val="21"/>
                      <w:highlight w:val="none"/>
                      <w:lang w:val="en-US" w:eastAsia="zh-CN"/>
                    </w:rPr>
                  </w:pPr>
                  <w:bookmarkStart w:id="12" w:name="_Hlk69063367"/>
                  <w:r>
                    <w:rPr>
                      <w:rFonts w:hint="eastAsia" w:ascii="Times New Roman" w:hAnsi="Times New Roman" w:eastAsia="宋体" w:cs="Times New Roman"/>
                      <w:b w:val="0"/>
                      <w:bCs w:val="0"/>
                      <w:color w:val="000000"/>
                      <w:spacing w:val="0"/>
                      <w:kern w:val="0"/>
                      <w:sz w:val="21"/>
                      <w:szCs w:val="21"/>
                      <w:highlight w:val="none"/>
                      <w:lang w:val="en-US" w:eastAsia="zh-CN"/>
                    </w:rPr>
                    <w:t>类型</w:t>
                  </w:r>
                </w:p>
              </w:tc>
              <w:tc>
                <w:tcPr>
                  <w:tcW w:w="899" w:type="pct"/>
                  <w:tcBorders>
                    <w:tl2br w:val="nil"/>
                    <w:tr2bl w:val="nil"/>
                  </w:tcBorders>
                  <w:noWrap w:val="0"/>
                  <w:vAlign w:val="center"/>
                </w:tcPr>
                <w:p w14:paraId="4C2B81A9">
                  <w:pPr>
                    <w:widowControl/>
                    <w:adjustRightInd w:val="0"/>
                    <w:snapToGrid w:val="0"/>
                    <w:spacing w:line="240" w:lineRule="auto"/>
                    <w:jc w:val="center"/>
                    <w:rPr>
                      <w:rFonts w:hint="default" w:ascii="Times New Roman" w:hAnsi="Times New Roman" w:eastAsia="宋体" w:cs="Times New Roman"/>
                      <w:b w:val="0"/>
                      <w:bCs w:val="0"/>
                      <w:color w:val="000000"/>
                      <w:spacing w:val="0"/>
                      <w:kern w:val="0"/>
                      <w:sz w:val="21"/>
                      <w:szCs w:val="21"/>
                      <w:highlight w:val="none"/>
                      <w:lang w:val="en-US" w:eastAsia="zh-CN"/>
                    </w:rPr>
                  </w:pPr>
                  <w:r>
                    <w:rPr>
                      <w:rFonts w:hint="eastAsia" w:ascii="Times New Roman" w:hAnsi="Times New Roman" w:eastAsia="宋体" w:cs="Times New Roman"/>
                      <w:b w:val="0"/>
                      <w:bCs w:val="0"/>
                      <w:color w:val="000000"/>
                      <w:spacing w:val="0"/>
                      <w:kern w:val="0"/>
                      <w:sz w:val="21"/>
                      <w:szCs w:val="21"/>
                      <w:highlight w:val="none"/>
                      <w:lang w:val="en-US" w:eastAsia="zh-CN"/>
                    </w:rPr>
                    <w:t>产排污环节</w:t>
                  </w:r>
                </w:p>
              </w:tc>
              <w:tc>
                <w:tcPr>
                  <w:tcW w:w="1640" w:type="pct"/>
                  <w:tcBorders>
                    <w:tl2br w:val="nil"/>
                    <w:tr2bl w:val="nil"/>
                  </w:tcBorders>
                  <w:noWrap w:val="0"/>
                  <w:vAlign w:val="center"/>
                </w:tcPr>
                <w:p w14:paraId="1B9F832C">
                  <w:pPr>
                    <w:widowControl/>
                    <w:adjustRightInd w:val="0"/>
                    <w:snapToGrid w:val="0"/>
                    <w:spacing w:line="240" w:lineRule="auto"/>
                    <w:jc w:val="center"/>
                    <w:rPr>
                      <w:rFonts w:hint="default" w:ascii="Times New Roman" w:hAnsi="Times New Roman" w:eastAsia="宋体" w:cs="Times New Roman"/>
                      <w:b w:val="0"/>
                      <w:bCs w:val="0"/>
                      <w:color w:val="000000"/>
                      <w:spacing w:val="0"/>
                      <w:kern w:val="0"/>
                      <w:sz w:val="21"/>
                      <w:szCs w:val="21"/>
                      <w:highlight w:val="none"/>
                      <w:lang w:val="en-US" w:eastAsia="zh-CN"/>
                    </w:rPr>
                  </w:pPr>
                  <w:r>
                    <w:rPr>
                      <w:rFonts w:hint="eastAsia" w:ascii="Times New Roman" w:hAnsi="Times New Roman" w:eastAsia="宋体" w:cs="Times New Roman"/>
                      <w:b w:val="0"/>
                      <w:bCs w:val="0"/>
                      <w:color w:val="000000"/>
                      <w:spacing w:val="0"/>
                      <w:kern w:val="0"/>
                      <w:sz w:val="21"/>
                      <w:szCs w:val="21"/>
                      <w:highlight w:val="none"/>
                      <w:lang w:val="en-US" w:eastAsia="zh-CN"/>
                    </w:rPr>
                    <w:t>污染物种类</w:t>
                  </w:r>
                </w:p>
              </w:tc>
              <w:tc>
                <w:tcPr>
                  <w:tcW w:w="2069" w:type="pct"/>
                  <w:tcBorders>
                    <w:tl2br w:val="nil"/>
                    <w:tr2bl w:val="nil"/>
                  </w:tcBorders>
                  <w:noWrap w:val="0"/>
                  <w:vAlign w:val="center"/>
                </w:tcPr>
                <w:p w14:paraId="61700CA1">
                  <w:pPr>
                    <w:widowControl/>
                    <w:adjustRightInd w:val="0"/>
                    <w:snapToGrid w:val="0"/>
                    <w:spacing w:line="240" w:lineRule="auto"/>
                    <w:jc w:val="center"/>
                    <w:rPr>
                      <w:rFonts w:hint="eastAsia" w:ascii="Times New Roman" w:hAnsi="Times New Roman" w:eastAsia="宋体" w:cs="Times New Roman"/>
                      <w:b w:val="0"/>
                      <w:bCs w:val="0"/>
                      <w:color w:val="000000"/>
                      <w:spacing w:val="0"/>
                      <w:kern w:val="0"/>
                      <w:sz w:val="21"/>
                      <w:szCs w:val="21"/>
                      <w:highlight w:val="none"/>
                      <w:lang w:val="en-US" w:eastAsia="zh-CN"/>
                    </w:rPr>
                  </w:pPr>
                  <w:r>
                    <w:rPr>
                      <w:rFonts w:hint="eastAsia" w:ascii="Times New Roman" w:hAnsi="Times New Roman" w:eastAsia="宋体" w:cs="Times New Roman"/>
                      <w:b w:val="0"/>
                      <w:bCs w:val="0"/>
                      <w:color w:val="000000"/>
                      <w:spacing w:val="0"/>
                      <w:kern w:val="0"/>
                      <w:sz w:val="21"/>
                      <w:szCs w:val="21"/>
                      <w:highlight w:val="none"/>
                      <w:lang w:val="en-US" w:eastAsia="zh-CN"/>
                    </w:rPr>
                    <w:t>治理措施</w:t>
                  </w:r>
                </w:p>
              </w:tc>
            </w:tr>
            <w:tr w14:paraId="18FB97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90" w:type="pct"/>
                  <w:vMerge w:val="restart"/>
                  <w:tcBorders>
                    <w:tl2br w:val="nil"/>
                    <w:tr2bl w:val="nil"/>
                  </w:tcBorders>
                  <w:noWrap w:val="0"/>
                  <w:vAlign w:val="center"/>
                </w:tcPr>
                <w:p w14:paraId="0523530E">
                  <w:pPr>
                    <w:widowControl/>
                    <w:adjustRightInd w:val="0"/>
                    <w:snapToGrid w:val="0"/>
                    <w:spacing w:line="240" w:lineRule="auto"/>
                    <w:jc w:val="center"/>
                    <w:rPr>
                      <w:rFonts w:hint="eastAsia" w:ascii="Times New Roman" w:hAnsi="Times New Roman" w:eastAsia="宋体" w:cs="Times New Roman"/>
                      <w:b w:val="0"/>
                      <w:bCs w:val="0"/>
                      <w:color w:val="000000"/>
                      <w:spacing w:val="0"/>
                      <w:kern w:val="0"/>
                      <w:sz w:val="21"/>
                      <w:szCs w:val="21"/>
                      <w:highlight w:val="none"/>
                      <w:lang w:val="en-US" w:eastAsia="zh-CN"/>
                    </w:rPr>
                  </w:pPr>
                  <w:r>
                    <w:rPr>
                      <w:rFonts w:hint="eastAsia" w:ascii="Times New Roman" w:hAnsi="Times New Roman" w:eastAsia="宋体" w:cs="Times New Roman"/>
                      <w:b w:val="0"/>
                      <w:bCs w:val="0"/>
                      <w:color w:val="000000"/>
                      <w:spacing w:val="0"/>
                      <w:kern w:val="0"/>
                      <w:sz w:val="21"/>
                      <w:szCs w:val="21"/>
                      <w:highlight w:val="none"/>
                      <w:lang w:val="en-US" w:eastAsia="zh-CN"/>
                    </w:rPr>
                    <w:t>废气</w:t>
                  </w:r>
                </w:p>
              </w:tc>
              <w:tc>
                <w:tcPr>
                  <w:tcW w:w="899" w:type="pct"/>
                  <w:tcBorders>
                    <w:tl2br w:val="nil"/>
                    <w:tr2bl w:val="nil"/>
                  </w:tcBorders>
                  <w:noWrap w:val="0"/>
                  <w:vAlign w:val="center"/>
                </w:tcPr>
                <w:p w14:paraId="179AC23B">
                  <w:pPr>
                    <w:widowControl/>
                    <w:adjustRightInd w:val="0"/>
                    <w:snapToGrid w:val="0"/>
                    <w:spacing w:line="240" w:lineRule="auto"/>
                    <w:jc w:val="center"/>
                    <w:rPr>
                      <w:rFonts w:hint="default" w:ascii="Times New Roman" w:hAnsi="Times New Roman" w:eastAsia="宋体" w:cs="Times New Roman"/>
                      <w:b w:val="0"/>
                      <w:bCs w:val="0"/>
                      <w:color w:val="000000"/>
                      <w:spacing w:val="0"/>
                      <w:kern w:val="0"/>
                      <w:sz w:val="21"/>
                      <w:szCs w:val="21"/>
                      <w:highlight w:val="none"/>
                      <w:lang w:val="en-US" w:eastAsia="zh-CN"/>
                    </w:rPr>
                  </w:pPr>
                  <w:r>
                    <w:rPr>
                      <w:rFonts w:hint="eastAsia" w:ascii="Times New Roman" w:hAnsi="Times New Roman" w:eastAsia="宋体" w:cs="Times New Roman"/>
                      <w:b w:val="0"/>
                      <w:bCs w:val="0"/>
                      <w:color w:val="000000"/>
                      <w:spacing w:val="0"/>
                      <w:kern w:val="0"/>
                      <w:sz w:val="21"/>
                      <w:szCs w:val="21"/>
                      <w:highlight w:val="none"/>
                      <w:lang w:val="en-US" w:eastAsia="zh-CN"/>
                    </w:rPr>
                    <w:t>上料</w:t>
                  </w:r>
                </w:p>
              </w:tc>
              <w:tc>
                <w:tcPr>
                  <w:tcW w:w="1640" w:type="pct"/>
                  <w:tcBorders>
                    <w:tl2br w:val="nil"/>
                    <w:tr2bl w:val="nil"/>
                  </w:tcBorders>
                  <w:noWrap w:val="0"/>
                  <w:vAlign w:val="center"/>
                </w:tcPr>
                <w:p w14:paraId="33D4E817">
                  <w:pPr>
                    <w:widowControl/>
                    <w:adjustRightInd w:val="0"/>
                    <w:snapToGrid w:val="0"/>
                    <w:spacing w:line="240" w:lineRule="auto"/>
                    <w:jc w:val="center"/>
                    <w:rPr>
                      <w:rFonts w:hint="default" w:ascii="Times New Roman" w:hAnsi="Times New Roman" w:eastAsia="宋体" w:cs="Times New Roman"/>
                      <w:b w:val="0"/>
                      <w:bCs w:val="0"/>
                      <w:color w:val="000000"/>
                      <w:spacing w:val="0"/>
                      <w:kern w:val="0"/>
                      <w:sz w:val="21"/>
                      <w:szCs w:val="21"/>
                      <w:highlight w:val="none"/>
                      <w:lang w:val="en-US" w:eastAsia="zh-CN"/>
                    </w:rPr>
                  </w:pPr>
                  <w:r>
                    <w:rPr>
                      <w:rFonts w:hint="eastAsia" w:ascii="Times New Roman" w:hAnsi="Times New Roman" w:eastAsia="宋体" w:cs="Times New Roman"/>
                      <w:b w:val="0"/>
                      <w:bCs w:val="0"/>
                      <w:color w:val="000000"/>
                      <w:spacing w:val="0"/>
                      <w:kern w:val="0"/>
                      <w:sz w:val="21"/>
                      <w:szCs w:val="21"/>
                      <w:highlight w:val="none"/>
                      <w:lang w:val="en-US" w:eastAsia="zh-CN"/>
                    </w:rPr>
                    <w:t>颗粒物</w:t>
                  </w:r>
                </w:p>
              </w:tc>
              <w:tc>
                <w:tcPr>
                  <w:tcW w:w="2069" w:type="pct"/>
                  <w:tcBorders>
                    <w:tl2br w:val="nil"/>
                    <w:tr2bl w:val="nil"/>
                  </w:tcBorders>
                  <w:noWrap w:val="0"/>
                  <w:vAlign w:val="center"/>
                </w:tcPr>
                <w:p w14:paraId="50B28C77">
                  <w:pPr>
                    <w:widowControl/>
                    <w:adjustRightInd w:val="0"/>
                    <w:snapToGrid w:val="0"/>
                    <w:spacing w:line="240" w:lineRule="auto"/>
                    <w:jc w:val="center"/>
                    <w:rPr>
                      <w:rFonts w:hint="default" w:ascii="Times New Roman" w:hAnsi="Times New Roman" w:eastAsia="宋体" w:cs="Times New Roman"/>
                      <w:b w:val="0"/>
                      <w:bCs w:val="0"/>
                      <w:color w:val="000000"/>
                      <w:spacing w:val="0"/>
                      <w:kern w:val="0"/>
                      <w:sz w:val="21"/>
                      <w:szCs w:val="21"/>
                      <w:highlight w:val="none"/>
                      <w:lang w:val="en-US" w:eastAsia="zh-CN"/>
                    </w:rPr>
                  </w:pPr>
                  <w:r>
                    <w:rPr>
                      <w:rFonts w:hint="eastAsia" w:ascii="Times New Roman" w:hAnsi="Times New Roman" w:eastAsia="宋体" w:cs="Times New Roman"/>
                      <w:b w:val="0"/>
                      <w:bCs w:val="0"/>
                      <w:color w:val="000000"/>
                      <w:spacing w:val="0"/>
                      <w:kern w:val="0"/>
                      <w:sz w:val="21"/>
                      <w:szCs w:val="21"/>
                      <w:highlight w:val="none"/>
                      <w:lang w:val="en-US" w:eastAsia="zh-CN"/>
                    </w:rPr>
                    <w:t>三面围挡</w:t>
                  </w:r>
                </w:p>
              </w:tc>
            </w:tr>
            <w:tr w14:paraId="6E4FA1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90" w:type="pct"/>
                  <w:vMerge w:val="continue"/>
                  <w:tcBorders>
                    <w:tl2br w:val="nil"/>
                    <w:tr2bl w:val="nil"/>
                  </w:tcBorders>
                  <w:noWrap w:val="0"/>
                  <w:vAlign w:val="center"/>
                </w:tcPr>
                <w:p w14:paraId="211C2621">
                  <w:pPr>
                    <w:widowControl/>
                    <w:adjustRightInd w:val="0"/>
                    <w:snapToGrid w:val="0"/>
                    <w:spacing w:line="240" w:lineRule="auto"/>
                    <w:jc w:val="center"/>
                    <w:rPr>
                      <w:rFonts w:hint="eastAsia" w:ascii="Times New Roman" w:hAnsi="Times New Roman" w:eastAsia="宋体" w:cs="Times New Roman"/>
                      <w:b w:val="0"/>
                      <w:bCs w:val="0"/>
                      <w:color w:val="000000"/>
                      <w:spacing w:val="0"/>
                      <w:kern w:val="0"/>
                      <w:sz w:val="21"/>
                      <w:szCs w:val="21"/>
                      <w:highlight w:val="none"/>
                      <w:lang w:val="en-US" w:eastAsia="zh-CN"/>
                    </w:rPr>
                  </w:pPr>
                </w:p>
              </w:tc>
              <w:tc>
                <w:tcPr>
                  <w:tcW w:w="899" w:type="pct"/>
                  <w:tcBorders>
                    <w:tl2br w:val="nil"/>
                    <w:tr2bl w:val="nil"/>
                  </w:tcBorders>
                  <w:noWrap w:val="0"/>
                  <w:vAlign w:val="center"/>
                </w:tcPr>
                <w:p w14:paraId="79D30D75">
                  <w:pPr>
                    <w:widowControl/>
                    <w:adjustRightInd w:val="0"/>
                    <w:snapToGrid w:val="0"/>
                    <w:spacing w:line="240" w:lineRule="auto"/>
                    <w:jc w:val="center"/>
                    <w:rPr>
                      <w:rFonts w:hint="default" w:ascii="Times New Roman" w:hAnsi="Times New Roman" w:eastAsia="宋体" w:cs="Times New Roman"/>
                      <w:b w:val="0"/>
                      <w:bCs w:val="0"/>
                      <w:color w:val="000000"/>
                      <w:spacing w:val="0"/>
                      <w:kern w:val="0"/>
                      <w:sz w:val="21"/>
                      <w:szCs w:val="21"/>
                      <w:highlight w:val="none"/>
                      <w:lang w:val="en-US" w:eastAsia="zh-CN"/>
                    </w:rPr>
                  </w:pPr>
                  <w:r>
                    <w:rPr>
                      <w:rFonts w:hint="eastAsia" w:ascii="Times New Roman" w:hAnsi="Times New Roman" w:eastAsia="宋体" w:cs="Times New Roman"/>
                      <w:b w:val="0"/>
                      <w:bCs w:val="0"/>
                      <w:color w:val="000000"/>
                      <w:spacing w:val="0"/>
                      <w:kern w:val="0"/>
                      <w:sz w:val="21"/>
                      <w:szCs w:val="21"/>
                      <w:highlight w:val="none"/>
                      <w:lang w:val="en-US" w:eastAsia="zh-CN"/>
                    </w:rPr>
                    <w:t>鄂破、振动筛、分选</w:t>
                  </w:r>
                </w:p>
              </w:tc>
              <w:tc>
                <w:tcPr>
                  <w:tcW w:w="1640" w:type="pct"/>
                  <w:tcBorders>
                    <w:tl2br w:val="nil"/>
                    <w:tr2bl w:val="nil"/>
                  </w:tcBorders>
                  <w:noWrap w:val="0"/>
                  <w:vAlign w:val="center"/>
                </w:tcPr>
                <w:p w14:paraId="23029C91">
                  <w:pPr>
                    <w:widowControl/>
                    <w:adjustRightInd w:val="0"/>
                    <w:snapToGrid w:val="0"/>
                    <w:spacing w:line="240" w:lineRule="auto"/>
                    <w:jc w:val="center"/>
                    <w:rPr>
                      <w:rFonts w:hint="default" w:ascii="Times New Roman" w:hAnsi="Times New Roman" w:eastAsia="宋体" w:cs="Times New Roman"/>
                      <w:b w:val="0"/>
                      <w:bCs w:val="0"/>
                      <w:color w:val="000000"/>
                      <w:spacing w:val="0"/>
                      <w:kern w:val="0"/>
                      <w:sz w:val="21"/>
                      <w:szCs w:val="21"/>
                      <w:highlight w:val="none"/>
                      <w:lang w:val="en-US" w:eastAsia="zh-CN"/>
                    </w:rPr>
                  </w:pPr>
                  <w:r>
                    <w:rPr>
                      <w:rFonts w:hint="eastAsia" w:ascii="Times New Roman" w:hAnsi="Times New Roman" w:eastAsia="宋体" w:cs="Times New Roman"/>
                      <w:b w:val="0"/>
                      <w:bCs w:val="0"/>
                      <w:color w:val="000000"/>
                      <w:spacing w:val="0"/>
                      <w:kern w:val="0"/>
                      <w:sz w:val="21"/>
                      <w:szCs w:val="21"/>
                      <w:highlight w:val="none"/>
                      <w:lang w:val="en-US" w:eastAsia="zh-CN"/>
                    </w:rPr>
                    <w:t>颗粒物</w:t>
                  </w:r>
                </w:p>
              </w:tc>
              <w:tc>
                <w:tcPr>
                  <w:tcW w:w="2069" w:type="pct"/>
                  <w:tcBorders>
                    <w:tl2br w:val="nil"/>
                    <w:tr2bl w:val="nil"/>
                  </w:tcBorders>
                  <w:noWrap w:val="0"/>
                  <w:vAlign w:val="center"/>
                </w:tcPr>
                <w:p w14:paraId="33F81551">
                  <w:pPr>
                    <w:widowControl/>
                    <w:adjustRightInd w:val="0"/>
                    <w:snapToGrid w:val="0"/>
                    <w:spacing w:line="240" w:lineRule="auto"/>
                    <w:jc w:val="center"/>
                    <w:rPr>
                      <w:rFonts w:hint="default" w:ascii="Times New Roman" w:hAnsi="Times New Roman" w:eastAsia="宋体" w:cs="Times New Roman"/>
                      <w:b w:val="0"/>
                      <w:bCs w:val="0"/>
                      <w:color w:val="000000"/>
                      <w:spacing w:val="0"/>
                      <w:kern w:val="0"/>
                      <w:sz w:val="21"/>
                      <w:szCs w:val="21"/>
                      <w:highlight w:val="none"/>
                      <w:lang w:val="en-US" w:eastAsia="zh-CN"/>
                    </w:rPr>
                  </w:pPr>
                  <w:r>
                    <w:rPr>
                      <w:rFonts w:hint="eastAsia" w:ascii="Times New Roman" w:hAnsi="Times New Roman" w:eastAsia="宋体" w:cs="Times New Roman"/>
                      <w:b w:val="0"/>
                      <w:bCs w:val="0"/>
                      <w:color w:val="000000"/>
                      <w:spacing w:val="0"/>
                      <w:kern w:val="0"/>
                      <w:sz w:val="21"/>
                      <w:szCs w:val="21"/>
                      <w:highlight w:val="none"/>
                      <w:lang w:val="en-US" w:eastAsia="zh-CN"/>
                    </w:rPr>
                    <w:t>布袋除尘器+15m排气筒</w:t>
                  </w:r>
                </w:p>
              </w:tc>
            </w:tr>
            <w:tr w14:paraId="7C536F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90" w:type="pct"/>
                  <w:vMerge w:val="continue"/>
                  <w:tcBorders>
                    <w:tl2br w:val="nil"/>
                    <w:tr2bl w:val="nil"/>
                  </w:tcBorders>
                  <w:noWrap w:val="0"/>
                  <w:vAlign w:val="center"/>
                </w:tcPr>
                <w:p w14:paraId="2ABC2528">
                  <w:pPr>
                    <w:widowControl/>
                    <w:adjustRightInd w:val="0"/>
                    <w:snapToGrid w:val="0"/>
                    <w:spacing w:line="240" w:lineRule="auto"/>
                    <w:jc w:val="center"/>
                    <w:rPr>
                      <w:rFonts w:hint="eastAsia" w:ascii="Times New Roman" w:hAnsi="Times New Roman" w:eastAsia="宋体" w:cs="Times New Roman"/>
                      <w:b w:val="0"/>
                      <w:bCs w:val="0"/>
                      <w:color w:val="000000"/>
                      <w:spacing w:val="0"/>
                      <w:kern w:val="0"/>
                      <w:sz w:val="21"/>
                      <w:szCs w:val="21"/>
                      <w:highlight w:val="none"/>
                      <w:lang w:val="en-US" w:eastAsia="zh-CN"/>
                    </w:rPr>
                  </w:pPr>
                </w:p>
              </w:tc>
              <w:tc>
                <w:tcPr>
                  <w:tcW w:w="899" w:type="pct"/>
                  <w:tcBorders>
                    <w:tl2br w:val="nil"/>
                    <w:tr2bl w:val="nil"/>
                  </w:tcBorders>
                  <w:noWrap w:val="0"/>
                  <w:vAlign w:val="center"/>
                </w:tcPr>
                <w:p w14:paraId="00BA27DE">
                  <w:pPr>
                    <w:widowControl/>
                    <w:adjustRightInd w:val="0"/>
                    <w:snapToGrid w:val="0"/>
                    <w:spacing w:line="240" w:lineRule="auto"/>
                    <w:jc w:val="center"/>
                    <w:rPr>
                      <w:rFonts w:hint="default" w:ascii="Times New Roman" w:hAnsi="Times New Roman" w:eastAsia="宋体" w:cs="Times New Roman"/>
                      <w:b w:val="0"/>
                      <w:bCs w:val="0"/>
                      <w:color w:val="000000"/>
                      <w:spacing w:val="0"/>
                      <w:kern w:val="0"/>
                      <w:sz w:val="21"/>
                      <w:szCs w:val="21"/>
                      <w:highlight w:val="none"/>
                      <w:lang w:val="en-US" w:eastAsia="zh-CN"/>
                    </w:rPr>
                  </w:pPr>
                  <w:r>
                    <w:rPr>
                      <w:rFonts w:hint="eastAsia" w:ascii="Times New Roman" w:hAnsi="Times New Roman" w:eastAsia="宋体" w:cs="Times New Roman"/>
                      <w:b w:val="0"/>
                      <w:bCs w:val="0"/>
                      <w:color w:val="000000"/>
                      <w:spacing w:val="0"/>
                      <w:kern w:val="0"/>
                      <w:sz w:val="21"/>
                      <w:szCs w:val="21"/>
                      <w:highlight w:val="none"/>
                      <w:lang w:val="en-US" w:eastAsia="zh-CN"/>
                    </w:rPr>
                    <w:t>腻子粉生产</w:t>
                  </w:r>
                </w:p>
              </w:tc>
              <w:tc>
                <w:tcPr>
                  <w:tcW w:w="1640" w:type="pct"/>
                  <w:tcBorders>
                    <w:tl2br w:val="nil"/>
                    <w:tr2bl w:val="nil"/>
                  </w:tcBorders>
                  <w:noWrap w:val="0"/>
                  <w:vAlign w:val="center"/>
                </w:tcPr>
                <w:p w14:paraId="3A127F1F">
                  <w:pPr>
                    <w:widowControl/>
                    <w:adjustRightInd w:val="0"/>
                    <w:snapToGrid w:val="0"/>
                    <w:spacing w:line="240" w:lineRule="auto"/>
                    <w:jc w:val="center"/>
                    <w:rPr>
                      <w:rFonts w:hint="default" w:ascii="Times New Roman" w:hAnsi="Times New Roman" w:eastAsia="宋体" w:cs="Times New Roman"/>
                      <w:b w:val="0"/>
                      <w:bCs w:val="0"/>
                      <w:color w:val="000000"/>
                      <w:spacing w:val="0"/>
                      <w:kern w:val="0"/>
                      <w:sz w:val="21"/>
                      <w:szCs w:val="21"/>
                      <w:highlight w:val="none"/>
                      <w:lang w:val="en-US" w:eastAsia="zh-CN"/>
                    </w:rPr>
                  </w:pPr>
                  <w:r>
                    <w:rPr>
                      <w:rFonts w:hint="eastAsia" w:ascii="Times New Roman" w:hAnsi="Times New Roman" w:eastAsia="宋体" w:cs="Times New Roman"/>
                      <w:b w:val="0"/>
                      <w:bCs w:val="0"/>
                      <w:color w:val="000000"/>
                      <w:spacing w:val="0"/>
                      <w:kern w:val="0"/>
                      <w:sz w:val="21"/>
                      <w:szCs w:val="21"/>
                      <w:highlight w:val="none"/>
                      <w:lang w:val="en-US" w:eastAsia="zh-CN"/>
                    </w:rPr>
                    <w:t>颗粒物</w:t>
                  </w:r>
                </w:p>
              </w:tc>
              <w:tc>
                <w:tcPr>
                  <w:tcW w:w="2069" w:type="pct"/>
                  <w:tcBorders>
                    <w:tl2br w:val="nil"/>
                    <w:tr2bl w:val="nil"/>
                  </w:tcBorders>
                  <w:noWrap w:val="0"/>
                  <w:vAlign w:val="center"/>
                </w:tcPr>
                <w:p w14:paraId="5AE803F4">
                  <w:pPr>
                    <w:widowControl/>
                    <w:adjustRightInd w:val="0"/>
                    <w:snapToGrid w:val="0"/>
                    <w:spacing w:line="240" w:lineRule="auto"/>
                    <w:jc w:val="center"/>
                    <w:rPr>
                      <w:rFonts w:hint="default" w:ascii="Times New Roman" w:hAnsi="Times New Roman" w:eastAsia="宋体" w:cs="Times New Roman"/>
                      <w:b w:val="0"/>
                      <w:bCs w:val="0"/>
                      <w:color w:val="000000"/>
                      <w:spacing w:val="0"/>
                      <w:kern w:val="0"/>
                      <w:sz w:val="21"/>
                      <w:szCs w:val="21"/>
                      <w:highlight w:val="none"/>
                      <w:lang w:val="en-US" w:eastAsia="zh-CN"/>
                    </w:rPr>
                  </w:pPr>
                  <w:r>
                    <w:rPr>
                      <w:rFonts w:hint="eastAsia" w:ascii="Times New Roman" w:hAnsi="Times New Roman" w:eastAsia="宋体" w:cs="Times New Roman"/>
                      <w:b w:val="0"/>
                      <w:bCs w:val="0"/>
                      <w:color w:val="000000"/>
                      <w:spacing w:val="0"/>
                      <w:kern w:val="0"/>
                      <w:sz w:val="21"/>
                      <w:szCs w:val="21"/>
                      <w:highlight w:val="none"/>
                      <w:lang w:val="en-US" w:eastAsia="zh-CN"/>
                    </w:rPr>
                    <w:t>布袋除尘器+15m排气筒</w:t>
                  </w:r>
                </w:p>
              </w:tc>
            </w:tr>
            <w:tr w14:paraId="39D82B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90" w:type="pct"/>
                  <w:vMerge w:val="continue"/>
                  <w:tcBorders>
                    <w:tl2br w:val="nil"/>
                    <w:tr2bl w:val="nil"/>
                  </w:tcBorders>
                  <w:noWrap w:val="0"/>
                  <w:vAlign w:val="center"/>
                </w:tcPr>
                <w:p w14:paraId="5CBDD017">
                  <w:pPr>
                    <w:widowControl/>
                    <w:adjustRightInd w:val="0"/>
                    <w:snapToGrid w:val="0"/>
                    <w:spacing w:line="240" w:lineRule="auto"/>
                    <w:jc w:val="center"/>
                    <w:rPr>
                      <w:rFonts w:hint="eastAsia" w:ascii="Times New Roman" w:hAnsi="Times New Roman" w:eastAsia="宋体" w:cs="Times New Roman"/>
                      <w:b w:val="0"/>
                      <w:bCs w:val="0"/>
                      <w:color w:val="000000"/>
                      <w:spacing w:val="0"/>
                      <w:kern w:val="0"/>
                      <w:sz w:val="21"/>
                      <w:szCs w:val="21"/>
                      <w:highlight w:val="none"/>
                      <w:lang w:val="en-US" w:eastAsia="zh-CN"/>
                    </w:rPr>
                  </w:pPr>
                </w:p>
              </w:tc>
              <w:tc>
                <w:tcPr>
                  <w:tcW w:w="899" w:type="pct"/>
                  <w:tcBorders>
                    <w:tl2br w:val="nil"/>
                    <w:tr2bl w:val="nil"/>
                  </w:tcBorders>
                  <w:noWrap w:val="0"/>
                  <w:vAlign w:val="center"/>
                </w:tcPr>
                <w:p w14:paraId="3D9B6F44">
                  <w:pPr>
                    <w:widowControl/>
                    <w:adjustRightInd w:val="0"/>
                    <w:snapToGrid w:val="0"/>
                    <w:spacing w:line="240" w:lineRule="auto"/>
                    <w:jc w:val="center"/>
                    <w:rPr>
                      <w:rFonts w:hint="default" w:ascii="Times New Roman" w:hAnsi="Times New Roman" w:eastAsia="宋体" w:cs="Times New Roman"/>
                      <w:b w:val="0"/>
                      <w:bCs w:val="0"/>
                      <w:color w:val="000000"/>
                      <w:spacing w:val="0"/>
                      <w:kern w:val="0"/>
                      <w:sz w:val="21"/>
                      <w:szCs w:val="21"/>
                      <w:highlight w:val="none"/>
                      <w:lang w:val="en-US" w:eastAsia="zh-CN"/>
                    </w:rPr>
                  </w:pPr>
                  <w:r>
                    <w:rPr>
                      <w:rFonts w:hint="eastAsia" w:ascii="Times New Roman" w:hAnsi="Times New Roman" w:eastAsia="宋体" w:cs="Times New Roman"/>
                      <w:b w:val="0"/>
                      <w:bCs w:val="0"/>
                      <w:color w:val="000000"/>
                      <w:spacing w:val="0"/>
                      <w:kern w:val="0"/>
                      <w:sz w:val="21"/>
                      <w:szCs w:val="21"/>
                      <w:highlight w:val="none"/>
                      <w:lang w:val="en-US" w:eastAsia="zh-CN"/>
                    </w:rPr>
                    <w:t>雷蒙磨</w:t>
                  </w:r>
                </w:p>
              </w:tc>
              <w:tc>
                <w:tcPr>
                  <w:tcW w:w="1640" w:type="pct"/>
                  <w:tcBorders>
                    <w:tl2br w:val="nil"/>
                    <w:tr2bl w:val="nil"/>
                  </w:tcBorders>
                  <w:noWrap w:val="0"/>
                  <w:vAlign w:val="center"/>
                </w:tcPr>
                <w:p w14:paraId="6A87D562">
                  <w:pPr>
                    <w:widowControl/>
                    <w:adjustRightInd w:val="0"/>
                    <w:snapToGrid w:val="0"/>
                    <w:spacing w:line="240" w:lineRule="auto"/>
                    <w:jc w:val="center"/>
                    <w:rPr>
                      <w:rFonts w:hint="eastAsia" w:ascii="Times New Roman" w:hAnsi="Times New Roman" w:eastAsia="宋体" w:cs="Times New Roman"/>
                      <w:b w:val="0"/>
                      <w:bCs w:val="0"/>
                      <w:color w:val="000000"/>
                      <w:spacing w:val="0"/>
                      <w:kern w:val="0"/>
                      <w:sz w:val="21"/>
                      <w:szCs w:val="21"/>
                      <w:highlight w:val="none"/>
                      <w:lang w:val="en-US" w:eastAsia="zh-CN"/>
                    </w:rPr>
                  </w:pPr>
                  <w:r>
                    <w:rPr>
                      <w:rFonts w:hint="eastAsia" w:ascii="Times New Roman" w:hAnsi="Times New Roman" w:eastAsia="宋体" w:cs="Times New Roman"/>
                      <w:b w:val="0"/>
                      <w:bCs w:val="0"/>
                      <w:color w:val="000000"/>
                      <w:spacing w:val="0"/>
                      <w:kern w:val="0"/>
                      <w:sz w:val="21"/>
                      <w:szCs w:val="21"/>
                      <w:highlight w:val="none"/>
                      <w:lang w:val="en-US" w:eastAsia="zh-CN"/>
                    </w:rPr>
                    <w:t>颗粒物</w:t>
                  </w:r>
                </w:p>
              </w:tc>
              <w:tc>
                <w:tcPr>
                  <w:tcW w:w="2069" w:type="pct"/>
                  <w:tcBorders>
                    <w:tl2br w:val="nil"/>
                    <w:tr2bl w:val="nil"/>
                  </w:tcBorders>
                  <w:noWrap w:val="0"/>
                  <w:vAlign w:val="center"/>
                </w:tcPr>
                <w:p w14:paraId="448291AF">
                  <w:pPr>
                    <w:widowControl/>
                    <w:adjustRightInd w:val="0"/>
                    <w:snapToGrid w:val="0"/>
                    <w:spacing w:line="240" w:lineRule="auto"/>
                    <w:jc w:val="center"/>
                    <w:rPr>
                      <w:rFonts w:hint="default" w:ascii="Times New Roman" w:hAnsi="Times New Roman" w:eastAsia="宋体" w:cs="Times New Roman"/>
                      <w:b w:val="0"/>
                      <w:bCs w:val="0"/>
                      <w:color w:val="000000"/>
                      <w:spacing w:val="0"/>
                      <w:kern w:val="0"/>
                      <w:sz w:val="21"/>
                      <w:szCs w:val="21"/>
                      <w:highlight w:val="none"/>
                      <w:lang w:val="en-US" w:eastAsia="zh-CN"/>
                    </w:rPr>
                  </w:pPr>
                  <w:r>
                    <w:rPr>
                      <w:rFonts w:hint="eastAsia" w:ascii="Times New Roman" w:hAnsi="Times New Roman" w:eastAsia="宋体" w:cs="Times New Roman"/>
                      <w:b w:val="0"/>
                      <w:bCs w:val="0"/>
                      <w:color w:val="000000"/>
                      <w:spacing w:val="0"/>
                      <w:kern w:val="0"/>
                      <w:sz w:val="21"/>
                      <w:szCs w:val="21"/>
                      <w:highlight w:val="none"/>
                      <w:lang w:val="en-US" w:eastAsia="zh-CN"/>
                    </w:rPr>
                    <w:t>布袋除尘器+15m排气筒</w:t>
                  </w:r>
                </w:p>
              </w:tc>
            </w:tr>
            <w:tr w14:paraId="1B78CC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90" w:type="pct"/>
                  <w:vMerge w:val="continue"/>
                  <w:tcBorders>
                    <w:tl2br w:val="nil"/>
                    <w:tr2bl w:val="nil"/>
                  </w:tcBorders>
                  <w:noWrap w:val="0"/>
                  <w:vAlign w:val="center"/>
                </w:tcPr>
                <w:p w14:paraId="69B6E953">
                  <w:pPr>
                    <w:widowControl/>
                    <w:adjustRightInd w:val="0"/>
                    <w:snapToGrid w:val="0"/>
                    <w:spacing w:line="240" w:lineRule="auto"/>
                    <w:jc w:val="center"/>
                    <w:rPr>
                      <w:rFonts w:hint="eastAsia" w:ascii="Times New Roman" w:hAnsi="Times New Roman" w:eastAsia="宋体" w:cs="Times New Roman"/>
                      <w:b w:val="0"/>
                      <w:bCs w:val="0"/>
                      <w:color w:val="000000"/>
                      <w:spacing w:val="0"/>
                      <w:kern w:val="0"/>
                      <w:sz w:val="21"/>
                      <w:szCs w:val="21"/>
                      <w:highlight w:val="none"/>
                      <w:lang w:val="en-US" w:eastAsia="zh-CN"/>
                    </w:rPr>
                  </w:pPr>
                </w:p>
              </w:tc>
              <w:tc>
                <w:tcPr>
                  <w:tcW w:w="899" w:type="pct"/>
                  <w:tcBorders>
                    <w:tl2br w:val="nil"/>
                    <w:tr2bl w:val="nil"/>
                  </w:tcBorders>
                  <w:noWrap w:val="0"/>
                  <w:vAlign w:val="center"/>
                </w:tcPr>
                <w:p w14:paraId="6993B605">
                  <w:pPr>
                    <w:widowControl/>
                    <w:adjustRightInd w:val="0"/>
                    <w:snapToGrid w:val="0"/>
                    <w:spacing w:line="240" w:lineRule="auto"/>
                    <w:jc w:val="center"/>
                    <w:rPr>
                      <w:rFonts w:hint="eastAsia" w:ascii="Times New Roman" w:hAnsi="Times New Roman" w:eastAsia="宋体" w:cs="Times New Roman"/>
                      <w:b w:val="0"/>
                      <w:bCs w:val="0"/>
                      <w:color w:val="000000"/>
                      <w:spacing w:val="0"/>
                      <w:kern w:val="0"/>
                      <w:sz w:val="21"/>
                      <w:szCs w:val="21"/>
                      <w:highlight w:val="none"/>
                      <w:lang w:val="en-US" w:eastAsia="zh-CN"/>
                    </w:rPr>
                  </w:pPr>
                  <w:r>
                    <w:rPr>
                      <w:rFonts w:hint="eastAsia" w:ascii="Times New Roman" w:hAnsi="Times New Roman" w:eastAsia="宋体" w:cs="Times New Roman"/>
                      <w:b w:val="0"/>
                      <w:bCs w:val="0"/>
                      <w:color w:val="000000"/>
                      <w:spacing w:val="0"/>
                      <w:kern w:val="0"/>
                      <w:sz w:val="21"/>
                      <w:szCs w:val="21"/>
                      <w:highlight w:val="none"/>
                      <w:lang w:val="en-US" w:eastAsia="zh-CN"/>
                    </w:rPr>
                    <w:t>打包</w:t>
                  </w:r>
                </w:p>
              </w:tc>
              <w:tc>
                <w:tcPr>
                  <w:tcW w:w="1640" w:type="pct"/>
                  <w:tcBorders>
                    <w:tl2br w:val="nil"/>
                    <w:tr2bl w:val="nil"/>
                  </w:tcBorders>
                  <w:noWrap w:val="0"/>
                  <w:vAlign w:val="center"/>
                </w:tcPr>
                <w:p w14:paraId="2234DDCC">
                  <w:pPr>
                    <w:widowControl/>
                    <w:adjustRightInd w:val="0"/>
                    <w:snapToGrid w:val="0"/>
                    <w:spacing w:line="240" w:lineRule="auto"/>
                    <w:jc w:val="center"/>
                    <w:rPr>
                      <w:rFonts w:hint="eastAsia" w:ascii="Times New Roman" w:hAnsi="Times New Roman" w:eastAsia="宋体" w:cs="Times New Roman"/>
                      <w:b w:val="0"/>
                      <w:bCs w:val="0"/>
                      <w:color w:val="000000"/>
                      <w:spacing w:val="0"/>
                      <w:kern w:val="0"/>
                      <w:sz w:val="21"/>
                      <w:szCs w:val="21"/>
                      <w:highlight w:val="none"/>
                      <w:lang w:val="en-US" w:eastAsia="zh-CN" w:bidi="ar-SA"/>
                    </w:rPr>
                  </w:pPr>
                  <w:r>
                    <w:rPr>
                      <w:rFonts w:hint="eastAsia" w:ascii="Times New Roman" w:hAnsi="Times New Roman" w:eastAsia="宋体" w:cs="Times New Roman"/>
                      <w:b w:val="0"/>
                      <w:bCs w:val="0"/>
                      <w:color w:val="000000"/>
                      <w:spacing w:val="0"/>
                      <w:kern w:val="0"/>
                      <w:sz w:val="21"/>
                      <w:szCs w:val="21"/>
                      <w:highlight w:val="none"/>
                      <w:lang w:val="en-US" w:eastAsia="zh-CN"/>
                    </w:rPr>
                    <w:t>颗粒物</w:t>
                  </w:r>
                </w:p>
              </w:tc>
              <w:tc>
                <w:tcPr>
                  <w:tcW w:w="2069" w:type="pct"/>
                  <w:tcBorders>
                    <w:tl2br w:val="nil"/>
                    <w:tr2bl w:val="nil"/>
                  </w:tcBorders>
                  <w:noWrap w:val="0"/>
                  <w:vAlign w:val="center"/>
                </w:tcPr>
                <w:p w14:paraId="66F9AA54">
                  <w:pPr>
                    <w:widowControl/>
                    <w:adjustRightInd w:val="0"/>
                    <w:snapToGrid w:val="0"/>
                    <w:spacing w:line="240" w:lineRule="auto"/>
                    <w:jc w:val="center"/>
                    <w:rPr>
                      <w:rFonts w:hint="default" w:ascii="Times New Roman" w:hAnsi="Times New Roman" w:eastAsia="宋体" w:cs="Times New Roman"/>
                      <w:b w:val="0"/>
                      <w:bCs w:val="0"/>
                      <w:color w:val="000000"/>
                      <w:spacing w:val="0"/>
                      <w:kern w:val="0"/>
                      <w:sz w:val="21"/>
                      <w:szCs w:val="21"/>
                      <w:highlight w:val="none"/>
                      <w:lang w:val="en-US" w:eastAsia="zh-CN" w:bidi="ar-SA"/>
                    </w:rPr>
                  </w:pPr>
                  <w:r>
                    <w:rPr>
                      <w:rFonts w:hint="eastAsia" w:ascii="Times New Roman" w:hAnsi="Times New Roman" w:eastAsia="宋体" w:cs="Times New Roman"/>
                      <w:b w:val="0"/>
                      <w:bCs w:val="0"/>
                      <w:color w:val="000000"/>
                      <w:spacing w:val="0"/>
                      <w:kern w:val="0"/>
                      <w:sz w:val="21"/>
                      <w:szCs w:val="21"/>
                      <w:highlight w:val="none"/>
                      <w:lang w:val="en-US" w:eastAsia="zh-CN"/>
                    </w:rPr>
                    <w:t>封闭厂房内进行</w:t>
                  </w:r>
                </w:p>
              </w:tc>
            </w:tr>
            <w:bookmarkEnd w:id="12"/>
            <w:tr w14:paraId="582382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90" w:type="pct"/>
                  <w:tcBorders>
                    <w:tl2br w:val="nil"/>
                    <w:tr2bl w:val="nil"/>
                  </w:tcBorders>
                  <w:noWrap w:val="0"/>
                  <w:vAlign w:val="center"/>
                </w:tcPr>
                <w:p w14:paraId="78A85EB9">
                  <w:pPr>
                    <w:widowControl/>
                    <w:adjustRightInd w:val="0"/>
                    <w:snapToGrid w:val="0"/>
                    <w:spacing w:line="240" w:lineRule="auto"/>
                    <w:jc w:val="center"/>
                    <w:rPr>
                      <w:rFonts w:hint="eastAsia" w:ascii="Times New Roman" w:hAnsi="Times New Roman" w:eastAsia="宋体" w:cs="Times New Roman"/>
                      <w:b w:val="0"/>
                      <w:bCs w:val="0"/>
                      <w:color w:val="000000"/>
                      <w:spacing w:val="0"/>
                      <w:kern w:val="0"/>
                      <w:sz w:val="21"/>
                      <w:szCs w:val="21"/>
                      <w:highlight w:val="none"/>
                      <w:lang w:val="en-US" w:eastAsia="zh-CN"/>
                    </w:rPr>
                  </w:pPr>
                  <w:r>
                    <w:rPr>
                      <w:rFonts w:hint="eastAsia" w:ascii="Times New Roman" w:hAnsi="Times New Roman" w:eastAsia="宋体" w:cs="Times New Roman"/>
                      <w:b w:val="0"/>
                      <w:bCs w:val="0"/>
                      <w:color w:val="000000"/>
                      <w:spacing w:val="0"/>
                      <w:kern w:val="0"/>
                      <w:sz w:val="21"/>
                      <w:szCs w:val="21"/>
                      <w:highlight w:val="none"/>
                      <w:lang w:val="en-US" w:eastAsia="zh-CN"/>
                    </w:rPr>
                    <w:t>废水</w:t>
                  </w:r>
                </w:p>
              </w:tc>
              <w:tc>
                <w:tcPr>
                  <w:tcW w:w="899" w:type="pct"/>
                  <w:tcBorders>
                    <w:tl2br w:val="nil"/>
                    <w:tr2bl w:val="nil"/>
                  </w:tcBorders>
                  <w:noWrap w:val="0"/>
                  <w:vAlign w:val="center"/>
                </w:tcPr>
                <w:p w14:paraId="3D1A4A5E">
                  <w:pPr>
                    <w:widowControl/>
                    <w:adjustRightInd w:val="0"/>
                    <w:snapToGrid w:val="0"/>
                    <w:spacing w:line="240" w:lineRule="auto"/>
                    <w:jc w:val="center"/>
                    <w:rPr>
                      <w:rFonts w:hint="default" w:ascii="Times New Roman" w:hAnsi="Times New Roman" w:eastAsia="宋体" w:cs="Times New Roman"/>
                      <w:b w:val="0"/>
                      <w:bCs w:val="0"/>
                      <w:color w:val="000000"/>
                      <w:spacing w:val="0"/>
                      <w:kern w:val="0"/>
                      <w:sz w:val="21"/>
                      <w:szCs w:val="21"/>
                      <w:highlight w:val="none"/>
                      <w:lang w:val="en-US" w:eastAsia="zh-CN"/>
                    </w:rPr>
                  </w:pPr>
                  <w:r>
                    <w:rPr>
                      <w:rFonts w:hint="eastAsia" w:ascii="Times New Roman" w:hAnsi="Times New Roman" w:eastAsia="宋体" w:cs="Times New Roman"/>
                      <w:b w:val="0"/>
                      <w:bCs w:val="0"/>
                      <w:color w:val="000000"/>
                      <w:spacing w:val="0"/>
                      <w:kern w:val="0"/>
                      <w:sz w:val="21"/>
                      <w:szCs w:val="21"/>
                      <w:highlight w:val="none"/>
                      <w:lang w:val="en-US" w:eastAsia="zh-CN"/>
                    </w:rPr>
                    <w:t>生活污水</w:t>
                  </w:r>
                </w:p>
              </w:tc>
              <w:tc>
                <w:tcPr>
                  <w:tcW w:w="1640" w:type="pct"/>
                  <w:tcBorders>
                    <w:tl2br w:val="nil"/>
                    <w:tr2bl w:val="nil"/>
                  </w:tcBorders>
                  <w:noWrap w:val="0"/>
                  <w:vAlign w:val="center"/>
                </w:tcPr>
                <w:p w14:paraId="64D28032">
                  <w:pPr>
                    <w:kinsoku w:val="0"/>
                    <w:autoSpaceDE w:val="0"/>
                    <w:autoSpaceDN w:val="0"/>
                    <w:adjustRightInd w:val="0"/>
                    <w:snapToGrid w:val="0"/>
                    <w:spacing w:before="109" w:line="188" w:lineRule="auto"/>
                    <w:jc w:val="center"/>
                    <w:textAlignment w:val="baseline"/>
                    <w:rPr>
                      <w:rFonts w:hint="default" w:ascii="Times New Roman" w:hAnsi="Times New Roman" w:eastAsia="宋体" w:cs="Times New Roman"/>
                      <w:b w:val="0"/>
                      <w:bCs w:val="0"/>
                      <w:color w:val="000000"/>
                      <w:spacing w:val="0"/>
                      <w:kern w:val="0"/>
                      <w:sz w:val="21"/>
                      <w:szCs w:val="21"/>
                      <w:highlight w:val="none"/>
                      <w:lang w:val="en-US" w:eastAsia="zh-CN"/>
                    </w:rPr>
                  </w:pPr>
                  <w:r>
                    <w:rPr>
                      <w:rFonts w:ascii="Times New Roman" w:hAnsi="Times New Roman" w:eastAsia="Times New Roman" w:cs="Times New Roman"/>
                      <w:snapToGrid w:val="0"/>
                      <w:color w:val="000000"/>
                      <w:kern w:val="0"/>
                      <w:sz w:val="20"/>
                      <w:szCs w:val="20"/>
                      <w:highlight w:val="none"/>
                      <w:lang w:val="en-US" w:eastAsia="en-US" w:bidi="ar-SA"/>
                    </w:rPr>
                    <w:t>pH</w:t>
                  </w:r>
                  <w:r>
                    <w:rPr>
                      <w:rFonts w:ascii="Times New Roman" w:hAnsi="Times New Roman" w:eastAsia="Times New Roman" w:cs="Times New Roman"/>
                      <w:snapToGrid w:val="0"/>
                      <w:color w:val="000000"/>
                      <w:spacing w:val="-27"/>
                      <w:kern w:val="0"/>
                      <w:sz w:val="20"/>
                      <w:szCs w:val="20"/>
                      <w:highlight w:val="none"/>
                      <w:lang w:val="en-US" w:eastAsia="en-US" w:bidi="ar-SA"/>
                    </w:rPr>
                    <w:t xml:space="preserve"> </w:t>
                  </w:r>
                  <w:r>
                    <w:rPr>
                      <w:rFonts w:ascii="宋体" w:hAnsi="宋体" w:eastAsia="宋体" w:cs="宋体"/>
                      <w:snapToGrid w:val="0"/>
                      <w:color w:val="000000"/>
                      <w:spacing w:val="2"/>
                      <w:kern w:val="0"/>
                      <w:sz w:val="20"/>
                      <w:szCs w:val="20"/>
                      <w:highlight w:val="none"/>
                      <w:lang w:val="en-US" w:eastAsia="en-US" w:bidi="ar-SA"/>
                    </w:rPr>
                    <w:t>、</w:t>
                  </w:r>
                  <w:r>
                    <w:rPr>
                      <w:rFonts w:ascii="Times New Roman" w:hAnsi="Times New Roman" w:eastAsia="Times New Roman" w:cs="Times New Roman"/>
                      <w:snapToGrid w:val="0"/>
                      <w:color w:val="000000"/>
                      <w:kern w:val="0"/>
                      <w:sz w:val="20"/>
                      <w:szCs w:val="20"/>
                      <w:highlight w:val="none"/>
                      <w:lang w:val="en-US" w:eastAsia="en-US" w:bidi="ar-SA"/>
                    </w:rPr>
                    <w:t>COD</w:t>
                  </w:r>
                  <w:r>
                    <w:rPr>
                      <w:rFonts w:ascii="Times New Roman" w:hAnsi="Times New Roman" w:eastAsia="Times New Roman" w:cs="Times New Roman"/>
                      <w:snapToGrid w:val="0"/>
                      <w:color w:val="000000"/>
                      <w:spacing w:val="-29"/>
                      <w:kern w:val="0"/>
                      <w:sz w:val="20"/>
                      <w:szCs w:val="20"/>
                      <w:highlight w:val="none"/>
                      <w:lang w:val="en-US" w:eastAsia="en-US" w:bidi="ar-SA"/>
                    </w:rPr>
                    <w:t xml:space="preserve"> </w:t>
                  </w:r>
                  <w:r>
                    <w:rPr>
                      <w:rFonts w:ascii="宋体" w:hAnsi="宋体" w:eastAsia="宋体" w:cs="宋体"/>
                      <w:snapToGrid w:val="0"/>
                      <w:color w:val="000000"/>
                      <w:spacing w:val="2"/>
                      <w:kern w:val="0"/>
                      <w:sz w:val="20"/>
                      <w:szCs w:val="20"/>
                      <w:highlight w:val="none"/>
                      <w:lang w:val="en-US" w:eastAsia="en-US" w:bidi="ar-SA"/>
                    </w:rPr>
                    <w:t>、</w:t>
                  </w:r>
                  <w:r>
                    <w:rPr>
                      <w:rFonts w:ascii="Times New Roman" w:hAnsi="Times New Roman" w:eastAsia="Times New Roman" w:cs="Times New Roman"/>
                      <w:snapToGrid w:val="0"/>
                      <w:color w:val="000000"/>
                      <w:kern w:val="0"/>
                      <w:sz w:val="20"/>
                      <w:szCs w:val="20"/>
                      <w:highlight w:val="none"/>
                      <w:lang w:val="en-US" w:eastAsia="en-US" w:bidi="ar-SA"/>
                    </w:rPr>
                    <w:t>BOD</w:t>
                  </w:r>
                  <w:r>
                    <w:rPr>
                      <w:rFonts w:ascii="Times New Roman" w:hAnsi="Times New Roman" w:eastAsia="Times New Roman" w:cs="Times New Roman"/>
                      <w:snapToGrid w:val="0"/>
                      <w:color w:val="000000"/>
                      <w:spacing w:val="2"/>
                      <w:kern w:val="0"/>
                      <w:position w:val="-1"/>
                      <w:sz w:val="13"/>
                      <w:szCs w:val="13"/>
                      <w:highlight w:val="none"/>
                      <w:lang w:val="en-US" w:eastAsia="en-US" w:bidi="ar-SA"/>
                    </w:rPr>
                    <w:t>5</w:t>
                  </w:r>
                  <w:r>
                    <w:rPr>
                      <w:rFonts w:ascii="宋体" w:hAnsi="宋体" w:eastAsia="宋体" w:cs="宋体"/>
                      <w:snapToGrid w:val="0"/>
                      <w:color w:val="000000"/>
                      <w:spacing w:val="2"/>
                      <w:kern w:val="0"/>
                      <w:sz w:val="20"/>
                      <w:szCs w:val="20"/>
                      <w:highlight w:val="none"/>
                      <w:lang w:val="en-US" w:eastAsia="en-US" w:bidi="ar-SA"/>
                    </w:rPr>
                    <w:t>、</w:t>
                  </w:r>
                  <w:r>
                    <w:rPr>
                      <w:rFonts w:ascii="Times New Roman" w:hAnsi="Times New Roman" w:eastAsia="Times New Roman" w:cs="Times New Roman"/>
                      <w:snapToGrid w:val="0"/>
                      <w:color w:val="000000"/>
                      <w:kern w:val="0"/>
                      <w:sz w:val="20"/>
                      <w:szCs w:val="20"/>
                      <w:highlight w:val="none"/>
                      <w:lang w:val="en-US" w:eastAsia="en-US" w:bidi="ar-SA"/>
                    </w:rPr>
                    <w:t>SS</w:t>
                  </w:r>
                  <w:r>
                    <w:rPr>
                      <w:rFonts w:ascii="Times New Roman" w:hAnsi="Times New Roman" w:eastAsia="Times New Roman" w:cs="Times New Roman"/>
                      <w:snapToGrid w:val="0"/>
                      <w:color w:val="000000"/>
                      <w:spacing w:val="-26"/>
                      <w:kern w:val="0"/>
                      <w:sz w:val="20"/>
                      <w:szCs w:val="20"/>
                      <w:highlight w:val="none"/>
                      <w:lang w:val="en-US" w:eastAsia="en-US" w:bidi="ar-SA"/>
                    </w:rPr>
                    <w:t xml:space="preserve"> </w:t>
                  </w:r>
                  <w:r>
                    <w:rPr>
                      <w:rFonts w:ascii="宋体" w:hAnsi="宋体" w:eastAsia="宋体" w:cs="宋体"/>
                      <w:snapToGrid w:val="0"/>
                      <w:color w:val="000000"/>
                      <w:spacing w:val="1"/>
                      <w:kern w:val="0"/>
                      <w:sz w:val="20"/>
                      <w:szCs w:val="20"/>
                      <w:highlight w:val="none"/>
                      <w:lang w:val="en-US" w:eastAsia="en-US" w:bidi="ar-SA"/>
                    </w:rPr>
                    <w:t>、氨氮、总磷、总</w:t>
                  </w:r>
                  <w:r>
                    <w:rPr>
                      <w:rFonts w:ascii="宋体" w:hAnsi="宋体" w:eastAsia="宋体" w:cs="宋体"/>
                      <w:snapToGrid w:val="0"/>
                      <w:color w:val="000000"/>
                      <w:spacing w:val="2"/>
                      <w:kern w:val="0"/>
                      <w:sz w:val="20"/>
                      <w:szCs w:val="20"/>
                      <w:highlight w:val="none"/>
                      <w:lang w:val="en-US" w:eastAsia="en-US" w:bidi="ar-SA"/>
                    </w:rPr>
                    <w:t>氮</w:t>
                  </w:r>
                </w:p>
              </w:tc>
              <w:tc>
                <w:tcPr>
                  <w:tcW w:w="2069" w:type="pct"/>
                  <w:tcBorders>
                    <w:tl2br w:val="nil"/>
                    <w:tr2bl w:val="nil"/>
                  </w:tcBorders>
                  <w:noWrap w:val="0"/>
                  <w:vAlign w:val="center"/>
                </w:tcPr>
                <w:p w14:paraId="4E3862F6">
                  <w:pPr>
                    <w:widowControl/>
                    <w:adjustRightInd w:val="0"/>
                    <w:snapToGrid w:val="0"/>
                    <w:spacing w:line="240" w:lineRule="auto"/>
                    <w:jc w:val="center"/>
                    <w:rPr>
                      <w:rFonts w:hint="default" w:ascii="Times New Roman" w:hAnsi="Times New Roman" w:eastAsia="宋体" w:cs="Times New Roman"/>
                      <w:b w:val="0"/>
                      <w:bCs w:val="0"/>
                      <w:color w:val="000000"/>
                      <w:spacing w:val="0"/>
                      <w:kern w:val="0"/>
                      <w:sz w:val="21"/>
                      <w:szCs w:val="21"/>
                      <w:highlight w:val="none"/>
                      <w:lang w:val="en-US" w:eastAsia="zh-CN"/>
                    </w:rPr>
                  </w:pPr>
                  <w:r>
                    <w:rPr>
                      <w:rFonts w:hint="default" w:ascii="Times New Roman" w:hAnsi="Times New Roman" w:eastAsia="宋体" w:cs="Times New Roman"/>
                      <w:b w:val="0"/>
                      <w:bCs w:val="0"/>
                      <w:color w:val="000000"/>
                      <w:spacing w:val="0"/>
                      <w:kern w:val="0"/>
                      <w:sz w:val="21"/>
                      <w:szCs w:val="21"/>
                      <w:highlight w:val="none"/>
                      <w:lang w:val="en-US" w:eastAsia="zh-CN"/>
                    </w:rPr>
                    <w:t>进入园区下水管网</w:t>
                  </w:r>
                </w:p>
              </w:tc>
            </w:tr>
            <w:tr w14:paraId="18662C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90" w:type="pct"/>
                  <w:tcBorders>
                    <w:tl2br w:val="nil"/>
                    <w:tr2bl w:val="nil"/>
                  </w:tcBorders>
                  <w:noWrap w:val="0"/>
                  <w:vAlign w:val="center"/>
                </w:tcPr>
                <w:p w14:paraId="217E861C">
                  <w:pPr>
                    <w:widowControl/>
                    <w:adjustRightInd w:val="0"/>
                    <w:snapToGrid w:val="0"/>
                    <w:spacing w:line="240" w:lineRule="auto"/>
                    <w:jc w:val="center"/>
                    <w:rPr>
                      <w:rFonts w:hint="default" w:ascii="Times New Roman" w:hAnsi="Times New Roman" w:eastAsia="宋体" w:cs="Times New Roman"/>
                      <w:b w:val="0"/>
                      <w:bCs w:val="0"/>
                      <w:color w:val="000000"/>
                      <w:spacing w:val="0"/>
                      <w:kern w:val="0"/>
                      <w:sz w:val="21"/>
                      <w:szCs w:val="21"/>
                      <w:highlight w:val="none"/>
                      <w:lang w:val="en-US" w:eastAsia="zh-CN"/>
                    </w:rPr>
                  </w:pPr>
                  <w:r>
                    <w:rPr>
                      <w:rFonts w:hint="eastAsia" w:ascii="Times New Roman" w:hAnsi="Times New Roman" w:eastAsia="宋体" w:cs="Times New Roman"/>
                      <w:b w:val="0"/>
                      <w:bCs w:val="0"/>
                      <w:color w:val="000000"/>
                      <w:spacing w:val="0"/>
                      <w:kern w:val="0"/>
                      <w:sz w:val="21"/>
                      <w:szCs w:val="21"/>
                      <w:highlight w:val="none"/>
                      <w:lang w:val="en-US" w:eastAsia="zh-CN"/>
                    </w:rPr>
                    <w:t>噪声</w:t>
                  </w:r>
                </w:p>
              </w:tc>
              <w:tc>
                <w:tcPr>
                  <w:tcW w:w="899" w:type="pct"/>
                  <w:tcBorders>
                    <w:tl2br w:val="nil"/>
                    <w:tr2bl w:val="nil"/>
                  </w:tcBorders>
                  <w:noWrap w:val="0"/>
                  <w:vAlign w:val="center"/>
                </w:tcPr>
                <w:p w14:paraId="699929C9">
                  <w:pPr>
                    <w:widowControl/>
                    <w:adjustRightInd w:val="0"/>
                    <w:snapToGrid w:val="0"/>
                    <w:spacing w:line="240" w:lineRule="auto"/>
                    <w:jc w:val="center"/>
                    <w:rPr>
                      <w:rFonts w:hint="default" w:ascii="Times New Roman" w:hAnsi="Times New Roman" w:eastAsia="宋体" w:cs="Times New Roman"/>
                      <w:b w:val="0"/>
                      <w:bCs w:val="0"/>
                      <w:color w:val="000000"/>
                      <w:spacing w:val="0"/>
                      <w:kern w:val="0"/>
                      <w:sz w:val="21"/>
                      <w:szCs w:val="21"/>
                      <w:highlight w:val="none"/>
                      <w:lang w:val="en-US" w:eastAsia="zh-CN"/>
                    </w:rPr>
                  </w:pPr>
                  <w:r>
                    <w:rPr>
                      <w:rFonts w:hint="eastAsia" w:ascii="Times New Roman" w:hAnsi="Times New Roman" w:eastAsia="宋体" w:cs="Times New Roman"/>
                      <w:b w:val="0"/>
                      <w:bCs w:val="0"/>
                      <w:color w:val="000000"/>
                      <w:spacing w:val="0"/>
                      <w:kern w:val="0"/>
                      <w:sz w:val="21"/>
                      <w:szCs w:val="21"/>
                      <w:highlight w:val="none"/>
                      <w:lang w:val="en-US" w:eastAsia="zh-CN"/>
                    </w:rPr>
                    <w:t>生产设备</w:t>
                  </w:r>
                </w:p>
              </w:tc>
              <w:tc>
                <w:tcPr>
                  <w:tcW w:w="1640" w:type="pct"/>
                  <w:tcBorders>
                    <w:tl2br w:val="nil"/>
                    <w:tr2bl w:val="nil"/>
                  </w:tcBorders>
                  <w:noWrap w:val="0"/>
                  <w:vAlign w:val="center"/>
                </w:tcPr>
                <w:p w14:paraId="65BBF94C">
                  <w:pPr>
                    <w:widowControl/>
                    <w:adjustRightInd w:val="0"/>
                    <w:snapToGrid w:val="0"/>
                    <w:spacing w:line="240" w:lineRule="auto"/>
                    <w:jc w:val="center"/>
                    <w:rPr>
                      <w:rFonts w:hint="default" w:ascii="Times New Roman" w:hAnsi="Times New Roman" w:eastAsia="宋体" w:cs="Times New Roman"/>
                      <w:b w:val="0"/>
                      <w:bCs w:val="0"/>
                      <w:color w:val="000000"/>
                      <w:spacing w:val="0"/>
                      <w:kern w:val="0"/>
                      <w:sz w:val="21"/>
                      <w:szCs w:val="21"/>
                      <w:highlight w:val="none"/>
                      <w:lang w:val="en-US" w:eastAsia="zh-CN"/>
                    </w:rPr>
                  </w:pPr>
                  <w:r>
                    <w:rPr>
                      <w:rFonts w:hint="eastAsia" w:ascii="Times New Roman" w:hAnsi="Times New Roman" w:eastAsia="宋体" w:cs="Times New Roman"/>
                      <w:b w:val="0"/>
                      <w:bCs w:val="0"/>
                      <w:color w:val="000000"/>
                      <w:spacing w:val="0"/>
                      <w:kern w:val="0"/>
                      <w:sz w:val="21"/>
                      <w:szCs w:val="21"/>
                      <w:highlight w:val="none"/>
                      <w:lang w:val="en-US" w:eastAsia="zh-CN"/>
                    </w:rPr>
                    <w:t>噪声</w:t>
                  </w:r>
                </w:p>
              </w:tc>
              <w:tc>
                <w:tcPr>
                  <w:tcW w:w="2069" w:type="pct"/>
                  <w:tcBorders>
                    <w:tl2br w:val="nil"/>
                    <w:tr2bl w:val="nil"/>
                  </w:tcBorders>
                  <w:noWrap w:val="0"/>
                  <w:vAlign w:val="center"/>
                </w:tcPr>
                <w:p w14:paraId="6AE1C757">
                  <w:pPr>
                    <w:widowControl/>
                    <w:adjustRightInd w:val="0"/>
                    <w:snapToGrid w:val="0"/>
                    <w:spacing w:line="240" w:lineRule="auto"/>
                    <w:jc w:val="center"/>
                    <w:rPr>
                      <w:rFonts w:hint="default" w:ascii="Times New Roman" w:hAnsi="Times New Roman" w:eastAsia="宋体" w:cs="Times New Roman"/>
                      <w:b w:val="0"/>
                      <w:bCs w:val="0"/>
                      <w:color w:val="000000"/>
                      <w:spacing w:val="0"/>
                      <w:kern w:val="0"/>
                      <w:sz w:val="21"/>
                      <w:szCs w:val="21"/>
                      <w:highlight w:val="none"/>
                      <w:lang w:val="en-US" w:eastAsia="zh-CN"/>
                    </w:rPr>
                  </w:pPr>
                  <w:r>
                    <w:rPr>
                      <w:rFonts w:hint="default" w:ascii="Times New Roman" w:hAnsi="Times New Roman" w:eastAsia="宋体" w:cs="Times New Roman"/>
                      <w:b w:val="0"/>
                      <w:bCs w:val="0"/>
                      <w:color w:val="000000"/>
                      <w:spacing w:val="0"/>
                      <w:kern w:val="0"/>
                      <w:sz w:val="21"/>
                      <w:szCs w:val="21"/>
                      <w:highlight w:val="none"/>
                      <w:lang w:val="en-US" w:eastAsia="zh-CN"/>
                    </w:rPr>
                    <w:t>选用低噪设备，基础减振、厂房隔声</w:t>
                  </w:r>
                </w:p>
              </w:tc>
            </w:tr>
            <w:tr w14:paraId="489A27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90" w:type="pct"/>
                  <w:vMerge w:val="restart"/>
                  <w:tcBorders>
                    <w:tl2br w:val="nil"/>
                    <w:tr2bl w:val="nil"/>
                  </w:tcBorders>
                  <w:noWrap w:val="0"/>
                  <w:vAlign w:val="center"/>
                </w:tcPr>
                <w:p w14:paraId="5E02C6F8">
                  <w:pPr>
                    <w:spacing w:line="0" w:lineRule="atLeast"/>
                    <w:jc w:val="center"/>
                    <w:rPr>
                      <w:rFonts w:hint="eastAsia" w:ascii="Times New Roman" w:hAnsi="宋体" w:eastAsia="宋体" w:cs="宋体"/>
                      <w:b w:val="0"/>
                      <w:bCs w:val="0"/>
                      <w:color w:val="000000"/>
                      <w:spacing w:val="0"/>
                      <w:kern w:val="0"/>
                      <w:szCs w:val="21"/>
                      <w:highlight w:val="none"/>
                    </w:rPr>
                  </w:pPr>
                  <w:r>
                    <w:rPr>
                      <w:rFonts w:hint="eastAsia" w:ascii="Times New Roman" w:hAnsi="Times New Roman" w:eastAsia="宋体" w:cs="Times New Roman"/>
                      <w:b w:val="0"/>
                      <w:bCs w:val="0"/>
                      <w:color w:val="000000"/>
                      <w:spacing w:val="0"/>
                      <w:kern w:val="0"/>
                      <w:sz w:val="21"/>
                      <w:szCs w:val="21"/>
                      <w:highlight w:val="none"/>
                      <w:lang w:val="en-US" w:eastAsia="zh-CN"/>
                    </w:rPr>
                    <w:t>固体废物</w:t>
                  </w:r>
                </w:p>
              </w:tc>
              <w:tc>
                <w:tcPr>
                  <w:tcW w:w="899" w:type="pct"/>
                  <w:tcBorders>
                    <w:tl2br w:val="nil"/>
                    <w:tr2bl w:val="nil"/>
                  </w:tcBorders>
                  <w:noWrap w:val="0"/>
                  <w:vAlign w:val="center"/>
                </w:tcPr>
                <w:p w14:paraId="67AADB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spacing w:val="0"/>
                      <w:kern w:val="0"/>
                      <w:sz w:val="21"/>
                      <w:szCs w:val="21"/>
                      <w:lang w:val="en-US" w:eastAsia="zh-CN" w:bidi="ar-SA"/>
                    </w:rPr>
                  </w:pPr>
                  <w:r>
                    <w:rPr>
                      <w:rFonts w:hint="eastAsia" w:ascii="Times New Roman" w:hAnsi="Times New Roman" w:eastAsia="宋体" w:cs="Times New Roman"/>
                      <w:color w:val="000000"/>
                      <w:spacing w:val="0"/>
                      <w:kern w:val="0"/>
                      <w:sz w:val="21"/>
                      <w:szCs w:val="21"/>
                      <w:lang w:val="en-US" w:eastAsia="zh-CN"/>
                    </w:rPr>
                    <w:t>破碎、雷蒙磨、搅拌机</w:t>
                  </w:r>
                </w:p>
              </w:tc>
              <w:tc>
                <w:tcPr>
                  <w:tcW w:w="1640" w:type="pct"/>
                  <w:tcBorders>
                    <w:tl2br w:val="nil"/>
                    <w:tr2bl w:val="nil"/>
                  </w:tcBorders>
                  <w:noWrap w:val="0"/>
                  <w:vAlign w:val="center"/>
                </w:tcPr>
                <w:p w14:paraId="4C198B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spacing w:val="0"/>
                      <w:kern w:val="0"/>
                      <w:sz w:val="21"/>
                      <w:szCs w:val="21"/>
                      <w:lang w:val="en-US" w:eastAsia="zh-CN" w:bidi="ar-SA"/>
                    </w:rPr>
                  </w:pPr>
                  <w:r>
                    <w:rPr>
                      <w:rFonts w:hint="eastAsia" w:ascii="Times New Roman" w:hAnsi="Times New Roman" w:eastAsia="宋体" w:cs="Times New Roman"/>
                      <w:color w:val="000000"/>
                      <w:spacing w:val="0"/>
                      <w:kern w:val="0"/>
                      <w:sz w:val="21"/>
                      <w:szCs w:val="21"/>
                      <w:lang w:val="en-US" w:eastAsia="zh-CN"/>
                    </w:rPr>
                    <w:t>除尘灰</w:t>
                  </w:r>
                </w:p>
              </w:tc>
              <w:tc>
                <w:tcPr>
                  <w:tcW w:w="2069" w:type="pct"/>
                  <w:tcBorders>
                    <w:tl2br w:val="nil"/>
                    <w:tr2bl w:val="nil"/>
                  </w:tcBorders>
                  <w:noWrap w:val="0"/>
                  <w:vAlign w:val="center"/>
                </w:tcPr>
                <w:p w14:paraId="2924FF32">
                  <w:pPr>
                    <w:spacing w:line="0" w:lineRule="atLeast"/>
                    <w:jc w:val="center"/>
                    <w:rPr>
                      <w:rFonts w:hint="eastAsia" w:ascii="Times New Roman" w:hAnsi="宋体" w:eastAsia="宋体" w:cs="宋体"/>
                      <w:b w:val="0"/>
                      <w:bCs w:val="0"/>
                      <w:color w:val="000000"/>
                      <w:spacing w:val="0"/>
                      <w:kern w:val="0"/>
                      <w:szCs w:val="21"/>
                      <w:highlight w:val="none"/>
                      <w:lang w:val="en-US" w:eastAsia="zh-CN"/>
                    </w:rPr>
                  </w:pPr>
                  <w:r>
                    <w:rPr>
                      <w:rFonts w:hint="eastAsia" w:ascii="Times New Roman" w:hAnsi="Times New Roman" w:eastAsia="宋体" w:cs="Times New Roman"/>
                      <w:color w:val="000000"/>
                      <w:spacing w:val="0"/>
                      <w:kern w:val="0"/>
                      <w:sz w:val="21"/>
                      <w:szCs w:val="21"/>
                      <w:lang w:val="en-US" w:eastAsia="zh-CN"/>
                    </w:rPr>
                    <w:t>回用于生产线</w:t>
                  </w:r>
                </w:p>
              </w:tc>
            </w:tr>
            <w:tr w14:paraId="0F4548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90" w:type="pct"/>
                  <w:vMerge w:val="continue"/>
                  <w:tcBorders>
                    <w:tl2br w:val="nil"/>
                    <w:tr2bl w:val="nil"/>
                  </w:tcBorders>
                  <w:noWrap w:val="0"/>
                  <w:vAlign w:val="center"/>
                </w:tcPr>
                <w:p w14:paraId="1B701607">
                  <w:pPr>
                    <w:spacing w:line="0" w:lineRule="atLeast"/>
                    <w:jc w:val="center"/>
                    <w:rPr>
                      <w:rFonts w:hint="eastAsia" w:ascii="Times New Roman" w:hAnsi="Times New Roman" w:eastAsia="宋体" w:cs="Times New Roman"/>
                      <w:b w:val="0"/>
                      <w:bCs w:val="0"/>
                      <w:color w:val="000000"/>
                      <w:spacing w:val="0"/>
                      <w:kern w:val="0"/>
                      <w:sz w:val="21"/>
                      <w:szCs w:val="21"/>
                      <w:highlight w:val="none"/>
                      <w:lang w:val="en-US" w:eastAsia="zh-CN"/>
                    </w:rPr>
                  </w:pPr>
                </w:p>
              </w:tc>
              <w:tc>
                <w:tcPr>
                  <w:tcW w:w="899" w:type="pct"/>
                  <w:tcBorders>
                    <w:tl2br w:val="nil"/>
                    <w:tr2bl w:val="nil"/>
                  </w:tcBorders>
                  <w:noWrap w:val="0"/>
                  <w:vAlign w:val="center"/>
                </w:tcPr>
                <w:p w14:paraId="512EED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spacing w:val="0"/>
                      <w:kern w:val="0"/>
                      <w:sz w:val="21"/>
                      <w:szCs w:val="21"/>
                      <w:lang w:val="en-US" w:eastAsia="zh-CN" w:bidi="ar-SA"/>
                    </w:rPr>
                  </w:pPr>
                  <w:r>
                    <w:rPr>
                      <w:rFonts w:hint="eastAsia" w:ascii="Times New Roman" w:hAnsi="Times New Roman" w:eastAsia="宋体" w:cs="Times New Roman"/>
                      <w:color w:val="000000"/>
                      <w:spacing w:val="0"/>
                      <w:kern w:val="0"/>
                      <w:sz w:val="21"/>
                      <w:szCs w:val="21"/>
                      <w:lang w:val="en-US" w:eastAsia="zh-CN"/>
                    </w:rPr>
                    <w:t>1#厂房</w:t>
                  </w:r>
                </w:p>
              </w:tc>
              <w:tc>
                <w:tcPr>
                  <w:tcW w:w="1640" w:type="pct"/>
                  <w:tcBorders>
                    <w:tl2br w:val="nil"/>
                    <w:tr2bl w:val="nil"/>
                  </w:tcBorders>
                  <w:noWrap w:val="0"/>
                  <w:vAlign w:val="center"/>
                </w:tcPr>
                <w:p w14:paraId="31FF57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spacing w:val="0"/>
                      <w:kern w:val="0"/>
                      <w:sz w:val="21"/>
                      <w:szCs w:val="21"/>
                      <w:lang w:val="en-US" w:eastAsia="zh-CN" w:bidi="ar-SA"/>
                    </w:rPr>
                  </w:pPr>
                  <w:r>
                    <w:rPr>
                      <w:rFonts w:hint="eastAsia" w:ascii="Times New Roman" w:hAnsi="Times New Roman" w:eastAsia="宋体" w:cs="Times New Roman"/>
                      <w:color w:val="000000"/>
                      <w:spacing w:val="0"/>
                      <w:kern w:val="0"/>
                      <w:sz w:val="21"/>
                      <w:szCs w:val="21"/>
                      <w:lang w:val="en-US" w:eastAsia="zh-CN"/>
                    </w:rPr>
                    <w:t>沉降粉尘</w:t>
                  </w:r>
                </w:p>
              </w:tc>
              <w:tc>
                <w:tcPr>
                  <w:tcW w:w="2069" w:type="pct"/>
                  <w:tcBorders>
                    <w:tl2br w:val="nil"/>
                    <w:tr2bl w:val="nil"/>
                  </w:tcBorders>
                  <w:noWrap w:val="0"/>
                  <w:vAlign w:val="center"/>
                </w:tcPr>
                <w:p w14:paraId="085A4C9E">
                  <w:pPr>
                    <w:spacing w:line="0" w:lineRule="atLeast"/>
                    <w:jc w:val="center"/>
                    <w:rPr>
                      <w:rFonts w:hint="eastAsia" w:ascii="Times New Roman" w:hAnsi="宋体" w:eastAsia="宋体" w:cs="宋体"/>
                      <w:b w:val="0"/>
                      <w:bCs w:val="0"/>
                      <w:color w:val="000000"/>
                      <w:spacing w:val="0"/>
                      <w:kern w:val="0"/>
                      <w:szCs w:val="21"/>
                      <w:highlight w:val="none"/>
                      <w:lang w:val="en-US" w:eastAsia="zh-CN"/>
                    </w:rPr>
                  </w:pPr>
                  <w:r>
                    <w:rPr>
                      <w:rFonts w:hint="eastAsia" w:ascii="Times New Roman" w:hAnsi="Times New Roman" w:eastAsia="宋体" w:cs="Times New Roman"/>
                      <w:color w:val="000000"/>
                      <w:spacing w:val="0"/>
                      <w:kern w:val="0"/>
                      <w:sz w:val="21"/>
                      <w:szCs w:val="21"/>
                      <w:lang w:val="en-US" w:eastAsia="zh-CN"/>
                    </w:rPr>
                    <w:t>回用于生产线</w:t>
                  </w:r>
                </w:p>
              </w:tc>
            </w:tr>
            <w:tr w14:paraId="4310A8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90" w:type="pct"/>
                  <w:vMerge w:val="continue"/>
                  <w:tcBorders>
                    <w:tl2br w:val="nil"/>
                    <w:tr2bl w:val="nil"/>
                  </w:tcBorders>
                  <w:noWrap w:val="0"/>
                  <w:vAlign w:val="center"/>
                </w:tcPr>
                <w:p w14:paraId="47CBF2C0">
                  <w:pPr>
                    <w:spacing w:line="0" w:lineRule="atLeast"/>
                    <w:jc w:val="center"/>
                    <w:rPr>
                      <w:rFonts w:hint="eastAsia" w:ascii="Times New Roman" w:hAnsi="Times New Roman" w:eastAsia="宋体" w:cs="Times New Roman"/>
                      <w:b w:val="0"/>
                      <w:bCs w:val="0"/>
                      <w:color w:val="000000"/>
                      <w:spacing w:val="0"/>
                      <w:kern w:val="0"/>
                      <w:sz w:val="21"/>
                      <w:szCs w:val="21"/>
                      <w:highlight w:val="none"/>
                      <w:lang w:val="en-US" w:eastAsia="zh-CN"/>
                    </w:rPr>
                  </w:pPr>
                </w:p>
              </w:tc>
              <w:tc>
                <w:tcPr>
                  <w:tcW w:w="899" w:type="pct"/>
                  <w:tcBorders>
                    <w:tl2br w:val="nil"/>
                    <w:tr2bl w:val="nil"/>
                  </w:tcBorders>
                  <w:noWrap w:val="0"/>
                  <w:vAlign w:val="center"/>
                </w:tcPr>
                <w:p w14:paraId="4E18ABD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spacing w:val="0"/>
                      <w:kern w:val="0"/>
                      <w:sz w:val="21"/>
                      <w:szCs w:val="21"/>
                      <w:lang w:val="en-US" w:eastAsia="zh-CN" w:bidi="ar-SA"/>
                    </w:rPr>
                  </w:pPr>
                  <w:r>
                    <w:rPr>
                      <w:rFonts w:hint="eastAsia" w:ascii="Times New Roman" w:hAnsi="Times New Roman" w:eastAsia="宋体" w:cs="Times New Roman"/>
                      <w:color w:val="000000"/>
                      <w:spacing w:val="0"/>
                      <w:kern w:val="0"/>
                      <w:sz w:val="21"/>
                      <w:szCs w:val="21"/>
                      <w:lang w:val="en-US" w:eastAsia="zh-CN"/>
                    </w:rPr>
                    <w:t>腻子粉生产线</w:t>
                  </w:r>
                </w:p>
              </w:tc>
              <w:tc>
                <w:tcPr>
                  <w:tcW w:w="1640" w:type="pct"/>
                  <w:tcBorders>
                    <w:tl2br w:val="nil"/>
                    <w:tr2bl w:val="nil"/>
                  </w:tcBorders>
                  <w:noWrap w:val="0"/>
                  <w:vAlign w:val="center"/>
                </w:tcPr>
                <w:p w14:paraId="04E8D4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spacing w:val="0"/>
                      <w:kern w:val="0"/>
                      <w:sz w:val="21"/>
                      <w:szCs w:val="21"/>
                      <w:lang w:val="en-US" w:eastAsia="zh-CN" w:bidi="ar-SA"/>
                    </w:rPr>
                  </w:pPr>
                  <w:r>
                    <w:rPr>
                      <w:rFonts w:hint="eastAsia" w:ascii="Times New Roman" w:hAnsi="Times New Roman" w:eastAsia="宋体" w:cs="Times New Roman"/>
                      <w:color w:val="000000"/>
                      <w:spacing w:val="0"/>
                      <w:kern w:val="0"/>
                      <w:sz w:val="21"/>
                      <w:szCs w:val="21"/>
                      <w:lang w:val="en-US" w:eastAsia="zh-CN"/>
                    </w:rPr>
                    <w:t>废包装袋</w:t>
                  </w:r>
                </w:p>
              </w:tc>
              <w:tc>
                <w:tcPr>
                  <w:tcW w:w="2069" w:type="pct"/>
                  <w:tcBorders>
                    <w:tl2br w:val="nil"/>
                    <w:tr2bl w:val="nil"/>
                  </w:tcBorders>
                  <w:noWrap w:val="0"/>
                  <w:vAlign w:val="center"/>
                </w:tcPr>
                <w:p w14:paraId="770B594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bidi="ar-SA"/>
                    </w:rPr>
                  </w:pPr>
                  <w:r>
                    <w:rPr>
                      <w:rFonts w:hint="eastAsia" w:ascii="Times New Roman" w:hAnsi="Times New Roman" w:eastAsia="宋体" w:cs="Times New Roman"/>
                      <w:color w:val="000000"/>
                      <w:spacing w:val="0"/>
                      <w:kern w:val="0"/>
                      <w:sz w:val="21"/>
                      <w:szCs w:val="21"/>
                      <w:lang w:val="en-US" w:eastAsia="zh-CN"/>
                    </w:rPr>
                    <w:t>交由一般固废处置单位处置</w:t>
                  </w:r>
                </w:p>
              </w:tc>
            </w:tr>
            <w:tr w14:paraId="3BA65C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90" w:type="pct"/>
                  <w:vMerge w:val="continue"/>
                  <w:tcBorders>
                    <w:tl2br w:val="nil"/>
                    <w:tr2bl w:val="nil"/>
                  </w:tcBorders>
                  <w:noWrap w:val="0"/>
                  <w:vAlign w:val="center"/>
                </w:tcPr>
                <w:p w14:paraId="63475D98">
                  <w:pPr>
                    <w:spacing w:line="0" w:lineRule="atLeast"/>
                    <w:jc w:val="center"/>
                    <w:rPr>
                      <w:rFonts w:hint="eastAsia" w:ascii="Times New Roman" w:hAnsi="Times New Roman" w:eastAsia="宋体" w:cs="Times New Roman"/>
                      <w:b w:val="0"/>
                      <w:bCs w:val="0"/>
                      <w:color w:val="000000"/>
                      <w:spacing w:val="0"/>
                      <w:kern w:val="0"/>
                      <w:sz w:val="21"/>
                      <w:szCs w:val="21"/>
                      <w:highlight w:val="none"/>
                      <w:lang w:val="en-US" w:eastAsia="zh-CN"/>
                    </w:rPr>
                  </w:pPr>
                </w:p>
              </w:tc>
              <w:tc>
                <w:tcPr>
                  <w:tcW w:w="899" w:type="pct"/>
                  <w:tcBorders>
                    <w:tl2br w:val="nil"/>
                    <w:tr2bl w:val="nil"/>
                  </w:tcBorders>
                  <w:noWrap w:val="0"/>
                  <w:vAlign w:val="center"/>
                </w:tcPr>
                <w:p w14:paraId="7AAFFC7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spacing w:val="0"/>
                      <w:kern w:val="0"/>
                      <w:sz w:val="21"/>
                      <w:szCs w:val="21"/>
                      <w:lang w:val="en-US" w:eastAsia="zh-CN" w:bidi="ar-SA"/>
                    </w:rPr>
                  </w:pPr>
                  <w:r>
                    <w:rPr>
                      <w:rFonts w:hint="eastAsia" w:ascii="Times New Roman" w:hAnsi="Times New Roman" w:eastAsia="宋体" w:cs="Times New Roman"/>
                      <w:color w:val="000000"/>
                      <w:spacing w:val="0"/>
                      <w:kern w:val="0"/>
                      <w:sz w:val="21"/>
                      <w:szCs w:val="21"/>
                      <w:lang w:val="en-US" w:eastAsia="zh-CN"/>
                    </w:rPr>
                    <w:t>布袋除尘器</w:t>
                  </w:r>
                </w:p>
              </w:tc>
              <w:tc>
                <w:tcPr>
                  <w:tcW w:w="1640" w:type="pct"/>
                  <w:tcBorders>
                    <w:tl2br w:val="nil"/>
                    <w:tr2bl w:val="nil"/>
                  </w:tcBorders>
                  <w:noWrap w:val="0"/>
                  <w:vAlign w:val="center"/>
                </w:tcPr>
                <w:p w14:paraId="00A36F1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spacing w:val="0"/>
                      <w:kern w:val="0"/>
                      <w:sz w:val="21"/>
                      <w:szCs w:val="21"/>
                      <w:lang w:val="en-US" w:eastAsia="zh-CN" w:bidi="ar-SA"/>
                    </w:rPr>
                  </w:pPr>
                  <w:r>
                    <w:rPr>
                      <w:rFonts w:hint="eastAsia" w:ascii="Times New Roman" w:hAnsi="Times New Roman" w:eastAsia="宋体" w:cs="Times New Roman"/>
                      <w:color w:val="000000"/>
                      <w:spacing w:val="0"/>
                      <w:kern w:val="0"/>
                      <w:sz w:val="21"/>
                      <w:szCs w:val="21"/>
                      <w:lang w:val="en-US" w:eastAsia="zh-CN"/>
                    </w:rPr>
                    <w:t>废布袋</w:t>
                  </w:r>
                </w:p>
              </w:tc>
              <w:tc>
                <w:tcPr>
                  <w:tcW w:w="2069" w:type="pct"/>
                  <w:tcBorders>
                    <w:tl2br w:val="nil"/>
                    <w:tr2bl w:val="nil"/>
                  </w:tcBorders>
                  <w:noWrap w:val="0"/>
                  <w:vAlign w:val="center"/>
                </w:tcPr>
                <w:p w14:paraId="16B1C0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spacing w:val="0"/>
                      <w:kern w:val="0"/>
                      <w:sz w:val="21"/>
                      <w:szCs w:val="21"/>
                      <w:lang w:val="en-US" w:eastAsia="zh-CN" w:bidi="ar-SA"/>
                    </w:rPr>
                  </w:pPr>
                  <w:r>
                    <w:rPr>
                      <w:rFonts w:hint="eastAsia" w:ascii="Times New Roman" w:hAnsi="Times New Roman" w:eastAsia="宋体" w:cs="Times New Roman"/>
                      <w:color w:val="000000"/>
                      <w:spacing w:val="0"/>
                      <w:kern w:val="0"/>
                      <w:sz w:val="21"/>
                      <w:szCs w:val="21"/>
                      <w:lang w:val="en-US" w:eastAsia="zh-CN"/>
                    </w:rPr>
                    <w:t>交由一般固废处置单位处置</w:t>
                  </w:r>
                </w:p>
              </w:tc>
            </w:tr>
            <w:tr w14:paraId="3B3151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90" w:type="pct"/>
                  <w:vMerge w:val="continue"/>
                  <w:tcBorders>
                    <w:tl2br w:val="nil"/>
                    <w:tr2bl w:val="nil"/>
                  </w:tcBorders>
                  <w:noWrap w:val="0"/>
                  <w:vAlign w:val="center"/>
                </w:tcPr>
                <w:p w14:paraId="470D028B">
                  <w:pPr>
                    <w:spacing w:line="0" w:lineRule="atLeast"/>
                    <w:jc w:val="center"/>
                    <w:rPr>
                      <w:rFonts w:hint="eastAsia" w:ascii="Times New Roman" w:hAnsi="宋体" w:eastAsia="宋体" w:cs="宋体"/>
                      <w:b w:val="0"/>
                      <w:bCs w:val="0"/>
                      <w:color w:val="000000"/>
                      <w:spacing w:val="0"/>
                      <w:kern w:val="0"/>
                      <w:szCs w:val="21"/>
                      <w:highlight w:val="none"/>
                    </w:rPr>
                  </w:pPr>
                </w:p>
              </w:tc>
              <w:tc>
                <w:tcPr>
                  <w:tcW w:w="899" w:type="pct"/>
                  <w:vMerge w:val="restart"/>
                  <w:tcBorders>
                    <w:tl2br w:val="nil"/>
                    <w:tr2bl w:val="nil"/>
                  </w:tcBorders>
                  <w:noWrap w:val="0"/>
                  <w:vAlign w:val="center"/>
                </w:tcPr>
                <w:p w14:paraId="463ECA77">
                  <w:pPr>
                    <w:widowControl/>
                    <w:jc w:val="center"/>
                    <w:textAlignment w:val="center"/>
                    <w:rPr>
                      <w:rFonts w:hint="default" w:ascii="Times New Roman" w:hAnsi="Times New Roman" w:eastAsia="宋体" w:cs="Times New Roman"/>
                      <w:b w:val="0"/>
                      <w:bCs w:val="0"/>
                      <w:color w:val="000000"/>
                      <w:kern w:val="0"/>
                      <w:sz w:val="21"/>
                      <w:szCs w:val="21"/>
                      <w:highlight w:val="none"/>
                      <w:lang w:val="en-US" w:eastAsia="zh-CN" w:bidi="ar-SA"/>
                    </w:rPr>
                  </w:pPr>
                  <w:r>
                    <w:rPr>
                      <w:rFonts w:hint="eastAsia" w:ascii="Times New Roman" w:hAnsi="Times New Roman" w:eastAsia="宋体" w:cs="Times New Roman"/>
                      <w:b w:val="0"/>
                      <w:bCs w:val="0"/>
                      <w:color w:val="000000"/>
                      <w:kern w:val="0"/>
                      <w:sz w:val="21"/>
                      <w:szCs w:val="21"/>
                      <w:highlight w:val="none"/>
                      <w:lang w:val="en-US" w:eastAsia="zh-CN" w:bidi="ar-SA"/>
                    </w:rPr>
                    <w:t>机械维修</w:t>
                  </w:r>
                </w:p>
              </w:tc>
              <w:tc>
                <w:tcPr>
                  <w:tcW w:w="1640" w:type="pct"/>
                  <w:tcBorders>
                    <w:tl2br w:val="nil"/>
                    <w:tr2bl w:val="nil"/>
                  </w:tcBorders>
                  <w:noWrap w:val="0"/>
                  <w:vAlign w:val="center"/>
                </w:tcPr>
                <w:p w14:paraId="3D2A0319">
                  <w:pPr>
                    <w:widowControl/>
                    <w:jc w:val="center"/>
                    <w:textAlignment w:val="center"/>
                    <w:rPr>
                      <w:rFonts w:hint="default" w:ascii="Times New Roman" w:hAnsi="Times New Roman" w:eastAsia="宋体" w:cs="Times New Roman"/>
                      <w:b w:val="0"/>
                      <w:bCs w:val="0"/>
                      <w:color w:val="000000"/>
                      <w:kern w:val="0"/>
                      <w:sz w:val="21"/>
                      <w:szCs w:val="21"/>
                      <w:highlight w:val="none"/>
                      <w:lang w:val="en-US" w:eastAsia="zh-CN" w:bidi="ar-SA"/>
                    </w:rPr>
                  </w:pPr>
                  <w:r>
                    <w:rPr>
                      <w:rFonts w:hint="eastAsia" w:ascii="Times New Roman" w:hAnsi="Times New Roman" w:eastAsia="宋体" w:cs="Times New Roman"/>
                      <w:b w:val="0"/>
                      <w:bCs w:val="0"/>
                      <w:color w:val="000000"/>
                      <w:kern w:val="0"/>
                      <w:sz w:val="21"/>
                      <w:szCs w:val="21"/>
                      <w:highlight w:val="none"/>
                      <w:lang w:val="en-US" w:eastAsia="zh-CN" w:bidi="ar-SA"/>
                    </w:rPr>
                    <w:t>废机油</w:t>
                  </w:r>
                </w:p>
              </w:tc>
              <w:tc>
                <w:tcPr>
                  <w:tcW w:w="2069" w:type="pct"/>
                  <w:vMerge w:val="restart"/>
                  <w:tcBorders>
                    <w:tl2br w:val="nil"/>
                    <w:tr2bl w:val="nil"/>
                  </w:tcBorders>
                  <w:noWrap w:val="0"/>
                  <w:vAlign w:val="center"/>
                </w:tcPr>
                <w:p w14:paraId="0B6388DA">
                  <w:pPr>
                    <w:spacing w:line="0" w:lineRule="atLeast"/>
                    <w:jc w:val="center"/>
                    <w:rPr>
                      <w:rFonts w:hint="default" w:ascii="Times New Roman" w:hAnsi="宋体" w:eastAsia="宋体" w:cs="宋体"/>
                      <w:b w:val="0"/>
                      <w:bCs w:val="0"/>
                      <w:color w:val="000000"/>
                      <w:spacing w:val="0"/>
                      <w:kern w:val="0"/>
                      <w:szCs w:val="21"/>
                      <w:highlight w:val="none"/>
                      <w:lang w:val="en-US" w:eastAsia="zh-CN"/>
                    </w:rPr>
                  </w:pPr>
                  <w:r>
                    <w:rPr>
                      <w:rFonts w:hint="eastAsia" w:ascii="Times New Roman" w:hAnsi="宋体" w:eastAsia="宋体" w:cs="宋体"/>
                      <w:b w:val="0"/>
                      <w:bCs w:val="0"/>
                      <w:color w:val="000000"/>
                      <w:spacing w:val="0"/>
                      <w:kern w:val="0"/>
                      <w:szCs w:val="21"/>
                      <w:highlight w:val="none"/>
                      <w:lang w:val="en-US" w:eastAsia="zh-CN"/>
                    </w:rPr>
                    <w:t>暂存于危险废物贮存库内，定期交由有资质单位进行处置</w:t>
                  </w:r>
                </w:p>
              </w:tc>
            </w:tr>
            <w:tr w14:paraId="1C1CE3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90" w:type="pct"/>
                  <w:vMerge w:val="continue"/>
                  <w:tcBorders>
                    <w:tl2br w:val="nil"/>
                    <w:tr2bl w:val="nil"/>
                  </w:tcBorders>
                  <w:noWrap w:val="0"/>
                  <w:vAlign w:val="center"/>
                </w:tcPr>
                <w:p w14:paraId="37323CF5">
                  <w:pPr>
                    <w:spacing w:line="0" w:lineRule="atLeast"/>
                    <w:jc w:val="center"/>
                    <w:rPr>
                      <w:rFonts w:hint="eastAsia" w:ascii="Times New Roman" w:hAnsi="宋体" w:eastAsia="宋体" w:cs="宋体"/>
                      <w:b w:val="0"/>
                      <w:bCs w:val="0"/>
                      <w:color w:val="000000"/>
                      <w:spacing w:val="0"/>
                      <w:kern w:val="0"/>
                      <w:szCs w:val="21"/>
                      <w:highlight w:val="none"/>
                    </w:rPr>
                  </w:pPr>
                </w:p>
              </w:tc>
              <w:tc>
                <w:tcPr>
                  <w:tcW w:w="899" w:type="pct"/>
                  <w:vMerge w:val="continue"/>
                  <w:tcBorders>
                    <w:tl2br w:val="nil"/>
                    <w:tr2bl w:val="nil"/>
                  </w:tcBorders>
                  <w:noWrap w:val="0"/>
                  <w:vAlign w:val="center"/>
                </w:tcPr>
                <w:p w14:paraId="008E06AA">
                  <w:pPr>
                    <w:widowControl/>
                    <w:jc w:val="center"/>
                    <w:textAlignment w:val="center"/>
                    <w:rPr>
                      <w:rFonts w:hint="default" w:ascii="Times New Roman" w:hAnsi="Times New Roman" w:eastAsia="宋体" w:cs="Times New Roman"/>
                      <w:b w:val="0"/>
                      <w:bCs w:val="0"/>
                      <w:color w:val="000000"/>
                      <w:kern w:val="0"/>
                      <w:sz w:val="21"/>
                      <w:szCs w:val="21"/>
                      <w:highlight w:val="none"/>
                      <w:lang w:val="en-US" w:eastAsia="zh-CN" w:bidi="ar-SA"/>
                    </w:rPr>
                  </w:pPr>
                </w:p>
              </w:tc>
              <w:tc>
                <w:tcPr>
                  <w:tcW w:w="1640" w:type="pct"/>
                  <w:tcBorders>
                    <w:tl2br w:val="nil"/>
                    <w:tr2bl w:val="nil"/>
                  </w:tcBorders>
                  <w:noWrap w:val="0"/>
                  <w:vAlign w:val="center"/>
                </w:tcPr>
                <w:p w14:paraId="5EF047CE">
                  <w:pPr>
                    <w:widowControl/>
                    <w:jc w:val="center"/>
                    <w:textAlignment w:val="center"/>
                    <w:rPr>
                      <w:rFonts w:hint="default" w:ascii="Times New Roman" w:hAnsi="Times New Roman" w:eastAsia="宋体" w:cs="Times New Roman"/>
                      <w:b w:val="0"/>
                      <w:bCs w:val="0"/>
                      <w:color w:val="000000"/>
                      <w:kern w:val="0"/>
                      <w:sz w:val="21"/>
                      <w:szCs w:val="21"/>
                      <w:highlight w:val="none"/>
                      <w:lang w:val="en-US" w:eastAsia="zh-CN" w:bidi="ar-SA"/>
                    </w:rPr>
                  </w:pPr>
                  <w:r>
                    <w:rPr>
                      <w:rFonts w:hint="eastAsia" w:ascii="Times New Roman" w:hAnsi="Times New Roman" w:eastAsia="宋体" w:cs="Times New Roman"/>
                      <w:b w:val="0"/>
                      <w:bCs w:val="0"/>
                      <w:color w:val="000000"/>
                      <w:kern w:val="0"/>
                      <w:sz w:val="21"/>
                      <w:szCs w:val="21"/>
                      <w:highlight w:val="none"/>
                      <w:lang w:val="en-US" w:eastAsia="zh-CN" w:bidi="ar-SA"/>
                    </w:rPr>
                    <w:t>废油桶</w:t>
                  </w:r>
                </w:p>
              </w:tc>
              <w:tc>
                <w:tcPr>
                  <w:tcW w:w="2069" w:type="pct"/>
                  <w:vMerge w:val="continue"/>
                  <w:tcBorders>
                    <w:tl2br w:val="nil"/>
                    <w:tr2bl w:val="nil"/>
                  </w:tcBorders>
                  <w:noWrap w:val="0"/>
                  <w:vAlign w:val="center"/>
                </w:tcPr>
                <w:p w14:paraId="60FC8497">
                  <w:pPr>
                    <w:spacing w:line="0" w:lineRule="atLeast"/>
                    <w:jc w:val="center"/>
                    <w:rPr>
                      <w:rFonts w:hint="eastAsia" w:ascii="Times New Roman" w:hAnsi="宋体" w:eastAsia="宋体" w:cs="宋体"/>
                      <w:b w:val="0"/>
                      <w:bCs w:val="0"/>
                      <w:color w:val="000000"/>
                      <w:spacing w:val="0"/>
                      <w:kern w:val="0"/>
                      <w:szCs w:val="21"/>
                      <w:highlight w:val="none"/>
                    </w:rPr>
                  </w:pPr>
                </w:p>
              </w:tc>
            </w:tr>
            <w:tr w14:paraId="234D2A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90" w:type="pct"/>
                  <w:vMerge w:val="continue"/>
                  <w:tcBorders>
                    <w:tl2br w:val="nil"/>
                    <w:tr2bl w:val="nil"/>
                  </w:tcBorders>
                  <w:noWrap w:val="0"/>
                  <w:vAlign w:val="center"/>
                </w:tcPr>
                <w:p w14:paraId="0B260C8B">
                  <w:pPr>
                    <w:spacing w:line="0" w:lineRule="atLeast"/>
                    <w:jc w:val="center"/>
                    <w:rPr>
                      <w:rFonts w:hint="eastAsia" w:ascii="Times New Roman" w:hAnsi="宋体" w:eastAsia="宋体" w:cs="宋体"/>
                      <w:b w:val="0"/>
                      <w:bCs w:val="0"/>
                      <w:color w:val="000000"/>
                      <w:spacing w:val="0"/>
                      <w:kern w:val="0"/>
                      <w:szCs w:val="21"/>
                      <w:highlight w:val="none"/>
                    </w:rPr>
                  </w:pPr>
                </w:p>
              </w:tc>
              <w:tc>
                <w:tcPr>
                  <w:tcW w:w="899" w:type="pct"/>
                  <w:tcBorders>
                    <w:tl2br w:val="nil"/>
                    <w:tr2bl w:val="nil"/>
                  </w:tcBorders>
                  <w:noWrap w:val="0"/>
                  <w:vAlign w:val="center"/>
                </w:tcPr>
                <w:p w14:paraId="45479BCD">
                  <w:pPr>
                    <w:widowControl/>
                    <w:jc w:val="center"/>
                    <w:textAlignment w:val="center"/>
                    <w:rPr>
                      <w:rFonts w:hint="default" w:ascii="Times New Roman" w:hAnsi="Times New Roman" w:eastAsia="宋体" w:cs="Times New Roman"/>
                      <w:b w:val="0"/>
                      <w:bCs w:val="0"/>
                      <w:color w:val="000000"/>
                      <w:kern w:val="0"/>
                      <w:szCs w:val="21"/>
                      <w:highlight w:val="none"/>
                      <w:lang w:val="en-US" w:eastAsia="zh-CN" w:bidi="ar"/>
                    </w:rPr>
                  </w:pPr>
                  <w:r>
                    <w:rPr>
                      <w:rFonts w:hint="eastAsia" w:ascii="Times New Roman" w:hAnsi="Times New Roman" w:eastAsia="宋体" w:cs="Times New Roman"/>
                      <w:b w:val="0"/>
                      <w:bCs w:val="0"/>
                      <w:color w:val="000000"/>
                      <w:kern w:val="0"/>
                      <w:szCs w:val="21"/>
                      <w:highlight w:val="none"/>
                      <w:lang w:val="en-US" w:eastAsia="zh-CN" w:bidi="ar"/>
                    </w:rPr>
                    <w:t>职工生活</w:t>
                  </w:r>
                </w:p>
              </w:tc>
              <w:tc>
                <w:tcPr>
                  <w:tcW w:w="1640" w:type="pct"/>
                  <w:tcBorders>
                    <w:tl2br w:val="nil"/>
                    <w:tr2bl w:val="nil"/>
                  </w:tcBorders>
                  <w:noWrap w:val="0"/>
                  <w:vAlign w:val="center"/>
                </w:tcPr>
                <w:p w14:paraId="5277BAA2">
                  <w:pPr>
                    <w:widowControl/>
                    <w:jc w:val="center"/>
                    <w:textAlignment w:val="center"/>
                    <w:rPr>
                      <w:rFonts w:hint="default" w:ascii="Times New Roman" w:hAnsi="Times New Roman" w:eastAsia="宋体" w:cs="Times New Roman"/>
                      <w:b w:val="0"/>
                      <w:bCs w:val="0"/>
                      <w:color w:val="000000"/>
                      <w:kern w:val="0"/>
                      <w:szCs w:val="21"/>
                      <w:highlight w:val="none"/>
                      <w:lang w:val="en-US" w:eastAsia="zh-CN" w:bidi="ar"/>
                    </w:rPr>
                  </w:pPr>
                  <w:r>
                    <w:rPr>
                      <w:rFonts w:hint="eastAsia" w:ascii="Times New Roman" w:hAnsi="Times New Roman" w:eastAsia="宋体" w:cs="Times New Roman"/>
                      <w:b w:val="0"/>
                      <w:bCs w:val="0"/>
                      <w:color w:val="000000"/>
                      <w:kern w:val="0"/>
                      <w:szCs w:val="21"/>
                      <w:highlight w:val="none"/>
                      <w:lang w:val="en-US" w:eastAsia="zh-CN" w:bidi="ar"/>
                    </w:rPr>
                    <w:t>生活垃圾</w:t>
                  </w:r>
                </w:p>
              </w:tc>
              <w:tc>
                <w:tcPr>
                  <w:tcW w:w="2069" w:type="pct"/>
                  <w:tcBorders>
                    <w:tl2br w:val="nil"/>
                    <w:tr2bl w:val="nil"/>
                  </w:tcBorders>
                  <w:noWrap w:val="0"/>
                  <w:vAlign w:val="center"/>
                </w:tcPr>
                <w:p w14:paraId="6839B248">
                  <w:pPr>
                    <w:spacing w:line="0" w:lineRule="atLeast"/>
                    <w:jc w:val="center"/>
                    <w:rPr>
                      <w:rFonts w:hint="default" w:ascii="Times New Roman" w:hAnsi="Times New Roman" w:eastAsia="宋体" w:cs="Times New Roman"/>
                      <w:b w:val="0"/>
                      <w:bCs w:val="0"/>
                      <w:color w:val="000000"/>
                      <w:spacing w:val="0"/>
                      <w:kern w:val="0"/>
                      <w:sz w:val="21"/>
                      <w:szCs w:val="24"/>
                      <w:highlight w:val="none"/>
                      <w:lang w:val="en-US" w:eastAsia="zh-CN" w:bidi="ar-SA"/>
                    </w:rPr>
                  </w:pPr>
                  <w:r>
                    <w:rPr>
                      <w:rFonts w:hint="eastAsia" w:ascii="Times New Roman" w:hAnsi="Times New Roman" w:eastAsia="宋体" w:cs="Times New Roman"/>
                      <w:b w:val="0"/>
                      <w:bCs w:val="0"/>
                      <w:color w:val="000000"/>
                      <w:spacing w:val="0"/>
                      <w:kern w:val="0"/>
                      <w:sz w:val="21"/>
                      <w:szCs w:val="24"/>
                      <w:highlight w:val="none"/>
                      <w:lang w:val="en-US" w:eastAsia="zh-CN" w:bidi="ar-SA"/>
                    </w:rPr>
                    <w:t>由环卫部门进行处置</w:t>
                  </w:r>
                </w:p>
              </w:tc>
            </w:tr>
          </w:tbl>
          <w:p w14:paraId="60B25051">
            <w:pPr>
              <w:adjustRightInd w:val="0"/>
              <w:snapToGrid w:val="0"/>
              <w:jc w:val="center"/>
              <w:rPr>
                <w:rFonts w:hint="default"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表2-7    物料平衡表</w:t>
            </w: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797"/>
              <w:gridCol w:w="2022"/>
              <w:gridCol w:w="1709"/>
              <w:gridCol w:w="2113"/>
            </w:tblGrid>
            <w:tr w14:paraId="5187F9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noWrap w:val="0"/>
                  <w:vAlign w:val="center"/>
                </w:tcPr>
                <w:p w14:paraId="73510E3E">
                  <w:pPr>
                    <w:keepNext w:val="0"/>
                    <w:keepLines w:val="0"/>
                    <w:widowControl/>
                    <w:suppressLineNumbers w:val="0"/>
                    <w:jc w:val="center"/>
                    <w:textAlignment w:val="center"/>
                    <w:rPr>
                      <w:rFonts w:hint="default" w:ascii="Times New Roman" w:hAnsi="Times New Roman" w:eastAsia="宋体" w:cs="Times New Roman"/>
                      <w:b w:val="0"/>
                      <w:bCs w:val="0"/>
                      <w:color w:val="000000"/>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序号</w:t>
                  </w:r>
                </w:p>
              </w:tc>
              <w:tc>
                <w:tcPr>
                  <w:tcW w:w="3819" w:type="dxa"/>
                  <w:gridSpan w:val="2"/>
                  <w:noWrap w:val="0"/>
                  <w:vAlign w:val="center"/>
                </w:tcPr>
                <w:p w14:paraId="7A60CBBE">
                  <w:pPr>
                    <w:keepNext w:val="0"/>
                    <w:keepLines w:val="0"/>
                    <w:widowControl/>
                    <w:suppressLineNumbers w:val="0"/>
                    <w:jc w:val="center"/>
                    <w:textAlignment w:val="center"/>
                    <w:rPr>
                      <w:rFonts w:hint="default" w:ascii="Times New Roman" w:hAnsi="Times New Roman" w:eastAsia="宋体" w:cs="Times New Roman"/>
                      <w:b w:val="0"/>
                      <w:bCs w:val="0"/>
                      <w:color w:val="000000"/>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投入</w:t>
                  </w:r>
                </w:p>
              </w:tc>
              <w:tc>
                <w:tcPr>
                  <w:tcW w:w="3822" w:type="dxa"/>
                  <w:gridSpan w:val="2"/>
                  <w:noWrap w:val="0"/>
                  <w:vAlign w:val="center"/>
                </w:tcPr>
                <w:p w14:paraId="4211CB6B">
                  <w:pPr>
                    <w:keepNext w:val="0"/>
                    <w:keepLines w:val="0"/>
                    <w:widowControl/>
                    <w:suppressLineNumbers w:val="0"/>
                    <w:jc w:val="center"/>
                    <w:textAlignment w:val="center"/>
                    <w:rPr>
                      <w:rFonts w:hint="default" w:ascii="Times New Roman" w:hAnsi="Times New Roman" w:eastAsia="宋体" w:cs="Times New Roman"/>
                      <w:b w:val="0"/>
                      <w:bCs w:val="0"/>
                      <w:color w:val="000000"/>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产出</w:t>
                  </w:r>
                </w:p>
              </w:tc>
            </w:tr>
            <w:tr w14:paraId="72EE12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noWrap w:val="0"/>
                  <w:vAlign w:val="center"/>
                </w:tcPr>
                <w:p w14:paraId="70CED6C8">
                  <w:pPr>
                    <w:jc w:val="center"/>
                    <w:rPr>
                      <w:rFonts w:hint="default" w:ascii="Times New Roman" w:hAnsi="Times New Roman" w:eastAsia="宋体" w:cs="Times New Roman"/>
                      <w:b w:val="0"/>
                      <w:bCs w:val="0"/>
                      <w:color w:val="000000"/>
                      <w:kern w:val="0"/>
                      <w:sz w:val="21"/>
                      <w:szCs w:val="21"/>
                      <w:highlight w:val="none"/>
                      <w:lang w:val="en-US" w:eastAsia="zh-CN" w:bidi="ar-SA"/>
                    </w:rPr>
                  </w:pPr>
                </w:p>
              </w:tc>
              <w:tc>
                <w:tcPr>
                  <w:tcW w:w="1797" w:type="dxa"/>
                  <w:noWrap w:val="0"/>
                  <w:vAlign w:val="center"/>
                </w:tcPr>
                <w:p w14:paraId="7AB7D2B8">
                  <w:pPr>
                    <w:keepNext w:val="0"/>
                    <w:keepLines w:val="0"/>
                    <w:widowControl/>
                    <w:suppressLineNumbers w:val="0"/>
                    <w:jc w:val="center"/>
                    <w:textAlignment w:val="center"/>
                    <w:rPr>
                      <w:rFonts w:hint="default" w:ascii="Times New Roman" w:hAnsi="Times New Roman" w:eastAsia="宋体" w:cs="Times New Roman"/>
                      <w:b w:val="0"/>
                      <w:bCs w:val="0"/>
                      <w:color w:val="000000"/>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名称</w:t>
                  </w:r>
                </w:p>
              </w:tc>
              <w:tc>
                <w:tcPr>
                  <w:tcW w:w="2022" w:type="dxa"/>
                  <w:noWrap w:val="0"/>
                  <w:vAlign w:val="center"/>
                </w:tcPr>
                <w:p w14:paraId="71D49903">
                  <w:pPr>
                    <w:keepNext w:val="0"/>
                    <w:keepLines w:val="0"/>
                    <w:widowControl/>
                    <w:suppressLineNumbers w:val="0"/>
                    <w:jc w:val="center"/>
                    <w:textAlignment w:val="center"/>
                    <w:rPr>
                      <w:rFonts w:hint="default" w:ascii="Times New Roman" w:hAnsi="Times New Roman" w:eastAsia="宋体" w:cs="Times New Roman"/>
                      <w:b w:val="0"/>
                      <w:bCs w:val="0"/>
                      <w:color w:val="000000"/>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数量（</w:t>
                  </w:r>
                  <w:r>
                    <w:rPr>
                      <w:rStyle w:val="64"/>
                      <w:rFonts w:eastAsia="宋体"/>
                      <w:lang w:val="en-US" w:eastAsia="zh-CN" w:bidi="ar"/>
                    </w:rPr>
                    <w:t>t</w:t>
                  </w:r>
                  <w:r>
                    <w:rPr>
                      <w:rStyle w:val="65"/>
                      <w:lang w:val="en-US" w:eastAsia="zh-CN" w:bidi="ar"/>
                    </w:rPr>
                    <w:t>）</w:t>
                  </w:r>
                </w:p>
              </w:tc>
              <w:tc>
                <w:tcPr>
                  <w:tcW w:w="1709" w:type="dxa"/>
                  <w:noWrap w:val="0"/>
                  <w:vAlign w:val="center"/>
                </w:tcPr>
                <w:p w14:paraId="552DDCFF">
                  <w:pPr>
                    <w:keepNext w:val="0"/>
                    <w:keepLines w:val="0"/>
                    <w:widowControl/>
                    <w:suppressLineNumbers w:val="0"/>
                    <w:jc w:val="center"/>
                    <w:textAlignment w:val="center"/>
                    <w:rPr>
                      <w:rFonts w:hint="default" w:ascii="Times New Roman" w:hAnsi="Times New Roman" w:eastAsia="宋体" w:cs="Times New Roman"/>
                      <w:b w:val="0"/>
                      <w:bCs w:val="0"/>
                      <w:color w:val="000000"/>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名称</w:t>
                  </w:r>
                </w:p>
              </w:tc>
              <w:tc>
                <w:tcPr>
                  <w:tcW w:w="2113" w:type="dxa"/>
                  <w:noWrap w:val="0"/>
                  <w:vAlign w:val="center"/>
                </w:tcPr>
                <w:p w14:paraId="57572D90">
                  <w:pPr>
                    <w:keepNext w:val="0"/>
                    <w:keepLines w:val="0"/>
                    <w:widowControl/>
                    <w:suppressLineNumbers w:val="0"/>
                    <w:jc w:val="center"/>
                    <w:textAlignment w:val="center"/>
                    <w:rPr>
                      <w:rFonts w:hint="default" w:ascii="Times New Roman" w:hAnsi="Times New Roman" w:eastAsia="宋体" w:cs="Times New Roman"/>
                      <w:b w:val="0"/>
                      <w:bCs w:val="0"/>
                      <w:color w:val="000000"/>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数量（</w:t>
                  </w:r>
                  <w:r>
                    <w:rPr>
                      <w:rStyle w:val="64"/>
                      <w:rFonts w:eastAsia="宋体"/>
                      <w:lang w:val="en-US" w:eastAsia="zh-CN" w:bidi="ar"/>
                    </w:rPr>
                    <w:t>t</w:t>
                  </w:r>
                  <w:r>
                    <w:rPr>
                      <w:rStyle w:val="65"/>
                      <w:lang w:val="en-US" w:eastAsia="zh-CN" w:bidi="ar"/>
                    </w:rPr>
                    <w:t>）</w:t>
                  </w:r>
                </w:p>
              </w:tc>
            </w:tr>
            <w:tr w14:paraId="7C226B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3" w:type="dxa"/>
                  <w:gridSpan w:val="5"/>
                  <w:noWrap w:val="0"/>
                  <w:vAlign w:val="bottom"/>
                </w:tcPr>
                <w:p w14:paraId="064E3E35">
                  <w:pPr>
                    <w:keepNext w:val="0"/>
                    <w:keepLines w:val="0"/>
                    <w:widowControl/>
                    <w:suppressLineNumbers w:val="0"/>
                    <w:jc w:val="center"/>
                    <w:textAlignment w:val="bottom"/>
                    <w:rPr>
                      <w:rFonts w:hint="default" w:ascii="Times New Roman" w:hAnsi="Times New Roman" w:eastAsia="宋体" w:cs="Times New Roman"/>
                      <w:b w:val="0"/>
                      <w:bCs w:val="0"/>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石灰石粉生产</w:t>
                  </w:r>
                </w:p>
              </w:tc>
            </w:tr>
            <w:tr w14:paraId="5FF100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4E7EC759">
                  <w:pPr>
                    <w:keepNext w:val="0"/>
                    <w:keepLines w:val="0"/>
                    <w:widowControl/>
                    <w:suppressLineNumbers w:val="0"/>
                    <w:jc w:val="center"/>
                    <w:textAlignment w:val="center"/>
                    <w:rPr>
                      <w:rFonts w:hint="eastAsia"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797" w:type="dxa"/>
                  <w:noWrap w:val="0"/>
                  <w:vAlign w:val="center"/>
                </w:tcPr>
                <w:p w14:paraId="4E192E33">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石灰石</w:t>
                  </w:r>
                  <w:r>
                    <w:rPr>
                      <w:rStyle w:val="65"/>
                      <w:lang w:val="en-US" w:eastAsia="zh-CN" w:bidi="ar"/>
                    </w:rPr>
                    <w:t>矿</w:t>
                  </w:r>
                </w:p>
              </w:tc>
              <w:tc>
                <w:tcPr>
                  <w:tcW w:w="2022" w:type="dxa"/>
                  <w:noWrap w:val="0"/>
                  <w:vAlign w:val="center"/>
                </w:tcPr>
                <w:p w14:paraId="5AD3490E">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598034.534</w:t>
                  </w:r>
                </w:p>
              </w:tc>
              <w:tc>
                <w:tcPr>
                  <w:tcW w:w="1709" w:type="dxa"/>
                  <w:noWrap w:val="0"/>
                  <w:vAlign w:val="bottom"/>
                </w:tcPr>
                <w:p w14:paraId="1E95272C">
                  <w:pPr>
                    <w:keepNext w:val="0"/>
                    <w:keepLines w:val="0"/>
                    <w:widowControl/>
                    <w:suppressLineNumbers w:val="0"/>
                    <w:jc w:val="center"/>
                    <w:textAlignment w:val="bottom"/>
                    <w:rPr>
                      <w:rFonts w:hint="default" w:ascii="Times New Roman" w:hAnsi="Times New Roman" w:eastAsia="宋体" w:cs="Times New Roman"/>
                      <w:b w:val="0"/>
                      <w:bCs w:val="0"/>
                      <w:color w:val="000000"/>
                      <w:kern w:val="2"/>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石灰石粉</w:t>
                  </w:r>
                </w:p>
              </w:tc>
              <w:tc>
                <w:tcPr>
                  <w:tcW w:w="2113" w:type="dxa"/>
                  <w:noWrap w:val="0"/>
                  <w:vAlign w:val="bottom"/>
                </w:tcPr>
                <w:p w14:paraId="4E2C4EF4">
                  <w:pPr>
                    <w:keepNext w:val="0"/>
                    <w:keepLines w:val="0"/>
                    <w:widowControl/>
                    <w:suppressLineNumbers w:val="0"/>
                    <w:jc w:val="center"/>
                    <w:textAlignment w:val="bottom"/>
                    <w:rPr>
                      <w:rFonts w:hint="default" w:ascii="Times New Roman" w:hAnsi="Times New Roman" w:eastAsia="宋体" w:cs="Times New Roman"/>
                      <w:b w:val="0"/>
                      <w:bCs w:val="0"/>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598000</w:t>
                  </w:r>
                </w:p>
              </w:tc>
            </w:tr>
            <w:tr w14:paraId="03D09A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5DFA3C47">
                  <w:pPr>
                    <w:keepNext w:val="0"/>
                    <w:keepLines w:val="0"/>
                    <w:widowControl/>
                    <w:suppressLineNumbers w:val="0"/>
                    <w:jc w:val="center"/>
                    <w:textAlignment w:val="center"/>
                    <w:rPr>
                      <w:rFonts w:hint="eastAsia"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97" w:type="dxa"/>
                  <w:noWrap w:val="0"/>
                  <w:vAlign w:val="center"/>
                </w:tcPr>
                <w:p w14:paraId="7963F9DB">
                  <w:pPr>
                    <w:jc w:val="center"/>
                    <w:rPr>
                      <w:rFonts w:hint="default" w:ascii="Times New Roman" w:hAnsi="Times New Roman" w:eastAsia="宋体" w:cs="Times New Roman"/>
                      <w:color w:val="000000"/>
                      <w:kern w:val="2"/>
                      <w:sz w:val="21"/>
                      <w:szCs w:val="21"/>
                      <w:highlight w:val="none"/>
                      <w:lang w:val="en-US" w:eastAsia="zh-CN" w:bidi="ar-SA"/>
                    </w:rPr>
                  </w:pPr>
                </w:p>
              </w:tc>
              <w:tc>
                <w:tcPr>
                  <w:tcW w:w="2022" w:type="dxa"/>
                  <w:noWrap w:val="0"/>
                  <w:vAlign w:val="center"/>
                </w:tcPr>
                <w:p w14:paraId="64FC752A">
                  <w:pPr>
                    <w:jc w:val="center"/>
                    <w:rPr>
                      <w:rFonts w:hint="default" w:ascii="Times New Roman" w:hAnsi="Times New Roman" w:eastAsia="宋体" w:cs="Times New Roman"/>
                      <w:b w:val="0"/>
                      <w:bCs w:val="0"/>
                      <w:color w:val="000000"/>
                      <w:kern w:val="2"/>
                      <w:sz w:val="21"/>
                      <w:szCs w:val="21"/>
                      <w:highlight w:val="none"/>
                      <w:lang w:val="en-US" w:eastAsia="zh-CN" w:bidi="ar-SA"/>
                    </w:rPr>
                  </w:pPr>
                </w:p>
              </w:tc>
              <w:tc>
                <w:tcPr>
                  <w:tcW w:w="1709" w:type="dxa"/>
                  <w:noWrap w:val="0"/>
                  <w:vAlign w:val="bottom"/>
                </w:tcPr>
                <w:p w14:paraId="5534E707">
                  <w:pPr>
                    <w:keepNext w:val="0"/>
                    <w:keepLines w:val="0"/>
                    <w:widowControl/>
                    <w:suppressLineNumbers w:val="0"/>
                    <w:jc w:val="center"/>
                    <w:textAlignment w:val="bottom"/>
                    <w:rPr>
                      <w:rFonts w:hint="default" w:ascii="Times New Roman" w:hAnsi="Times New Roman" w:eastAsia="宋体" w:cs="Times New Roman"/>
                      <w:b w:val="0"/>
                      <w:bCs w:val="0"/>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粉尘排放</w:t>
                  </w:r>
                </w:p>
              </w:tc>
              <w:tc>
                <w:tcPr>
                  <w:tcW w:w="2113" w:type="dxa"/>
                  <w:noWrap w:val="0"/>
                  <w:vAlign w:val="bottom"/>
                </w:tcPr>
                <w:p w14:paraId="2910B0C1">
                  <w:pPr>
                    <w:keepNext w:val="0"/>
                    <w:keepLines w:val="0"/>
                    <w:widowControl/>
                    <w:suppressLineNumbers w:val="0"/>
                    <w:jc w:val="center"/>
                    <w:textAlignment w:val="bottom"/>
                    <w:rPr>
                      <w:rFonts w:hint="default" w:ascii="Times New Roman" w:hAnsi="Times New Roman" w:eastAsia="宋体" w:cs="Times New Roman"/>
                      <w:b w:val="0"/>
                      <w:bCs w:val="0"/>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34.534</w:t>
                  </w:r>
                </w:p>
              </w:tc>
            </w:tr>
            <w:tr w14:paraId="223759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603C159C">
                  <w:pPr>
                    <w:keepNext w:val="0"/>
                    <w:keepLines w:val="0"/>
                    <w:widowControl/>
                    <w:suppressLineNumbers w:val="0"/>
                    <w:jc w:val="center"/>
                    <w:textAlignment w:val="center"/>
                    <w:rPr>
                      <w:rFonts w:hint="default" w:ascii="Times New Roman" w:hAnsi="Times New Roman" w:eastAsia="宋体" w:cs="Times New Roman"/>
                      <w:b w:val="0"/>
                      <w:bCs w:val="0"/>
                      <w:color w:val="000000"/>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97" w:type="dxa"/>
                  <w:noWrap w:val="0"/>
                  <w:vAlign w:val="center"/>
                </w:tcPr>
                <w:p w14:paraId="03F671BE">
                  <w:pPr>
                    <w:jc w:val="center"/>
                    <w:rPr>
                      <w:rFonts w:hint="default" w:ascii="Times New Roman" w:hAnsi="Times New Roman" w:eastAsia="宋体" w:cs="Times New Roman"/>
                      <w:color w:val="000000"/>
                      <w:kern w:val="2"/>
                      <w:sz w:val="21"/>
                      <w:szCs w:val="21"/>
                      <w:highlight w:val="none"/>
                      <w:lang w:val="en-US" w:eastAsia="zh-CN" w:bidi="ar-SA"/>
                    </w:rPr>
                  </w:pPr>
                </w:p>
              </w:tc>
              <w:tc>
                <w:tcPr>
                  <w:tcW w:w="2022" w:type="dxa"/>
                  <w:noWrap w:val="0"/>
                  <w:vAlign w:val="center"/>
                </w:tcPr>
                <w:p w14:paraId="564A3E79">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598034.534</w:t>
                  </w:r>
                </w:p>
              </w:tc>
              <w:tc>
                <w:tcPr>
                  <w:tcW w:w="1709" w:type="dxa"/>
                  <w:noWrap w:val="0"/>
                  <w:vAlign w:val="bottom"/>
                </w:tcPr>
                <w:p w14:paraId="32E438FC">
                  <w:pPr>
                    <w:jc w:val="center"/>
                    <w:rPr>
                      <w:rFonts w:hint="eastAsia" w:cs="Times New Roman"/>
                      <w:b w:val="0"/>
                      <w:bCs w:val="0"/>
                      <w:color w:val="000000"/>
                      <w:sz w:val="21"/>
                      <w:szCs w:val="21"/>
                      <w:highlight w:val="none"/>
                      <w:lang w:val="en-US" w:eastAsia="zh-CN"/>
                    </w:rPr>
                  </w:pPr>
                </w:p>
              </w:tc>
              <w:tc>
                <w:tcPr>
                  <w:tcW w:w="2113" w:type="dxa"/>
                  <w:noWrap w:val="0"/>
                  <w:vAlign w:val="bottom"/>
                </w:tcPr>
                <w:p w14:paraId="1CC16CEF">
                  <w:pPr>
                    <w:keepNext w:val="0"/>
                    <w:keepLines w:val="0"/>
                    <w:widowControl/>
                    <w:suppressLineNumbers w:val="0"/>
                    <w:jc w:val="center"/>
                    <w:textAlignment w:val="bottom"/>
                    <w:rPr>
                      <w:rFonts w:hint="default" w:cs="Times New Roman"/>
                      <w:b w:val="0"/>
                      <w:bCs w:val="0"/>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598034.534</w:t>
                  </w:r>
                </w:p>
              </w:tc>
            </w:tr>
            <w:tr w14:paraId="5D3AAB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43" w:type="dxa"/>
                  <w:gridSpan w:val="5"/>
                  <w:noWrap w:val="0"/>
                  <w:vAlign w:val="bottom"/>
                </w:tcPr>
                <w:p w14:paraId="7A3F6AF9">
                  <w:pPr>
                    <w:keepNext w:val="0"/>
                    <w:keepLines w:val="0"/>
                    <w:widowControl/>
                    <w:suppressLineNumbers w:val="0"/>
                    <w:jc w:val="center"/>
                    <w:textAlignment w:val="bottom"/>
                    <w:rPr>
                      <w:rFonts w:hint="default" w:ascii="Times New Roman" w:hAnsi="Times New Roman" w:eastAsia="宋体" w:cs="Times New Roman"/>
                      <w:b w:val="0"/>
                      <w:bCs w:val="0"/>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腻子粉生产</w:t>
                  </w:r>
                </w:p>
              </w:tc>
            </w:tr>
            <w:tr w14:paraId="2C5C5F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2D755DDB">
                  <w:pPr>
                    <w:keepNext w:val="0"/>
                    <w:keepLines w:val="0"/>
                    <w:widowControl/>
                    <w:suppressLineNumbers w:val="0"/>
                    <w:jc w:val="center"/>
                    <w:textAlignment w:val="center"/>
                    <w:rPr>
                      <w:rFonts w:hint="default"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97" w:type="dxa"/>
                  <w:noWrap w:val="0"/>
                  <w:vAlign w:val="center"/>
                </w:tcPr>
                <w:p w14:paraId="64EAC6AF">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石灰石粉</w:t>
                  </w:r>
                </w:p>
              </w:tc>
              <w:tc>
                <w:tcPr>
                  <w:tcW w:w="2022" w:type="dxa"/>
                  <w:noWrap w:val="0"/>
                  <w:vAlign w:val="center"/>
                </w:tcPr>
                <w:p w14:paraId="24C5817F">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8000.107</w:t>
                  </w:r>
                </w:p>
              </w:tc>
              <w:tc>
                <w:tcPr>
                  <w:tcW w:w="1709" w:type="dxa"/>
                  <w:shd w:val="clear" w:color="auto" w:fill="auto"/>
                  <w:noWrap w:val="0"/>
                  <w:vAlign w:val="bottom"/>
                </w:tcPr>
                <w:p w14:paraId="4245E30F">
                  <w:pPr>
                    <w:keepNext w:val="0"/>
                    <w:keepLines w:val="0"/>
                    <w:widowControl/>
                    <w:suppressLineNumbers w:val="0"/>
                    <w:jc w:val="center"/>
                    <w:textAlignment w:val="bottom"/>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腻子粉</w:t>
                  </w:r>
                </w:p>
              </w:tc>
              <w:tc>
                <w:tcPr>
                  <w:tcW w:w="2113" w:type="dxa"/>
                  <w:shd w:val="clear" w:color="auto" w:fill="auto"/>
                  <w:noWrap w:val="0"/>
                  <w:vAlign w:val="bottom"/>
                </w:tcPr>
                <w:p w14:paraId="22F7A95D">
                  <w:pPr>
                    <w:keepNext w:val="0"/>
                    <w:keepLines w:val="0"/>
                    <w:widowControl/>
                    <w:suppressLineNumbers w:val="0"/>
                    <w:jc w:val="center"/>
                    <w:textAlignment w:val="bottom"/>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10000</w:t>
                  </w:r>
                </w:p>
              </w:tc>
            </w:tr>
            <w:tr w14:paraId="2F5385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30E8C55F">
                  <w:pPr>
                    <w:jc w:val="center"/>
                    <w:rPr>
                      <w:rFonts w:hint="eastAsia" w:ascii="Times New Roman" w:hAnsi="Times New Roman" w:eastAsia="宋体" w:cs="Times New Roman"/>
                      <w:b w:val="0"/>
                      <w:bCs w:val="0"/>
                      <w:color w:val="000000"/>
                      <w:kern w:val="0"/>
                      <w:sz w:val="21"/>
                      <w:szCs w:val="21"/>
                      <w:highlight w:val="none"/>
                      <w:lang w:val="en-US" w:eastAsia="zh-CN" w:bidi="ar-SA"/>
                    </w:rPr>
                  </w:pPr>
                </w:p>
              </w:tc>
              <w:tc>
                <w:tcPr>
                  <w:tcW w:w="1797" w:type="dxa"/>
                  <w:shd w:val="clear" w:color="auto" w:fill="auto"/>
                  <w:noWrap w:val="0"/>
                  <w:vAlign w:val="center"/>
                </w:tcPr>
                <w:p w14:paraId="7A135E04">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纤维素</w:t>
                  </w:r>
                </w:p>
              </w:tc>
              <w:tc>
                <w:tcPr>
                  <w:tcW w:w="2022" w:type="dxa"/>
                  <w:shd w:val="clear" w:color="auto" w:fill="auto"/>
                  <w:noWrap w:val="0"/>
                  <w:vAlign w:val="center"/>
                </w:tcPr>
                <w:p w14:paraId="71859981">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2000</w:t>
                  </w:r>
                </w:p>
              </w:tc>
              <w:tc>
                <w:tcPr>
                  <w:tcW w:w="1709" w:type="dxa"/>
                  <w:shd w:val="clear" w:color="auto" w:fill="auto"/>
                  <w:noWrap w:val="0"/>
                  <w:vAlign w:val="bottom"/>
                </w:tcPr>
                <w:p w14:paraId="06CED549">
                  <w:pPr>
                    <w:keepNext w:val="0"/>
                    <w:keepLines w:val="0"/>
                    <w:widowControl/>
                    <w:suppressLineNumbers w:val="0"/>
                    <w:jc w:val="center"/>
                    <w:textAlignment w:val="bottom"/>
                    <w:rPr>
                      <w:rFonts w:hint="eastAsia" w:ascii="Times New Roman" w:hAnsi="Times New Roman" w:eastAsia="宋体" w:cs="Times New Roman"/>
                      <w:b w:val="0"/>
                      <w:b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粉尘排放</w:t>
                  </w:r>
                </w:p>
              </w:tc>
              <w:tc>
                <w:tcPr>
                  <w:tcW w:w="2113" w:type="dxa"/>
                  <w:shd w:val="clear" w:color="auto" w:fill="auto"/>
                  <w:noWrap w:val="0"/>
                  <w:vAlign w:val="bottom"/>
                </w:tcPr>
                <w:p w14:paraId="3F821858">
                  <w:pPr>
                    <w:keepNext w:val="0"/>
                    <w:keepLines w:val="0"/>
                    <w:widowControl/>
                    <w:suppressLineNumbers w:val="0"/>
                    <w:jc w:val="center"/>
                    <w:textAlignment w:val="bottom"/>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0.107</w:t>
                  </w:r>
                </w:p>
              </w:tc>
            </w:tr>
            <w:tr w14:paraId="4B60D9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2BB48EA9">
                  <w:pPr>
                    <w:keepNext w:val="0"/>
                    <w:keepLines w:val="0"/>
                    <w:widowControl/>
                    <w:suppressLineNumbers w:val="0"/>
                    <w:jc w:val="center"/>
                    <w:textAlignment w:val="center"/>
                    <w:rPr>
                      <w:rFonts w:hint="default" w:ascii="Times New Roman" w:hAnsi="Times New Roman" w:eastAsia="宋体" w:cs="Times New Roman"/>
                      <w:b w:val="0"/>
                      <w:bCs w:val="0"/>
                      <w:color w:val="000000"/>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97" w:type="dxa"/>
                  <w:noWrap w:val="0"/>
                  <w:vAlign w:val="bottom"/>
                </w:tcPr>
                <w:p w14:paraId="49A90C37">
                  <w:pPr>
                    <w:jc w:val="center"/>
                    <w:rPr>
                      <w:rFonts w:hint="default" w:ascii="Times New Roman" w:hAnsi="Times New Roman" w:eastAsia="宋体" w:cs="Times New Roman"/>
                      <w:b w:val="0"/>
                      <w:bCs w:val="0"/>
                      <w:color w:val="000000"/>
                      <w:sz w:val="21"/>
                      <w:szCs w:val="21"/>
                      <w:highlight w:val="none"/>
                    </w:rPr>
                  </w:pPr>
                </w:p>
              </w:tc>
              <w:tc>
                <w:tcPr>
                  <w:tcW w:w="2022" w:type="dxa"/>
                  <w:noWrap w:val="0"/>
                  <w:vAlign w:val="bottom"/>
                </w:tcPr>
                <w:p w14:paraId="18D81A51">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10000.107</w:t>
                  </w:r>
                </w:p>
              </w:tc>
              <w:tc>
                <w:tcPr>
                  <w:tcW w:w="1709" w:type="dxa"/>
                  <w:noWrap w:val="0"/>
                  <w:vAlign w:val="bottom"/>
                </w:tcPr>
                <w:p w14:paraId="0B547A38">
                  <w:pPr>
                    <w:jc w:val="center"/>
                    <w:rPr>
                      <w:rFonts w:hint="default" w:ascii="Times New Roman" w:hAnsi="Times New Roman" w:eastAsia="宋体" w:cs="Times New Roman"/>
                      <w:b w:val="0"/>
                      <w:bCs w:val="0"/>
                      <w:color w:val="000000"/>
                      <w:sz w:val="21"/>
                      <w:szCs w:val="21"/>
                      <w:highlight w:val="none"/>
                    </w:rPr>
                  </w:pPr>
                </w:p>
              </w:tc>
              <w:tc>
                <w:tcPr>
                  <w:tcW w:w="2113" w:type="dxa"/>
                  <w:noWrap w:val="0"/>
                  <w:vAlign w:val="bottom"/>
                </w:tcPr>
                <w:p w14:paraId="342348DE">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10000.107</w:t>
                  </w:r>
                </w:p>
              </w:tc>
            </w:tr>
            <w:bookmarkEnd w:id="11"/>
          </w:tbl>
          <w:p w14:paraId="4C1BA85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bCs/>
                <w:color w:val="000000"/>
                <w:sz w:val="24"/>
                <w:highlight w:val="none"/>
                <w:lang w:val="en-US" w:eastAsia="zh-CN"/>
              </w:rPr>
            </w:pPr>
          </w:p>
        </w:tc>
      </w:tr>
      <w:tr w14:paraId="2D0503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433" w:type="dxa"/>
            <w:tcBorders>
              <w:tl2br w:val="nil"/>
              <w:tr2bl w:val="nil"/>
            </w:tcBorders>
            <w:noWrap w:val="0"/>
            <w:vAlign w:val="center"/>
          </w:tcPr>
          <w:p w14:paraId="56AEB7AD">
            <w:pPr>
              <w:pStyle w:val="19"/>
              <w:adjustRightInd w:val="0"/>
              <w:snapToGrid w:val="0"/>
              <w:spacing w:before="0" w:beforeAutospacing="0" w:after="0" w:afterAutospacing="0"/>
              <w:jc w:val="center"/>
              <w:rPr>
                <w:rFonts w:cs="宋体"/>
                <w:sz w:val="21"/>
                <w:szCs w:val="21"/>
              </w:rPr>
            </w:pPr>
            <w:r>
              <w:rPr>
                <w:rFonts w:hint="eastAsia" w:cs="宋体"/>
                <w:b/>
                <w:bCs w:val="0"/>
                <w:kern w:val="2"/>
                <w:sz w:val="28"/>
                <w:szCs w:val="28"/>
              </w:rPr>
              <w:t>与项目有关的原有环境污染问题</w:t>
            </w:r>
          </w:p>
        </w:tc>
        <w:tc>
          <w:tcPr>
            <w:tcW w:w="8627" w:type="dxa"/>
            <w:tcBorders>
              <w:tl2br w:val="nil"/>
              <w:tr2bl w:val="nil"/>
            </w:tcBorders>
            <w:noWrap w:val="0"/>
            <w:vAlign w:val="top"/>
          </w:tcPr>
          <w:p w14:paraId="38E23A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bCs/>
                <w:szCs w:val="21"/>
              </w:rPr>
            </w:pPr>
            <w:r>
              <w:rPr>
                <w:color w:val="000000"/>
                <w:sz w:val="24"/>
                <w:highlight w:val="none"/>
              </w:rPr>
              <w:t>本项目为新建项目，不存在与本项目有关的原有污染情况及主要环境问题。</w:t>
            </w:r>
          </w:p>
        </w:tc>
      </w:tr>
    </w:tbl>
    <w:p w14:paraId="2F1A3EE3">
      <w:pPr>
        <w:pStyle w:val="19"/>
        <w:jc w:val="center"/>
        <w:rPr>
          <w:rFonts w:ascii="黑体" w:hAnsi="黑体" w:eastAsia="黑体"/>
          <w:snapToGrid w:val="0"/>
          <w:sz w:val="36"/>
          <w:szCs w:val="36"/>
        </w:rPr>
        <w:sectPr>
          <w:footerReference r:id="rId6" w:type="default"/>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63A32FB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15" w:lineRule="auto"/>
        <w:jc w:val="center"/>
        <w:textAlignment w:val="auto"/>
        <w:outlineLvl w:val="9"/>
        <w:rPr>
          <w:rFonts w:hint="eastAsia" w:ascii="黑体" w:hAnsi="黑体" w:eastAsia="黑体"/>
          <w:snapToGrid w:val="0"/>
          <w:sz w:val="30"/>
          <w:szCs w:val="30"/>
        </w:rPr>
      </w:pPr>
    </w:p>
    <w:p w14:paraId="59E50559">
      <w:pPr>
        <w:pStyle w:val="19"/>
        <w:jc w:val="center"/>
        <w:outlineLvl w:val="0"/>
        <w:rPr>
          <w:rFonts w:ascii="黑体" w:hAnsi="黑体" w:eastAsia="黑体"/>
          <w:snapToGrid w:val="0"/>
          <w:sz w:val="30"/>
          <w:szCs w:val="30"/>
        </w:rPr>
      </w:pPr>
      <w:r>
        <w:rPr>
          <w:rFonts w:hint="eastAsia" w:ascii="黑体" w:hAnsi="黑体" w:eastAsia="黑体"/>
          <w:snapToGrid w:val="0"/>
          <w:sz w:val="30"/>
          <w:szCs w:val="30"/>
        </w:rPr>
        <w:t>三、区域环境质量现状、环境保护目标及评价标准</w:t>
      </w:r>
    </w:p>
    <w:tbl>
      <w:tblPr>
        <w:tblStyle w:val="23"/>
        <w:tblW w:w="906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44"/>
        <w:gridCol w:w="8317"/>
      </w:tblGrid>
      <w:tr w14:paraId="33EA28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744" w:type="dxa"/>
            <w:tcBorders>
              <w:tl2br w:val="nil"/>
              <w:tr2bl w:val="nil"/>
            </w:tcBorders>
            <w:noWrap w:val="0"/>
            <w:vAlign w:val="center"/>
          </w:tcPr>
          <w:p w14:paraId="2AB9B3DC">
            <w:pPr>
              <w:keepNext w:val="0"/>
              <w:pageBreakBefore w:val="0"/>
              <w:kinsoku/>
              <w:overflowPunct/>
              <w:autoSpaceDE/>
              <w:autoSpaceDN/>
              <w:bidi w:val="0"/>
              <w:adjustRightInd w:val="0"/>
              <w:snapToGrid w:val="0"/>
              <w:ind w:left="0"/>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区域</w:t>
            </w:r>
          </w:p>
          <w:p w14:paraId="489DAD4F">
            <w:pPr>
              <w:keepNext w:val="0"/>
              <w:pageBreakBefore w:val="0"/>
              <w:kinsoku/>
              <w:overflowPunct/>
              <w:autoSpaceDE/>
              <w:autoSpaceDN/>
              <w:bidi w:val="0"/>
              <w:adjustRightInd w:val="0"/>
              <w:snapToGrid w:val="0"/>
              <w:ind w:left="0"/>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环境</w:t>
            </w:r>
          </w:p>
          <w:p w14:paraId="4641E858">
            <w:pPr>
              <w:keepNext w:val="0"/>
              <w:pageBreakBefore w:val="0"/>
              <w:kinsoku/>
              <w:overflowPunct/>
              <w:autoSpaceDE/>
              <w:autoSpaceDN/>
              <w:bidi w:val="0"/>
              <w:adjustRightInd w:val="0"/>
              <w:snapToGrid w:val="0"/>
              <w:ind w:left="0"/>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质量</w:t>
            </w:r>
          </w:p>
          <w:p w14:paraId="311FE8D8">
            <w:pPr>
              <w:keepNext w:val="0"/>
              <w:pageBreakBefore w:val="0"/>
              <w:kinsoku/>
              <w:overflowPunct/>
              <w:autoSpaceDE/>
              <w:autoSpaceDN/>
              <w:bidi w:val="0"/>
              <w:adjustRightInd w:val="0"/>
              <w:snapToGrid w:val="0"/>
              <w:ind w:left="0"/>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现状</w:t>
            </w:r>
          </w:p>
        </w:tc>
        <w:tc>
          <w:tcPr>
            <w:tcW w:w="8317" w:type="dxa"/>
            <w:tcBorders>
              <w:tl2br w:val="nil"/>
              <w:tr2bl w:val="nil"/>
            </w:tcBorders>
            <w:noWrap w:val="0"/>
            <w:vAlign w:val="center"/>
          </w:tcPr>
          <w:p w14:paraId="23213303">
            <w:pPr>
              <w:keepNext w:val="0"/>
              <w:pageBreakBefore w:val="0"/>
              <w:kinsoku/>
              <w:overflowPunct/>
              <w:autoSpaceDE/>
              <w:autoSpaceDN/>
              <w:bidi w:val="0"/>
              <w:adjustRightInd w:val="0"/>
              <w:snapToGrid w:val="0"/>
              <w:spacing w:line="360" w:lineRule="auto"/>
              <w:ind w:left="0"/>
              <w:jc w:val="left"/>
              <w:rPr>
                <w:rFonts w:hint="default" w:ascii="Times New Roman" w:hAnsi="Times New Roman" w:eastAsia="宋体" w:cs="Times New Roman"/>
                <w:b/>
                <w:bCs/>
                <w:kern w:val="0"/>
                <w:sz w:val="24"/>
                <w:szCs w:val="24"/>
                <w:lang w:val="en-US" w:eastAsia="zh-CN"/>
              </w:rPr>
            </w:pPr>
            <w:r>
              <w:rPr>
                <w:rFonts w:hint="default" w:ascii="Times New Roman" w:hAnsi="Times New Roman" w:eastAsia="宋体" w:cs="Times New Roman"/>
                <w:b/>
                <w:bCs/>
                <w:kern w:val="0"/>
                <w:sz w:val="24"/>
                <w:szCs w:val="24"/>
                <w:lang w:val="en-US" w:eastAsia="zh-CN"/>
              </w:rPr>
              <w:t>一、大气环境质量现状</w:t>
            </w:r>
          </w:p>
          <w:p w14:paraId="402BEA71">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jc w:val="left"/>
              <w:textAlignment w:val="auto"/>
              <w:rPr>
                <w:rFonts w:hint="default" w:ascii="Times New Roman" w:hAnsi="Times New Roman" w:eastAsia="宋体" w:cs="Times New Roman"/>
                <w:b/>
                <w:bCs/>
                <w:kern w:val="0"/>
                <w:sz w:val="24"/>
                <w:szCs w:val="24"/>
                <w:lang w:val="en-US" w:eastAsia="zh-CN"/>
              </w:rPr>
            </w:pPr>
            <w:r>
              <w:rPr>
                <w:rFonts w:hint="default" w:ascii="Times New Roman" w:hAnsi="Times New Roman" w:eastAsia="宋体" w:cs="Times New Roman"/>
                <w:b/>
                <w:bCs/>
                <w:kern w:val="0"/>
                <w:sz w:val="24"/>
                <w:szCs w:val="24"/>
                <w:lang w:val="en-US" w:eastAsia="zh-CN"/>
              </w:rPr>
              <w:t>1.1区域大气环境达标判定</w:t>
            </w:r>
          </w:p>
          <w:p w14:paraId="4180EBDF">
            <w:pPr>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rPr>
                <w:rFonts w:hint="default" w:ascii="Times New Roman" w:hAnsi="Times New Roman" w:eastAsia="宋体" w:cs="Times New Roman"/>
                <w:color w:val="000000"/>
                <w:spacing w:val="0"/>
                <w:kern w:val="0"/>
                <w:sz w:val="24"/>
                <w:szCs w:val="24"/>
                <w:highlight w:val="none"/>
                <w:lang w:val="en-US" w:eastAsia="zh-CN"/>
              </w:rPr>
            </w:pPr>
            <w:r>
              <w:rPr>
                <w:rFonts w:hint="default" w:ascii="Times New Roman" w:hAnsi="Times New Roman" w:eastAsia="宋体" w:cs="Times New Roman"/>
                <w:color w:val="000000"/>
                <w:spacing w:val="0"/>
                <w:kern w:val="0"/>
                <w:position w:val="0"/>
                <w:sz w:val="24"/>
                <w:szCs w:val="24"/>
                <w:highlight w:val="none"/>
                <w:lang w:val="en-US" w:eastAsia="zh-CN" w:bidi="zh-CN"/>
              </w:rPr>
              <w:t>根据《巴音郭楞蒙古自治州2024年生态环境状况公报》中的</w:t>
            </w:r>
            <w:r>
              <w:rPr>
                <w:rFonts w:hint="default" w:ascii="Times New Roman" w:hAnsi="Times New Roman" w:eastAsia="宋体" w:cs="Times New Roman"/>
                <w:i w:val="0"/>
                <w:iCs w:val="0"/>
                <w:caps w:val="0"/>
                <w:color w:val="000000"/>
                <w:spacing w:val="0"/>
                <w:sz w:val="24"/>
                <w:szCs w:val="24"/>
                <w:highlight w:val="none"/>
                <w:u w:val="none"/>
                <w:shd w:val="clear" w:color="auto" w:fill="FFFFFF"/>
              </w:rPr>
              <w:t>空气环境质量</w:t>
            </w:r>
            <w:r>
              <w:rPr>
                <w:rFonts w:hint="default" w:ascii="Times New Roman" w:hAnsi="Times New Roman" w:eastAsia="宋体" w:cs="Times New Roman"/>
                <w:i w:val="0"/>
                <w:iCs w:val="0"/>
                <w:caps w:val="0"/>
                <w:color w:val="000000"/>
                <w:spacing w:val="0"/>
                <w:sz w:val="24"/>
                <w:szCs w:val="24"/>
                <w:highlight w:val="none"/>
                <w:u w:val="none"/>
                <w:shd w:val="clear" w:color="auto" w:fill="FFFFFF"/>
                <w:lang w:eastAsia="zh-CN"/>
              </w:rPr>
              <w:t>：</w:t>
            </w:r>
            <w:r>
              <w:rPr>
                <w:rFonts w:hint="default" w:ascii="Times New Roman" w:hAnsi="Times New Roman" w:eastAsia="宋体" w:cs="Times New Roman"/>
                <w:i w:val="0"/>
                <w:iCs w:val="0"/>
                <w:caps w:val="0"/>
                <w:color w:val="000000"/>
                <w:spacing w:val="0"/>
                <w:sz w:val="24"/>
                <w:szCs w:val="24"/>
                <w:highlight w:val="none"/>
                <w:u w:val="none"/>
                <w:shd w:val="clear" w:color="auto" w:fill="FFFFFF"/>
              </w:rPr>
              <w:t>2024年，全州空气质量综合指数为5.22，同比下降7.9%，空气质量明显好于2023年。全州平均优良天数比例为62%，同比增加15.7%，PM</w:t>
            </w:r>
            <w:r>
              <w:rPr>
                <w:rFonts w:hint="default" w:ascii="Times New Roman" w:hAnsi="Times New Roman" w:eastAsia="宋体" w:cs="Times New Roman"/>
                <w:i w:val="0"/>
                <w:iCs w:val="0"/>
                <w:caps w:val="0"/>
                <w:color w:val="000000"/>
                <w:spacing w:val="0"/>
                <w:sz w:val="24"/>
                <w:szCs w:val="24"/>
                <w:highlight w:val="none"/>
                <w:u w:val="none"/>
                <w:shd w:val="clear" w:color="auto" w:fill="FFFFFF"/>
                <w:vertAlign w:val="subscript"/>
              </w:rPr>
              <w:t>10</w:t>
            </w:r>
            <w:r>
              <w:rPr>
                <w:rFonts w:hint="default" w:ascii="Times New Roman" w:hAnsi="Times New Roman" w:eastAsia="宋体" w:cs="Times New Roman"/>
                <w:i w:val="0"/>
                <w:iCs w:val="0"/>
                <w:caps w:val="0"/>
                <w:color w:val="000000"/>
                <w:spacing w:val="0"/>
                <w:sz w:val="24"/>
                <w:szCs w:val="24"/>
                <w:highlight w:val="none"/>
                <w:u w:val="none"/>
                <w:shd w:val="clear" w:color="auto" w:fill="FFFFFF"/>
              </w:rPr>
              <w:t>为首要污染物，未出现PM</w:t>
            </w:r>
            <w:r>
              <w:rPr>
                <w:rFonts w:hint="default" w:ascii="Times New Roman" w:hAnsi="Times New Roman" w:eastAsia="宋体" w:cs="Times New Roman"/>
                <w:i w:val="0"/>
                <w:iCs w:val="0"/>
                <w:caps w:val="0"/>
                <w:color w:val="000000"/>
                <w:spacing w:val="0"/>
                <w:sz w:val="24"/>
                <w:szCs w:val="24"/>
                <w:highlight w:val="none"/>
                <w:u w:val="none"/>
                <w:shd w:val="clear" w:color="auto" w:fill="FFFFFF"/>
                <w:vertAlign w:val="subscript"/>
              </w:rPr>
              <w:t>2.5</w:t>
            </w:r>
            <w:r>
              <w:rPr>
                <w:rFonts w:hint="default" w:ascii="Times New Roman" w:hAnsi="Times New Roman" w:eastAsia="宋体" w:cs="Times New Roman"/>
                <w:i w:val="0"/>
                <w:iCs w:val="0"/>
                <w:caps w:val="0"/>
                <w:color w:val="000000"/>
                <w:spacing w:val="0"/>
                <w:sz w:val="24"/>
                <w:szCs w:val="24"/>
                <w:highlight w:val="none"/>
                <w:u w:val="none"/>
                <w:shd w:val="clear" w:color="auto" w:fill="FFFFFF"/>
              </w:rPr>
              <w:t>、O</w:t>
            </w:r>
            <w:r>
              <w:rPr>
                <w:rFonts w:hint="default" w:ascii="Times New Roman" w:hAnsi="Times New Roman" w:eastAsia="宋体" w:cs="Times New Roman"/>
                <w:i w:val="0"/>
                <w:iCs w:val="0"/>
                <w:caps w:val="0"/>
                <w:color w:val="000000"/>
                <w:spacing w:val="0"/>
                <w:sz w:val="24"/>
                <w:szCs w:val="24"/>
                <w:highlight w:val="none"/>
                <w:u w:val="none"/>
                <w:shd w:val="clear" w:color="auto" w:fill="FFFFFF"/>
                <w:vertAlign w:val="subscript"/>
              </w:rPr>
              <w:t>3-8</w:t>
            </w:r>
            <w:r>
              <w:rPr>
                <w:rFonts w:hint="default" w:ascii="Times New Roman" w:hAnsi="Times New Roman" w:eastAsia="宋体" w:cs="Times New Roman"/>
                <w:i w:val="0"/>
                <w:iCs w:val="0"/>
                <w:caps w:val="0"/>
                <w:color w:val="000000"/>
                <w:spacing w:val="0"/>
                <w:sz w:val="24"/>
                <w:szCs w:val="24"/>
                <w:highlight w:val="none"/>
                <w:u w:val="none"/>
                <w:shd w:val="clear" w:color="auto" w:fill="FFFFFF"/>
                <w:vertAlign w:val="subscript"/>
                <w:lang w:val="en-US" w:eastAsia="zh-CN"/>
              </w:rPr>
              <w:t>h</w:t>
            </w:r>
            <w:r>
              <w:rPr>
                <w:rFonts w:hint="default" w:ascii="Times New Roman" w:hAnsi="Times New Roman" w:eastAsia="宋体" w:cs="Times New Roman"/>
                <w:i w:val="0"/>
                <w:iCs w:val="0"/>
                <w:caps w:val="0"/>
                <w:color w:val="000000"/>
                <w:spacing w:val="0"/>
                <w:sz w:val="24"/>
                <w:szCs w:val="24"/>
                <w:highlight w:val="none"/>
                <w:u w:val="none"/>
                <w:shd w:val="clear" w:color="auto" w:fill="FFFFFF"/>
              </w:rPr>
              <w:t>、SO</w:t>
            </w:r>
            <w:r>
              <w:rPr>
                <w:rFonts w:hint="default" w:ascii="Times New Roman" w:hAnsi="Times New Roman" w:eastAsia="宋体" w:cs="Times New Roman"/>
                <w:i w:val="0"/>
                <w:iCs w:val="0"/>
                <w:caps w:val="0"/>
                <w:color w:val="000000"/>
                <w:spacing w:val="0"/>
                <w:sz w:val="24"/>
                <w:szCs w:val="24"/>
                <w:highlight w:val="none"/>
                <w:u w:val="none"/>
                <w:shd w:val="clear" w:color="auto" w:fill="FFFFFF"/>
                <w:vertAlign w:val="subscript"/>
              </w:rPr>
              <w:t>2</w:t>
            </w:r>
            <w:r>
              <w:rPr>
                <w:rFonts w:hint="default" w:ascii="Times New Roman" w:hAnsi="Times New Roman" w:eastAsia="宋体" w:cs="Times New Roman"/>
                <w:i w:val="0"/>
                <w:iCs w:val="0"/>
                <w:caps w:val="0"/>
                <w:color w:val="000000"/>
                <w:spacing w:val="0"/>
                <w:sz w:val="24"/>
                <w:szCs w:val="24"/>
                <w:highlight w:val="none"/>
                <w:u w:val="none"/>
                <w:shd w:val="clear" w:color="auto" w:fill="FFFFFF"/>
              </w:rPr>
              <w:t>、NO</w:t>
            </w:r>
            <w:r>
              <w:rPr>
                <w:rFonts w:hint="default" w:ascii="Times New Roman" w:hAnsi="Times New Roman" w:eastAsia="宋体" w:cs="Times New Roman"/>
                <w:i w:val="0"/>
                <w:iCs w:val="0"/>
                <w:caps w:val="0"/>
                <w:color w:val="000000"/>
                <w:spacing w:val="0"/>
                <w:sz w:val="24"/>
                <w:szCs w:val="24"/>
                <w:highlight w:val="none"/>
                <w:u w:val="none"/>
                <w:shd w:val="clear" w:color="auto" w:fill="FFFFFF"/>
                <w:vertAlign w:val="subscript"/>
              </w:rPr>
              <w:t>2</w:t>
            </w:r>
            <w:r>
              <w:rPr>
                <w:rFonts w:hint="default" w:ascii="Times New Roman" w:hAnsi="Times New Roman" w:eastAsia="宋体" w:cs="Times New Roman"/>
                <w:i w:val="0"/>
                <w:iCs w:val="0"/>
                <w:caps w:val="0"/>
                <w:color w:val="000000"/>
                <w:spacing w:val="0"/>
                <w:sz w:val="24"/>
                <w:szCs w:val="24"/>
                <w:highlight w:val="none"/>
                <w:u w:val="none"/>
                <w:shd w:val="clear" w:color="auto" w:fill="FFFFFF"/>
              </w:rPr>
              <w:t>、CO为首要污染物的超标天。</w:t>
            </w:r>
            <w:r>
              <w:rPr>
                <w:rFonts w:hint="default" w:ascii="Times New Roman" w:hAnsi="Times New Roman" w:eastAsia="宋体" w:cs="Times New Roman"/>
                <w:color w:val="000000"/>
                <w:spacing w:val="0"/>
                <w:kern w:val="0"/>
                <w:sz w:val="24"/>
                <w:szCs w:val="24"/>
                <w:highlight w:val="none"/>
                <w:lang w:val="en-US" w:eastAsia="zh-CN"/>
              </w:rPr>
              <w:t>因此判断本项目所在区域为不达标区，不达标因子为PM</w:t>
            </w:r>
            <w:r>
              <w:rPr>
                <w:rFonts w:hint="default" w:ascii="Times New Roman" w:hAnsi="Times New Roman" w:eastAsia="宋体" w:cs="Times New Roman"/>
                <w:color w:val="000000"/>
                <w:spacing w:val="0"/>
                <w:kern w:val="0"/>
                <w:sz w:val="24"/>
                <w:szCs w:val="24"/>
                <w:highlight w:val="none"/>
                <w:vertAlign w:val="subscript"/>
                <w:lang w:val="en-US" w:eastAsia="zh-CN"/>
              </w:rPr>
              <w:t>10</w:t>
            </w:r>
            <w:r>
              <w:rPr>
                <w:rFonts w:hint="default" w:ascii="Times New Roman" w:hAnsi="Times New Roman" w:eastAsia="宋体" w:cs="Times New Roman"/>
                <w:color w:val="000000"/>
                <w:spacing w:val="0"/>
                <w:kern w:val="0"/>
                <w:sz w:val="24"/>
                <w:szCs w:val="24"/>
                <w:highlight w:val="none"/>
                <w:lang w:val="en-US" w:eastAsia="zh-CN"/>
              </w:rPr>
              <w:t>。</w:t>
            </w:r>
          </w:p>
          <w:p w14:paraId="3995627F">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jc w:val="left"/>
              <w:textAlignment w:val="auto"/>
              <w:rPr>
                <w:rFonts w:hint="default" w:ascii="Times New Roman" w:hAnsi="Times New Roman" w:eastAsia="宋体" w:cs="Times New Roman"/>
                <w:b/>
                <w:bCs/>
                <w:kern w:val="0"/>
                <w:sz w:val="24"/>
                <w:szCs w:val="24"/>
                <w:lang w:val="en-US" w:eastAsia="zh-CN"/>
              </w:rPr>
            </w:pPr>
            <w:r>
              <w:rPr>
                <w:rFonts w:hint="default" w:ascii="Times New Roman" w:hAnsi="Times New Roman" w:eastAsia="宋体" w:cs="Times New Roman"/>
                <w:b/>
                <w:bCs/>
                <w:kern w:val="0"/>
                <w:sz w:val="24"/>
                <w:szCs w:val="24"/>
                <w:lang w:val="en-US" w:eastAsia="zh-CN"/>
              </w:rPr>
              <w:t>1.2特征污染物监测结果及评价</w:t>
            </w:r>
          </w:p>
          <w:p w14:paraId="23486C1B">
            <w:pPr>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rPr>
                <w:rFonts w:hint="default" w:ascii="Times New Roman" w:hAnsi="Times New Roman" w:eastAsia="宋体" w:cs="Times New Roman"/>
                <w:i w:val="0"/>
                <w:iCs w:val="0"/>
                <w:caps w:val="0"/>
                <w:color w:val="000000"/>
                <w:spacing w:val="0"/>
                <w:sz w:val="24"/>
                <w:szCs w:val="24"/>
                <w:highlight w:val="none"/>
                <w:u w:val="none"/>
                <w:shd w:val="clear" w:color="auto" w:fill="FFFFFF"/>
                <w:lang w:val="en-US" w:eastAsia="zh-CN"/>
              </w:rPr>
            </w:pPr>
            <w:r>
              <w:rPr>
                <w:rFonts w:hint="default" w:ascii="Times New Roman" w:hAnsi="Times New Roman" w:eastAsia="宋体" w:cs="Times New Roman"/>
                <w:i w:val="0"/>
                <w:iCs w:val="0"/>
                <w:caps w:val="0"/>
                <w:color w:val="000000"/>
                <w:spacing w:val="0"/>
                <w:sz w:val="24"/>
                <w:szCs w:val="24"/>
                <w:highlight w:val="none"/>
                <w:u w:val="none"/>
                <w:shd w:val="clear" w:color="auto" w:fill="FFFFFF"/>
                <w:lang w:val="en-US" w:eastAsia="zh-CN"/>
              </w:rPr>
              <w:t>（1）监测点和监测因子</w:t>
            </w:r>
          </w:p>
          <w:p w14:paraId="5FEB7E85">
            <w:pPr>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rPr>
                <w:rFonts w:hint="default" w:ascii="Times New Roman" w:hAnsi="Times New Roman" w:eastAsia="宋体" w:cs="Times New Roman"/>
                <w:i w:val="0"/>
                <w:iCs w:val="0"/>
                <w:caps w:val="0"/>
                <w:color w:val="000000"/>
                <w:spacing w:val="0"/>
                <w:sz w:val="24"/>
                <w:szCs w:val="24"/>
                <w:highlight w:val="none"/>
                <w:u w:val="none"/>
                <w:shd w:val="clear" w:color="auto" w:fill="FFFFFF"/>
                <w:lang w:val="en-US" w:eastAsia="zh-CN"/>
              </w:rPr>
            </w:pPr>
            <w:r>
              <w:rPr>
                <w:rFonts w:hint="default" w:ascii="Times New Roman" w:hAnsi="Times New Roman" w:eastAsia="宋体" w:cs="Times New Roman"/>
                <w:i w:val="0"/>
                <w:iCs w:val="0"/>
                <w:caps w:val="0"/>
                <w:color w:val="000000"/>
                <w:spacing w:val="0"/>
                <w:sz w:val="24"/>
                <w:szCs w:val="24"/>
                <w:highlight w:val="none"/>
                <w:u w:val="none"/>
                <w:shd w:val="clear" w:color="auto" w:fill="FFFFFF"/>
                <w:lang w:val="en-US" w:eastAsia="zh-CN"/>
              </w:rPr>
              <w:t>本项目特征污染物包括TSP，引用现状监测数据的坐标为E86°15′7.140″,N42°25′38.709″，位于本项目东侧3.</w:t>
            </w:r>
            <w:r>
              <w:rPr>
                <w:rFonts w:hint="eastAsia" w:ascii="Times New Roman" w:hAnsi="Times New Roman" w:eastAsia="宋体" w:cs="Times New Roman"/>
                <w:i w:val="0"/>
                <w:iCs w:val="0"/>
                <w:caps w:val="0"/>
                <w:color w:val="000000"/>
                <w:spacing w:val="0"/>
                <w:sz w:val="24"/>
                <w:szCs w:val="24"/>
                <w:highlight w:val="none"/>
                <w:u w:val="none"/>
                <w:shd w:val="clear" w:color="auto" w:fill="FFFFFF"/>
                <w:lang w:val="en-US" w:eastAsia="zh-CN"/>
              </w:rPr>
              <w:t>5</w:t>
            </w:r>
            <w:r>
              <w:rPr>
                <w:rFonts w:hint="default" w:ascii="Times New Roman" w:hAnsi="Times New Roman" w:eastAsia="宋体" w:cs="Times New Roman"/>
                <w:i w:val="0"/>
                <w:iCs w:val="0"/>
                <w:caps w:val="0"/>
                <w:color w:val="000000"/>
                <w:spacing w:val="0"/>
                <w:sz w:val="24"/>
                <w:szCs w:val="24"/>
                <w:highlight w:val="none"/>
                <w:u w:val="none"/>
                <w:shd w:val="clear" w:color="auto" w:fill="FFFFFF"/>
                <w:lang w:val="en-US" w:eastAsia="zh-CN"/>
              </w:rPr>
              <w:t>km处。由2024年4月30日新疆广宇众联环境检测有限公司出具的《和静县黄水沟东侧空气环境质量现状监测》中TSP数据。</w:t>
            </w:r>
          </w:p>
          <w:p w14:paraId="0B49718D">
            <w:pPr>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outlineLvl w:val="9"/>
              <w:rPr>
                <w:rFonts w:hint="default" w:ascii="Times New Roman" w:hAnsi="Times New Roman" w:eastAsia="宋体" w:cs="Times New Roman"/>
                <w:b w:val="0"/>
                <w:bCs/>
                <w:kern w:val="0"/>
                <w:sz w:val="24"/>
                <w:szCs w:val="24"/>
                <w:lang w:val="en-US" w:eastAsia="zh-CN"/>
              </w:rPr>
            </w:pPr>
            <w:r>
              <w:rPr>
                <w:rFonts w:hint="default" w:ascii="Times New Roman" w:hAnsi="Times New Roman" w:eastAsia="宋体" w:cs="Times New Roman"/>
                <w:b w:val="0"/>
                <w:bCs/>
                <w:kern w:val="0"/>
                <w:sz w:val="24"/>
                <w:szCs w:val="24"/>
                <w:lang w:val="en-US" w:eastAsia="zh-CN"/>
              </w:rPr>
              <w:t>（2）评价标准</w:t>
            </w:r>
          </w:p>
          <w:p w14:paraId="21E4EC57">
            <w:pPr>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outlineLvl w:val="9"/>
              <w:rPr>
                <w:rFonts w:hint="default" w:ascii="Times New Roman" w:hAnsi="Times New Roman" w:eastAsia="宋体" w:cs="Times New Roman"/>
                <w:b w:val="0"/>
                <w:bCs/>
                <w:kern w:val="0"/>
                <w:sz w:val="24"/>
                <w:szCs w:val="24"/>
                <w:lang w:val="en-US" w:eastAsia="zh-CN"/>
              </w:rPr>
            </w:pPr>
            <w:r>
              <w:rPr>
                <w:rFonts w:hint="default" w:ascii="Times New Roman" w:hAnsi="Times New Roman" w:eastAsia="宋体" w:cs="Times New Roman"/>
                <w:b w:val="0"/>
                <w:bCs/>
                <w:kern w:val="0"/>
                <w:sz w:val="24"/>
                <w:szCs w:val="24"/>
                <w:lang w:val="en-US" w:eastAsia="zh-CN"/>
              </w:rPr>
              <w:t>TSP执行《环境空气质量标准》（GB3095-2012）二级标准限值。</w:t>
            </w:r>
          </w:p>
          <w:p w14:paraId="3C9A46E2">
            <w:pPr>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outlineLvl w:val="9"/>
              <w:rPr>
                <w:rFonts w:hint="default" w:ascii="Times New Roman" w:hAnsi="Times New Roman" w:eastAsia="宋体" w:cs="Times New Roman"/>
                <w:b w:val="0"/>
                <w:bCs/>
                <w:kern w:val="0"/>
                <w:sz w:val="24"/>
                <w:szCs w:val="24"/>
                <w:lang w:val="en-US" w:eastAsia="zh-CN"/>
              </w:rPr>
            </w:pPr>
            <w:r>
              <w:rPr>
                <w:rFonts w:hint="default" w:ascii="Times New Roman" w:hAnsi="Times New Roman" w:eastAsia="宋体" w:cs="Times New Roman"/>
                <w:b w:val="0"/>
                <w:bCs/>
                <w:kern w:val="0"/>
                <w:sz w:val="24"/>
                <w:szCs w:val="24"/>
                <w:lang w:val="en-US" w:eastAsia="zh-CN"/>
              </w:rPr>
              <w:t>（3）评价方法</w:t>
            </w:r>
          </w:p>
          <w:p w14:paraId="7ED4D3CE">
            <w:pPr>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outlineLvl w:val="9"/>
              <w:rPr>
                <w:rFonts w:hint="default" w:ascii="Times New Roman" w:hAnsi="Times New Roman" w:eastAsia="宋体" w:cs="Times New Roman"/>
                <w:b w:val="0"/>
                <w:bCs/>
                <w:kern w:val="0"/>
                <w:sz w:val="24"/>
                <w:szCs w:val="24"/>
                <w:lang w:val="en-US" w:eastAsia="zh-CN"/>
              </w:rPr>
            </w:pPr>
            <w:r>
              <w:rPr>
                <w:rFonts w:hint="default" w:ascii="Times New Roman" w:hAnsi="Times New Roman" w:eastAsia="宋体" w:cs="Times New Roman"/>
                <w:b w:val="0"/>
                <w:bCs/>
                <w:kern w:val="0"/>
                <w:sz w:val="24"/>
                <w:szCs w:val="24"/>
                <w:lang w:val="en-US" w:eastAsia="zh-CN"/>
              </w:rPr>
              <w:t>本次评价方法采用占标率法。</w:t>
            </w:r>
          </w:p>
          <w:p w14:paraId="1081EA06">
            <w:pPr>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outlineLvl w:val="9"/>
              <w:rPr>
                <w:rFonts w:hint="default" w:ascii="Times New Roman" w:hAnsi="Times New Roman" w:eastAsia="宋体" w:cs="Times New Roman"/>
                <w:b w:val="0"/>
                <w:bCs/>
                <w:kern w:val="0"/>
                <w:sz w:val="24"/>
                <w:szCs w:val="24"/>
                <w:lang w:val="en-US" w:eastAsia="zh-CN"/>
              </w:rPr>
            </w:pPr>
            <w:r>
              <w:rPr>
                <w:rFonts w:hint="default" w:ascii="Times New Roman" w:hAnsi="Times New Roman" w:eastAsia="宋体" w:cs="Times New Roman"/>
                <w:b w:val="0"/>
                <w:bCs/>
                <w:kern w:val="0"/>
                <w:sz w:val="24"/>
                <w:szCs w:val="24"/>
                <w:lang w:val="en-US" w:eastAsia="zh-CN"/>
              </w:rPr>
              <w:t>（4）评价结果及结论</w:t>
            </w:r>
          </w:p>
          <w:p w14:paraId="25F30A58">
            <w:pPr>
              <w:keepNext w:val="0"/>
              <w:keepLines/>
              <w:pageBreakBefore w:val="0"/>
              <w:widowControl w:val="0"/>
              <w:kinsoku/>
              <w:wordWrap/>
              <w:overflowPunct/>
              <w:topLinePunct w:val="0"/>
              <w:autoSpaceDE/>
              <w:autoSpaceDN/>
              <w:bidi w:val="0"/>
              <w:adjustRightInd w:val="0"/>
              <w:snapToGrid w:val="0"/>
              <w:spacing w:line="240" w:lineRule="auto"/>
              <w:ind w:left="0" w:firstLine="422" w:firstLineChars="200"/>
              <w:textAlignment w:val="baseline"/>
              <w:outlineLvl w:val="9"/>
              <w:rPr>
                <w:rFonts w:hint="default" w:ascii="Times New Roman" w:hAnsi="Times New Roman" w:eastAsia="宋体" w:cs="Times New Roman"/>
                <w:b/>
                <w:bCs w:val="0"/>
                <w:kern w:val="0"/>
                <w:sz w:val="24"/>
                <w:szCs w:val="24"/>
                <w:lang w:val="en-US" w:eastAsia="zh-CN"/>
              </w:rPr>
            </w:pPr>
            <w:r>
              <w:rPr>
                <w:rFonts w:hint="default" w:ascii="Times New Roman" w:hAnsi="Times New Roman" w:eastAsia="宋体" w:cs="Times New Roman"/>
                <w:b/>
                <w:bCs w:val="0"/>
                <w:kern w:val="0"/>
                <w:sz w:val="21"/>
                <w:szCs w:val="21"/>
                <w:lang w:val="en-US" w:eastAsia="zh-CN"/>
              </w:rPr>
              <w:t>表3-</w:t>
            </w:r>
            <w:r>
              <w:rPr>
                <w:rFonts w:hint="eastAsia" w:ascii="Times New Roman" w:hAnsi="Times New Roman" w:eastAsia="宋体" w:cs="Times New Roman"/>
                <w:b/>
                <w:bCs w:val="0"/>
                <w:kern w:val="0"/>
                <w:sz w:val="21"/>
                <w:szCs w:val="21"/>
                <w:lang w:val="en-US" w:eastAsia="zh-CN"/>
              </w:rPr>
              <w:t>1</w:t>
            </w:r>
            <w:r>
              <w:rPr>
                <w:rFonts w:hint="default" w:ascii="Times New Roman" w:hAnsi="Times New Roman" w:eastAsia="宋体" w:cs="Times New Roman"/>
                <w:b/>
                <w:bCs w:val="0"/>
                <w:kern w:val="0"/>
                <w:sz w:val="21"/>
                <w:szCs w:val="21"/>
                <w:lang w:val="en-US" w:eastAsia="zh-CN"/>
              </w:rPr>
              <w:t xml:space="preserve">           项目区环境空气质量评价结果统计表</w:t>
            </w:r>
          </w:p>
          <w:tbl>
            <w:tblPr>
              <w:tblStyle w:val="24"/>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912"/>
              <w:gridCol w:w="942"/>
              <w:gridCol w:w="578"/>
              <w:gridCol w:w="708"/>
              <w:gridCol w:w="1195"/>
              <w:gridCol w:w="1297"/>
              <w:gridCol w:w="827"/>
              <w:gridCol w:w="512"/>
              <w:gridCol w:w="489"/>
            </w:tblGrid>
            <w:tr w14:paraId="646360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00" w:type="pct"/>
                  <w:vMerge w:val="restart"/>
                  <w:tcBorders>
                    <w:tl2br w:val="nil"/>
                    <w:tr2bl w:val="nil"/>
                  </w:tcBorders>
                  <w:noWrap w:val="0"/>
                  <w:vAlign w:val="center"/>
                </w:tcPr>
                <w:p w14:paraId="4AC7EF1B">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r>
                    <w:rPr>
                      <w:rFonts w:hint="default" w:ascii="Times New Roman" w:hAnsi="Times New Roman" w:eastAsia="宋体" w:cs="Times New Roman"/>
                      <w:b w:val="0"/>
                      <w:bCs/>
                      <w:kern w:val="0"/>
                      <w:sz w:val="21"/>
                      <w:szCs w:val="21"/>
                      <w:lang w:val="en-US" w:eastAsia="zh-CN"/>
                    </w:rPr>
                    <w:t>监测点位</w:t>
                  </w:r>
                </w:p>
              </w:tc>
              <w:tc>
                <w:tcPr>
                  <w:tcW w:w="1152" w:type="pct"/>
                  <w:gridSpan w:val="2"/>
                  <w:tcBorders>
                    <w:tl2br w:val="nil"/>
                    <w:tr2bl w:val="nil"/>
                  </w:tcBorders>
                  <w:noWrap w:val="0"/>
                  <w:vAlign w:val="center"/>
                </w:tcPr>
                <w:p w14:paraId="304AD047">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r>
                    <w:rPr>
                      <w:rFonts w:hint="default" w:ascii="Times New Roman" w:hAnsi="Times New Roman" w:eastAsia="宋体" w:cs="Times New Roman"/>
                      <w:b w:val="0"/>
                      <w:bCs/>
                      <w:kern w:val="0"/>
                      <w:sz w:val="21"/>
                      <w:szCs w:val="21"/>
                      <w:lang w:val="en-US" w:eastAsia="zh-CN"/>
                    </w:rPr>
                    <w:t>监测点坐标</w:t>
                  </w:r>
                </w:p>
              </w:tc>
              <w:tc>
                <w:tcPr>
                  <w:tcW w:w="317" w:type="pct"/>
                  <w:vMerge w:val="restart"/>
                  <w:tcBorders>
                    <w:tl2br w:val="nil"/>
                    <w:tr2bl w:val="nil"/>
                  </w:tcBorders>
                  <w:noWrap w:val="0"/>
                  <w:vAlign w:val="center"/>
                </w:tcPr>
                <w:p w14:paraId="0B7482C0">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r>
                    <w:rPr>
                      <w:rFonts w:hint="default" w:ascii="Times New Roman" w:hAnsi="Times New Roman" w:eastAsia="宋体" w:cs="Times New Roman"/>
                      <w:b w:val="0"/>
                      <w:bCs/>
                      <w:kern w:val="0"/>
                      <w:sz w:val="21"/>
                      <w:szCs w:val="21"/>
                      <w:lang w:val="en-US" w:eastAsia="zh-CN"/>
                    </w:rPr>
                    <w:t>污染物</w:t>
                  </w:r>
                </w:p>
              </w:tc>
              <w:tc>
                <w:tcPr>
                  <w:tcW w:w="441" w:type="pct"/>
                  <w:vMerge w:val="restart"/>
                  <w:tcBorders>
                    <w:tl2br w:val="nil"/>
                    <w:tr2bl w:val="nil"/>
                  </w:tcBorders>
                  <w:noWrap w:val="0"/>
                  <w:vAlign w:val="center"/>
                </w:tcPr>
                <w:p w14:paraId="2BB4B8F6">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r>
                    <w:rPr>
                      <w:rFonts w:hint="default" w:ascii="Times New Roman" w:hAnsi="Times New Roman" w:eastAsia="宋体" w:cs="Times New Roman"/>
                      <w:b w:val="0"/>
                      <w:bCs/>
                      <w:kern w:val="0"/>
                      <w:sz w:val="21"/>
                      <w:szCs w:val="21"/>
                      <w:lang w:val="en-US" w:eastAsia="zh-CN"/>
                    </w:rPr>
                    <w:t>平均时间</w:t>
                  </w:r>
                </w:p>
              </w:tc>
              <w:tc>
                <w:tcPr>
                  <w:tcW w:w="741" w:type="pct"/>
                  <w:vMerge w:val="restart"/>
                  <w:tcBorders>
                    <w:tl2br w:val="nil"/>
                    <w:tr2bl w:val="nil"/>
                  </w:tcBorders>
                  <w:noWrap w:val="0"/>
                  <w:vAlign w:val="center"/>
                </w:tcPr>
                <w:p w14:paraId="3FEF2DC3">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r>
                    <w:rPr>
                      <w:rFonts w:hint="default" w:ascii="Times New Roman" w:hAnsi="Times New Roman" w:eastAsia="宋体" w:cs="Times New Roman"/>
                      <w:b w:val="0"/>
                      <w:bCs/>
                      <w:kern w:val="0"/>
                      <w:sz w:val="21"/>
                      <w:szCs w:val="21"/>
                      <w:lang w:val="en-US" w:eastAsia="zh-CN"/>
                    </w:rPr>
                    <w:t>评价标准（mg/m</w:t>
                  </w:r>
                  <w:r>
                    <w:rPr>
                      <w:rFonts w:hint="default" w:ascii="Times New Roman" w:hAnsi="Times New Roman" w:eastAsia="宋体" w:cs="Times New Roman"/>
                      <w:b w:val="0"/>
                      <w:bCs/>
                      <w:kern w:val="0"/>
                      <w:sz w:val="21"/>
                      <w:szCs w:val="21"/>
                      <w:vertAlign w:val="superscript"/>
                      <w:lang w:val="en-US" w:eastAsia="zh-CN"/>
                    </w:rPr>
                    <w:t>3</w:t>
                  </w:r>
                  <w:r>
                    <w:rPr>
                      <w:rFonts w:hint="default" w:ascii="Times New Roman" w:hAnsi="Times New Roman" w:eastAsia="宋体" w:cs="Times New Roman"/>
                      <w:b w:val="0"/>
                      <w:bCs/>
                      <w:kern w:val="0"/>
                      <w:sz w:val="21"/>
                      <w:szCs w:val="21"/>
                      <w:lang w:val="en-US" w:eastAsia="zh-CN"/>
                    </w:rPr>
                    <w:t>）</w:t>
                  </w:r>
                </w:p>
              </w:tc>
              <w:tc>
                <w:tcPr>
                  <w:tcW w:w="804" w:type="pct"/>
                  <w:vMerge w:val="restart"/>
                  <w:tcBorders>
                    <w:tl2br w:val="nil"/>
                    <w:tr2bl w:val="nil"/>
                  </w:tcBorders>
                  <w:noWrap w:val="0"/>
                  <w:vAlign w:val="center"/>
                </w:tcPr>
                <w:p w14:paraId="6D128D9E">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r>
                    <w:rPr>
                      <w:rFonts w:hint="default" w:ascii="Times New Roman" w:hAnsi="Times New Roman" w:eastAsia="宋体" w:cs="Times New Roman"/>
                      <w:b w:val="0"/>
                      <w:bCs/>
                      <w:kern w:val="0"/>
                      <w:sz w:val="21"/>
                      <w:szCs w:val="21"/>
                      <w:lang w:val="en-US" w:eastAsia="zh-CN"/>
                    </w:rPr>
                    <w:t>监测浓度范围（mg/m</w:t>
                  </w:r>
                  <w:r>
                    <w:rPr>
                      <w:rFonts w:hint="default" w:ascii="Times New Roman" w:hAnsi="Times New Roman" w:eastAsia="宋体" w:cs="Times New Roman"/>
                      <w:b w:val="0"/>
                      <w:bCs/>
                      <w:kern w:val="0"/>
                      <w:sz w:val="21"/>
                      <w:szCs w:val="21"/>
                      <w:vertAlign w:val="superscript"/>
                      <w:lang w:val="en-US" w:eastAsia="zh-CN"/>
                    </w:rPr>
                    <w:t>3</w:t>
                  </w:r>
                  <w:r>
                    <w:rPr>
                      <w:rFonts w:hint="default" w:ascii="Times New Roman" w:hAnsi="Times New Roman" w:eastAsia="宋体" w:cs="Times New Roman"/>
                      <w:b w:val="0"/>
                      <w:bCs/>
                      <w:kern w:val="0"/>
                      <w:sz w:val="21"/>
                      <w:szCs w:val="21"/>
                      <w:lang w:val="en-US" w:eastAsia="zh-CN"/>
                    </w:rPr>
                    <w:t>）</w:t>
                  </w:r>
                </w:p>
              </w:tc>
              <w:tc>
                <w:tcPr>
                  <w:tcW w:w="514" w:type="pct"/>
                  <w:vMerge w:val="restart"/>
                  <w:tcBorders>
                    <w:tl2br w:val="nil"/>
                    <w:tr2bl w:val="nil"/>
                  </w:tcBorders>
                  <w:noWrap w:val="0"/>
                  <w:vAlign w:val="center"/>
                </w:tcPr>
                <w:p w14:paraId="6D647852">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r>
                    <w:rPr>
                      <w:rFonts w:hint="default" w:ascii="Times New Roman" w:hAnsi="Times New Roman" w:eastAsia="宋体" w:cs="Times New Roman"/>
                      <w:b w:val="0"/>
                      <w:bCs/>
                      <w:kern w:val="0"/>
                      <w:sz w:val="21"/>
                      <w:szCs w:val="21"/>
                      <w:lang w:val="en-US" w:eastAsia="zh-CN"/>
                    </w:rPr>
                    <w:t>最大浓度占标率/%</w:t>
                  </w:r>
                </w:p>
              </w:tc>
              <w:tc>
                <w:tcPr>
                  <w:tcW w:w="320" w:type="pct"/>
                  <w:vMerge w:val="restart"/>
                  <w:tcBorders>
                    <w:tl2br w:val="nil"/>
                    <w:tr2bl w:val="nil"/>
                  </w:tcBorders>
                  <w:noWrap w:val="0"/>
                  <w:vAlign w:val="center"/>
                </w:tcPr>
                <w:p w14:paraId="210BCF8F">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r>
                    <w:rPr>
                      <w:rFonts w:hint="default" w:ascii="Times New Roman" w:hAnsi="Times New Roman" w:eastAsia="宋体" w:cs="Times New Roman"/>
                      <w:b w:val="0"/>
                      <w:bCs/>
                      <w:kern w:val="0"/>
                      <w:sz w:val="21"/>
                      <w:szCs w:val="21"/>
                      <w:lang w:val="en-US" w:eastAsia="zh-CN"/>
                    </w:rPr>
                    <w:t>超标率/%</w:t>
                  </w:r>
                </w:p>
              </w:tc>
              <w:tc>
                <w:tcPr>
                  <w:tcW w:w="306" w:type="pct"/>
                  <w:vMerge w:val="restart"/>
                  <w:tcBorders>
                    <w:tl2br w:val="nil"/>
                    <w:tr2bl w:val="nil"/>
                  </w:tcBorders>
                  <w:noWrap w:val="0"/>
                  <w:vAlign w:val="center"/>
                </w:tcPr>
                <w:p w14:paraId="4D18A67A">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r>
                    <w:rPr>
                      <w:rFonts w:hint="default" w:ascii="Times New Roman" w:hAnsi="Times New Roman" w:eastAsia="宋体" w:cs="Times New Roman"/>
                      <w:b w:val="0"/>
                      <w:bCs/>
                      <w:kern w:val="0"/>
                      <w:sz w:val="21"/>
                      <w:szCs w:val="21"/>
                      <w:lang w:val="en-US" w:eastAsia="zh-CN"/>
                    </w:rPr>
                    <w:t>达标情况</w:t>
                  </w:r>
                </w:p>
              </w:tc>
            </w:tr>
            <w:tr w14:paraId="18BCF6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00" w:type="pct"/>
                  <w:vMerge w:val="continue"/>
                  <w:tcBorders>
                    <w:tl2br w:val="nil"/>
                    <w:tr2bl w:val="nil"/>
                  </w:tcBorders>
                  <w:noWrap w:val="0"/>
                  <w:vAlign w:val="center"/>
                </w:tcPr>
                <w:p w14:paraId="2E0B2D47">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p>
              </w:tc>
              <w:tc>
                <w:tcPr>
                  <w:tcW w:w="567" w:type="pct"/>
                  <w:tcBorders>
                    <w:tl2br w:val="nil"/>
                    <w:tr2bl w:val="nil"/>
                  </w:tcBorders>
                  <w:noWrap w:val="0"/>
                  <w:vAlign w:val="center"/>
                </w:tcPr>
                <w:p w14:paraId="0C7FB2DF">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r>
                    <w:rPr>
                      <w:rFonts w:hint="default" w:ascii="Times New Roman" w:hAnsi="Times New Roman" w:eastAsia="宋体" w:cs="Times New Roman"/>
                      <w:b w:val="0"/>
                      <w:bCs/>
                      <w:kern w:val="0"/>
                      <w:sz w:val="21"/>
                      <w:szCs w:val="21"/>
                      <w:lang w:val="en-US" w:eastAsia="zh-CN"/>
                    </w:rPr>
                    <w:t>X</w:t>
                  </w:r>
                </w:p>
              </w:tc>
              <w:tc>
                <w:tcPr>
                  <w:tcW w:w="585" w:type="pct"/>
                  <w:tcBorders>
                    <w:tl2br w:val="nil"/>
                    <w:tr2bl w:val="nil"/>
                  </w:tcBorders>
                  <w:noWrap w:val="0"/>
                  <w:vAlign w:val="center"/>
                </w:tcPr>
                <w:p w14:paraId="2C139697">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r>
                    <w:rPr>
                      <w:rFonts w:hint="default" w:ascii="Times New Roman" w:hAnsi="Times New Roman" w:eastAsia="宋体" w:cs="Times New Roman"/>
                      <w:b w:val="0"/>
                      <w:bCs/>
                      <w:kern w:val="0"/>
                      <w:sz w:val="21"/>
                      <w:szCs w:val="21"/>
                      <w:lang w:val="en-US" w:eastAsia="zh-CN"/>
                    </w:rPr>
                    <w:t>Y</w:t>
                  </w:r>
                </w:p>
              </w:tc>
              <w:tc>
                <w:tcPr>
                  <w:tcW w:w="317" w:type="pct"/>
                  <w:vMerge w:val="continue"/>
                  <w:tcBorders>
                    <w:tl2br w:val="nil"/>
                    <w:tr2bl w:val="nil"/>
                  </w:tcBorders>
                  <w:noWrap w:val="0"/>
                  <w:vAlign w:val="center"/>
                </w:tcPr>
                <w:p w14:paraId="10094D6E">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p>
              </w:tc>
              <w:tc>
                <w:tcPr>
                  <w:tcW w:w="441" w:type="pct"/>
                  <w:vMerge w:val="continue"/>
                  <w:tcBorders>
                    <w:tl2br w:val="nil"/>
                    <w:tr2bl w:val="nil"/>
                  </w:tcBorders>
                  <w:noWrap w:val="0"/>
                  <w:vAlign w:val="center"/>
                </w:tcPr>
                <w:p w14:paraId="32C2FD1D">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p>
              </w:tc>
              <w:tc>
                <w:tcPr>
                  <w:tcW w:w="741" w:type="pct"/>
                  <w:vMerge w:val="continue"/>
                  <w:tcBorders>
                    <w:tl2br w:val="nil"/>
                    <w:tr2bl w:val="nil"/>
                  </w:tcBorders>
                  <w:noWrap w:val="0"/>
                  <w:vAlign w:val="center"/>
                </w:tcPr>
                <w:p w14:paraId="39D7F31A">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p>
              </w:tc>
              <w:tc>
                <w:tcPr>
                  <w:tcW w:w="804" w:type="pct"/>
                  <w:vMerge w:val="continue"/>
                  <w:tcBorders>
                    <w:tl2br w:val="nil"/>
                    <w:tr2bl w:val="nil"/>
                  </w:tcBorders>
                  <w:noWrap w:val="0"/>
                  <w:vAlign w:val="center"/>
                </w:tcPr>
                <w:p w14:paraId="4258C63F">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p>
              </w:tc>
              <w:tc>
                <w:tcPr>
                  <w:tcW w:w="514" w:type="pct"/>
                  <w:vMerge w:val="continue"/>
                  <w:tcBorders>
                    <w:tl2br w:val="nil"/>
                    <w:tr2bl w:val="nil"/>
                  </w:tcBorders>
                  <w:noWrap w:val="0"/>
                  <w:vAlign w:val="center"/>
                </w:tcPr>
                <w:p w14:paraId="23838F92">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p>
              </w:tc>
              <w:tc>
                <w:tcPr>
                  <w:tcW w:w="320" w:type="pct"/>
                  <w:vMerge w:val="continue"/>
                  <w:tcBorders>
                    <w:tl2br w:val="nil"/>
                    <w:tr2bl w:val="nil"/>
                  </w:tcBorders>
                  <w:noWrap w:val="0"/>
                  <w:vAlign w:val="center"/>
                </w:tcPr>
                <w:p w14:paraId="19ADFDA9">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p>
              </w:tc>
              <w:tc>
                <w:tcPr>
                  <w:tcW w:w="306" w:type="pct"/>
                  <w:vMerge w:val="continue"/>
                  <w:tcBorders>
                    <w:tl2br w:val="nil"/>
                    <w:tr2bl w:val="nil"/>
                  </w:tcBorders>
                  <w:noWrap w:val="0"/>
                  <w:vAlign w:val="center"/>
                </w:tcPr>
                <w:p w14:paraId="48BFB779">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p>
              </w:tc>
            </w:tr>
            <w:tr w14:paraId="4EBF69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00" w:type="pct"/>
                  <w:tcBorders>
                    <w:tl2br w:val="nil"/>
                    <w:tr2bl w:val="nil"/>
                  </w:tcBorders>
                  <w:noWrap w:val="0"/>
                  <w:vAlign w:val="center"/>
                </w:tcPr>
                <w:p w14:paraId="5FC59827">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r>
                    <w:rPr>
                      <w:rFonts w:hint="default" w:ascii="Times New Roman" w:hAnsi="Times New Roman" w:eastAsia="宋体" w:cs="Times New Roman"/>
                      <w:b w:val="0"/>
                      <w:bCs/>
                      <w:kern w:val="0"/>
                      <w:sz w:val="21"/>
                      <w:szCs w:val="21"/>
                      <w:lang w:val="en-US" w:eastAsia="zh-CN"/>
                    </w:rPr>
                    <w:t>引用数据</w:t>
                  </w:r>
                </w:p>
              </w:tc>
              <w:tc>
                <w:tcPr>
                  <w:tcW w:w="567" w:type="pct"/>
                  <w:tcBorders>
                    <w:tl2br w:val="nil"/>
                    <w:tr2bl w:val="nil"/>
                  </w:tcBorders>
                  <w:noWrap w:val="0"/>
                  <w:vAlign w:val="center"/>
                </w:tcPr>
                <w:p w14:paraId="29141515">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r>
                    <w:rPr>
                      <w:rFonts w:hint="default" w:ascii="Times New Roman" w:hAnsi="Times New Roman" w:eastAsia="宋体" w:cs="Times New Roman"/>
                      <w:b w:val="0"/>
                      <w:bCs/>
                      <w:kern w:val="0"/>
                      <w:sz w:val="21"/>
                      <w:szCs w:val="21"/>
                      <w:lang w:val="en-US" w:eastAsia="zh-CN"/>
                    </w:rPr>
                    <w:t>86°15′</w:t>
                  </w:r>
                </w:p>
                <w:p w14:paraId="7EFA51E7">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r>
                    <w:rPr>
                      <w:rFonts w:hint="default" w:ascii="Times New Roman" w:hAnsi="Times New Roman" w:eastAsia="宋体" w:cs="Times New Roman"/>
                      <w:b w:val="0"/>
                      <w:bCs/>
                      <w:kern w:val="0"/>
                      <w:sz w:val="21"/>
                      <w:szCs w:val="21"/>
                      <w:lang w:val="en-US" w:eastAsia="zh-CN"/>
                    </w:rPr>
                    <w:t>7.140″</w:t>
                  </w:r>
                </w:p>
              </w:tc>
              <w:tc>
                <w:tcPr>
                  <w:tcW w:w="585" w:type="pct"/>
                  <w:tcBorders>
                    <w:tl2br w:val="nil"/>
                    <w:tr2bl w:val="nil"/>
                  </w:tcBorders>
                  <w:noWrap w:val="0"/>
                  <w:vAlign w:val="center"/>
                </w:tcPr>
                <w:p w14:paraId="4DB86CE1">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r>
                    <w:rPr>
                      <w:rFonts w:hint="default" w:ascii="Times New Roman" w:hAnsi="Times New Roman" w:eastAsia="宋体" w:cs="Times New Roman"/>
                      <w:b w:val="0"/>
                      <w:bCs/>
                      <w:kern w:val="0"/>
                      <w:sz w:val="21"/>
                      <w:szCs w:val="21"/>
                      <w:lang w:val="en-US" w:eastAsia="zh-CN"/>
                    </w:rPr>
                    <w:t>42°25′</w:t>
                  </w:r>
                </w:p>
                <w:p w14:paraId="25BF5E22">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r>
                    <w:rPr>
                      <w:rFonts w:hint="default" w:ascii="Times New Roman" w:hAnsi="Times New Roman" w:eastAsia="宋体" w:cs="Times New Roman"/>
                      <w:b w:val="0"/>
                      <w:bCs/>
                      <w:kern w:val="0"/>
                      <w:sz w:val="21"/>
                      <w:szCs w:val="21"/>
                      <w:lang w:val="en-US" w:eastAsia="zh-CN"/>
                    </w:rPr>
                    <w:t>38.709″</w:t>
                  </w:r>
                </w:p>
              </w:tc>
              <w:tc>
                <w:tcPr>
                  <w:tcW w:w="317" w:type="pct"/>
                  <w:tcBorders>
                    <w:tl2br w:val="nil"/>
                    <w:tr2bl w:val="nil"/>
                  </w:tcBorders>
                  <w:noWrap w:val="0"/>
                  <w:vAlign w:val="center"/>
                </w:tcPr>
                <w:p w14:paraId="2970CA44">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r>
                    <w:rPr>
                      <w:rFonts w:hint="default" w:ascii="Times New Roman" w:hAnsi="Times New Roman" w:eastAsia="宋体" w:cs="Times New Roman"/>
                      <w:b w:val="0"/>
                      <w:bCs/>
                      <w:kern w:val="0"/>
                      <w:sz w:val="21"/>
                      <w:szCs w:val="21"/>
                      <w:lang w:val="en-US" w:eastAsia="zh-CN"/>
                    </w:rPr>
                    <w:t>TSP</w:t>
                  </w:r>
                </w:p>
              </w:tc>
              <w:tc>
                <w:tcPr>
                  <w:tcW w:w="441" w:type="pct"/>
                  <w:tcBorders>
                    <w:tl2br w:val="nil"/>
                    <w:tr2bl w:val="nil"/>
                  </w:tcBorders>
                  <w:noWrap w:val="0"/>
                  <w:vAlign w:val="center"/>
                </w:tcPr>
                <w:p w14:paraId="0A1120C4">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r>
                    <w:rPr>
                      <w:rFonts w:hint="default" w:ascii="Times New Roman" w:hAnsi="Times New Roman" w:eastAsia="宋体" w:cs="Times New Roman"/>
                      <w:b w:val="0"/>
                      <w:bCs/>
                      <w:kern w:val="0"/>
                      <w:sz w:val="21"/>
                      <w:szCs w:val="21"/>
                      <w:lang w:val="en-US" w:eastAsia="zh-CN"/>
                    </w:rPr>
                    <w:t>日均值</w:t>
                  </w:r>
                </w:p>
              </w:tc>
              <w:tc>
                <w:tcPr>
                  <w:tcW w:w="741" w:type="pct"/>
                  <w:tcBorders>
                    <w:tl2br w:val="nil"/>
                    <w:tr2bl w:val="nil"/>
                  </w:tcBorders>
                  <w:noWrap w:val="0"/>
                  <w:vAlign w:val="center"/>
                </w:tcPr>
                <w:p w14:paraId="3331DC17">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r>
                    <w:rPr>
                      <w:rFonts w:hint="default" w:ascii="Times New Roman" w:hAnsi="Times New Roman" w:eastAsia="宋体" w:cs="Times New Roman"/>
                      <w:b w:val="0"/>
                      <w:bCs/>
                      <w:kern w:val="0"/>
                      <w:sz w:val="21"/>
                      <w:szCs w:val="21"/>
                      <w:lang w:val="en-US" w:eastAsia="zh-CN"/>
                    </w:rPr>
                    <w:t>0.3</w:t>
                  </w:r>
                </w:p>
              </w:tc>
              <w:tc>
                <w:tcPr>
                  <w:tcW w:w="804" w:type="pct"/>
                  <w:tcBorders>
                    <w:tl2br w:val="nil"/>
                    <w:tr2bl w:val="nil"/>
                  </w:tcBorders>
                  <w:noWrap w:val="0"/>
                  <w:vAlign w:val="center"/>
                </w:tcPr>
                <w:p w14:paraId="5E475DEA">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r>
                    <w:rPr>
                      <w:rFonts w:hint="default" w:ascii="Times New Roman" w:hAnsi="Times New Roman" w:eastAsia="宋体" w:cs="Times New Roman"/>
                      <w:b w:val="0"/>
                      <w:bCs/>
                      <w:kern w:val="0"/>
                      <w:sz w:val="21"/>
                      <w:szCs w:val="21"/>
                      <w:lang w:val="en-US" w:eastAsia="zh-CN"/>
                    </w:rPr>
                    <w:t>0.265~0.283</w:t>
                  </w:r>
                </w:p>
              </w:tc>
              <w:tc>
                <w:tcPr>
                  <w:tcW w:w="514" w:type="pct"/>
                  <w:tcBorders>
                    <w:tl2br w:val="nil"/>
                    <w:tr2bl w:val="nil"/>
                  </w:tcBorders>
                  <w:noWrap w:val="0"/>
                  <w:vAlign w:val="center"/>
                </w:tcPr>
                <w:p w14:paraId="3E0B4AE3">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r>
                    <w:rPr>
                      <w:rFonts w:hint="default" w:ascii="Times New Roman" w:hAnsi="Times New Roman" w:eastAsia="宋体" w:cs="Times New Roman"/>
                      <w:b w:val="0"/>
                      <w:bCs/>
                      <w:kern w:val="0"/>
                      <w:sz w:val="21"/>
                      <w:szCs w:val="21"/>
                      <w:lang w:val="en-US" w:eastAsia="zh-CN"/>
                    </w:rPr>
                    <w:t>94.3</w:t>
                  </w:r>
                </w:p>
              </w:tc>
              <w:tc>
                <w:tcPr>
                  <w:tcW w:w="320" w:type="pct"/>
                  <w:tcBorders>
                    <w:tl2br w:val="nil"/>
                    <w:tr2bl w:val="nil"/>
                  </w:tcBorders>
                  <w:noWrap w:val="0"/>
                  <w:vAlign w:val="center"/>
                </w:tcPr>
                <w:p w14:paraId="7F52AAEC">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r>
                    <w:rPr>
                      <w:rFonts w:hint="default" w:ascii="Times New Roman" w:hAnsi="Times New Roman" w:eastAsia="宋体" w:cs="Times New Roman"/>
                      <w:b w:val="0"/>
                      <w:bCs/>
                      <w:kern w:val="0"/>
                      <w:sz w:val="21"/>
                      <w:szCs w:val="21"/>
                      <w:lang w:val="en-US" w:eastAsia="zh-CN"/>
                    </w:rPr>
                    <w:t>0</w:t>
                  </w:r>
                </w:p>
              </w:tc>
              <w:tc>
                <w:tcPr>
                  <w:tcW w:w="306" w:type="pct"/>
                  <w:tcBorders>
                    <w:tl2br w:val="nil"/>
                    <w:tr2bl w:val="nil"/>
                  </w:tcBorders>
                  <w:noWrap w:val="0"/>
                  <w:vAlign w:val="center"/>
                </w:tcPr>
                <w:p w14:paraId="4EA049B8">
                  <w:pPr>
                    <w:keepNext w:val="0"/>
                    <w:keepLines/>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outlineLvl w:val="9"/>
                    <w:rPr>
                      <w:rFonts w:hint="default" w:ascii="Times New Roman" w:hAnsi="Times New Roman" w:eastAsia="宋体" w:cs="Times New Roman"/>
                      <w:b w:val="0"/>
                      <w:bCs/>
                      <w:kern w:val="0"/>
                      <w:sz w:val="21"/>
                      <w:szCs w:val="21"/>
                      <w:lang w:val="en-US" w:eastAsia="zh-CN"/>
                    </w:rPr>
                  </w:pPr>
                  <w:r>
                    <w:rPr>
                      <w:rFonts w:hint="default" w:ascii="Times New Roman" w:hAnsi="Times New Roman" w:eastAsia="宋体" w:cs="Times New Roman"/>
                      <w:b w:val="0"/>
                      <w:bCs/>
                      <w:kern w:val="0"/>
                      <w:sz w:val="21"/>
                      <w:szCs w:val="21"/>
                      <w:lang w:val="en-US" w:eastAsia="zh-CN"/>
                    </w:rPr>
                    <w:t>达标</w:t>
                  </w:r>
                </w:p>
              </w:tc>
            </w:tr>
          </w:tbl>
          <w:p w14:paraId="37A8DD6C">
            <w:pPr>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outlineLvl w:val="9"/>
              <w:rPr>
                <w:rFonts w:hint="default" w:ascii="Times New Roman" w:hAnsi="Times New Roman" w:eastAsia="宋体" w:cs="Times New Roman"/>
                <w:b w:val="0"/>
                <w:bCs/>
                <w:kern w:val="0"/>
                <w:sz w:val="24"/>
                <w:szCs w:val="24"/>
                <w:lang w:val="en-US" w:eastAsia="zh-CN"/>
              </w:rPr>
            </w:pPr>
            <w:r>
              <w:rPr>
                <w:rFonts w:hint="default" w:ascii="Times New Roman" w:hAnsi="Times New Roman" w:eastAsia="宋体" w:cs="Times New Roman"/>
                <w:b w:val="0"/>
                <w:bCs/>
                <w:kern w:val="0"/>
                <w:sz w:val="24"/>
                <w:szCs w:val="24"/>
                <w:lang w:val="en-US" w:eastAsia="zh-CN"/>
              </w:rPr>
              <w:t>从上表可知：TSP现状</w:t>
            </w:r>
            <w:r>
              <w:rPr>
                <w:rFonts w:hint="eastAsia" w:ascii="Times New Roman" w:hAnsi="Times New Roman" w:eastAsia="宋体" w:cs="Times New Roman"/>
                <w:b w:val="0"/>
                <w:bCs/>
                <w:kern w:val="0"/>
                <w:sz w:val="24"/>
                <w:szCs w:val="24"/>
                <w:lang w:val="en-US" w:eastAsia="zh-CN"/>
              </w:rPr>
              <w:t>浓度</w:t>
            </w:r>
            <w:r>
              <w:rPr>
                <w:rFonts w:hint="default" w:ascii="Times New Roman" w:hAnsi="Times New Roman" w:eastAsia="宋体" w:cs="Times New Roman"/>
                <w:b w:val="0"/>
                <w:bCs/>
                <w:kern w:val="0"/>
                <w:sz w:val="24"/>
                <w:szCs w:val="24"/>
                <w:lang w:val="en-US" w:eastAsia="zh-CN"/>
              </w:rPr>
              <w:t>满足《环境空气质量标准》（GB3095-2012）中表2要求。</w:t>
            </w:r>
          </w:p>
          <w:p w14:paraId="2C0F5EDC">
            <w:pPr>
              <w:keepNext w:val="0"/>
              <w:keepLines w:val="0"/>
              <w:pageBreakBefore w:val="0"/>
              <w:widowControl w:val="0"/>
              <w:kinsoku/>
              <w:wordWrap/>
              <w:overflowPunct/>
              <w:topLinePunct w:val="0"/>
              <w:autoSpaceDE/>
              <w:autoSpaceDN/>
              <w:bidi w:val="0"/>
              <w:adjustRightInd w:val="0"/>
              <w:snapToGrid w:val="0"/>
              <w:spacing w:line="360" w:lineRule="auto"/>
              <w:ind w:left="0"/>
              <w:jc w:val="left"/>
              <w:textAlignment w:val="auto"/>
              <w:rPr>
                <w:rFonts w:hint="default" w:ascii="Times New Roman" w:hAnsi="Times New Roman" w:eastAsia="宋体" w:cs="Times New Roman"/>
                <w:b/>
                <w:bCs/>
                <w:kern w:val="0"/>
                <w:sz w:val="24"/>
                <w:szCs w:val="24"/>
                <w:lang w:val="en-US" w:eastAsia="zh-CN"/>
              </w:rPr>
            </w:pPr>
            <w:r>
              <w:rPr>
                <w:rFonts w:hint="default" w:ascii="Times New Roman" w:hAnsi="Times New Roman" w:eastAsia="宋体" w:cs="Times New Roman"/>
                <w:b/>
                <w:bCs/>
                <w:kern w:val="0"/>
                <w:sz w:val="24"/>
                <w:szCs w:val="24"/>
                <w:lang w:val="en-US" w:eastAsia="zh-CN"/>
              </w:rPr>
              <w:t>二、地表水环境质量现状调查与评价</w:t>
            </w:r>
          </w:p>
          <w:p w14:paraId="10EB8337">
            <w:pPr>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outlineLvl w:val="9"/>
              <w:rPr>
                <w:rFonts w:hint="default" w:ascii="Times New Roman" w:hAnsi="Times New Roman" w:eastAsia="宋体" w:cs="Times New Roman"/>
                <w:b w:val="0"/>
                <w:bCs/>
                <w:kern w:val="0"/>
                <w:sz w:val="24"/>
                <w:szCs w:val="24"/>
                <w:lang w:val="en-US" w:eastAsia="zh-CN"/>
              </w:rPr>
            </w:pPr>
            <w:r>
              <w:rPr>
                <w:rFonts w:hint="default" w:ascii="Times New Roman" w:hAnsi="Times New Roman" w:eastAsia="宋体" w:cs="Times New Roman"/>
                <w:b w:val="0"/>
                <w:bCs/>
                <w:kern w:val="0"/>
                <w:sz w:val="24"/>
                <w:szCs w:val="24"/>
                <w:lang w:val="en-US" w:eastAsia="zh-CN"/>
              </w:rPr>
              <w:t>根据《2024年巴音郭楞蒙古自治州生态环境状况公报》可知：2024年，全州地表水监测的31个考核断面（点位）中，Ⅰ~Ⅲ类优良水质断面（点位）占比90.3%，无Ⅳ类水质。6条主要河流19个监测断面中Ⅰ~Ⅲ类优良水质断面占100%，3个重要湖泊（水库）12个监测点位中Ⅰ~Ⅲ类优良水质断面占75%，无劣Ⅴ类水体，湖泊水质影响因子为化学需氧量。</w:t>
            </w:r>
          </w:p>
          <w:p w14:paraId="65CF19FB">
            <w:pPr>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outlineLvl w:val="9"/>
              <w:rPr>
                <w:rFonts w:hint="default" w:ascii="Times New Roman" w:hAnsi="Times New Roman" w:eastAsia="宋体" w:cs="Times New Roman"/>
                <w:b w:val="0"/>
                <w:bCs/>
                <w:kern w:val="0"/>
                <w:sz w:val="24"/>
                <w:szCs w:val="24"/>
                <w:lang w:val="en-US" w:eastAsia="zh-CN"/>
              </w:rPr>
            </w:pPr>
            <w:r>
              <w:rPr>
                <w:rFonts w:hint="default" w:ascii="Times New Roman" w:hAnsi="Times New Roman" w:eastAsia="宋体" w:cs="Times New Roman"/>
                <w:b w:val="0"/>
                <w:bCs/>
                <w:kern w:val="0"/>
                <w:sz w:val="24"/>
                <w:szCs w:val="24"/>
                <w:lang w:val="en-US" w:eastAsia="zh-CN"/>
              </w:rPr>
              <w:t>距离项目区最近的地表水体为黄水沟，位于本项目东侧3.0km处，黄水沟河源至巴伦台段水质为I类水体其余为Ⅱ类水体，本项目附近为Ⅱ水体，水质可达到《地表水环境质量标准》（GB3838-2002）Ⅱ类标准。</w:t>
            </w:r>
          </w:p>
          <w:p w14:paraId="34428E50">
            <w:pPr>
              <w:keepNext w:val="0"/>
              <w:keepLines w:val="0"/>
              <w:pageBreakBefore w:val="0"/>
              <w:widowControl w:val="0"/>
              <w:kinsoku/>
              <w:wordWrap/>
              <w:overflowPunct/>
              <w:topLinePunct w:val="0"/>
              <w:autoSpaceDE/>
              <w:autoSpaceDN/>
              <w:bidi w:val="0"/>
              <w:adjustRightInd w:val="0"/>
              <w:snapToGrid w:val="0"/>
              <w:spacing w:line="360" w:lineRule="auto"/>
              <w:ind w:left="0"/>
              <w:jc w:val="left"/>
              <w:textAlignment w:val="auto"/>
              <w:rPr>
                <w:rFonts w:hint="default" w:ascii="Times New Roman" w:hAnsi="Times New Roman" w:eastAsia="宋体" w:cs="Times New Roman"/>
                <w:b/>
                <w:bCs/>
                <w:kern w:val="0"/>
                <w:sz w:val="24"/>
                <w:szCs w:val="24"/>
                <w:lang w:val="en-US" w:eastAsia="zh-CN"/>
              </w:rPr>
            </w:pPr>
            <w:r>
              <w:rPr>
                <w:rFonts w:hint="default" w:ascii="Times New Roman" w:hAnsi="Times New Roman" w:eastAsia="宋体" w:cs="Times New Roman"/>
                <w:b/>
                <w:bCs/>
                <w:kern w:val="0"/>
                <w:sz w:val="24"/>
                <w:szCs w:val="24"/>
                <w:lang w:val="en-US" w:eastAsia="zh-CN"/>
              </w:rPr>
              <w:t>三、区域声环境质量现状</w:t>
            </w:r>
          </w:p>
          <w:p w14:paraId="3C35CA41">
            <w:pPr>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outlineLvl w:val="9"/>
              <w:rPr>
                <w:rFonts w:hint="default" w:ascii="Times New Roman" w:hAnsi="Times New Roman" w:eastAsia="宋体" w:cs="Times New Roman"/>
                <w:b w:val="0"/>
                <w:bCs/>
                <w:kern w:val="0"/>
                <w:sz w:val="24"/>
                <w:szCs w:val="24"/>
                <w:lang w:val="en-US" w:eastAsia="zh-CN"/>
              </w:rPr>
            </w:pPr>
            <w:r>
              <w:rPr>
                <w:rFonts w:hint="default" w:ascii="Times New Roman" w:hAnsi="Times New Roman" w:eastAsia="宋体" w:cs="Times New Roman"/>
                <w:b w:val="0"/>
                <w:bCs/>
                <w:kern w:val="0"/>
                <w:sz w:val="24"/>
                <w:szCs w:val="24"/>
                <w:lang w:val="en-US" w:eastAsia="zh-CN"/>
              </w:rPr>
              <w:t>本项目周边50m范围内不存在声环境保护目标。因此，本次评价不进行声环境质量现状监测。</w:t>
            </w:r>
          </w:p>
          <w:p w14:paraId="6BFF3CE1">
            <w:pPr>
              <w:keepNext w:val="0"/>
              <w:keepLines w:val="0"/>
              <w:pageBreakBefore w:val="0"/>
              <w:widowControl w:val="0"/>
              <w:kinsoku/>
              <w:wordWrap/>
              <w:overflowPunct/>
              <w:topLinePunct w:val="0"/>
              <w:autoSpaceDE/>
              <w:autoSpaceDN/>
              <w:bidi w:val="0"/>
              <w:adjustRightInd w:val="0"/>
              <w:snapToGrid w:val="0"/>
              <w:spacing w:line="360" w:lineRule="auto"/>
              <w:ind w:left="0"/>
              <w:jc w:val="left"/>
              <w:textAlignment w:val="auto"/>
              <w:rPr>
                <w:rFonts w:hint="default" w:ascii="Times New Roman" w:hAnsi="Times New Roman" w:eastAsia="宋体" w:cs="Times New Roman"/>
                <w:b/>
                <w:bCs/>
                <w:kern w:val="0"/>
                <w:sz w:val="24"/>
                <w:szCs w:val="24"/>
                <w:lang w:val="en-US" w:eastAsia="zh-CN"/>
              </w:rPr>
            </w:pPr>
            <w:r>
              <w:rPr>
                <w:rFonts w:hint="default" w:ascii="Times New Roman" w:hAnsi="Times New Roman" w:eastAsia="宋体" w:cs="Times New Roman"/>
                <w:b/>
                <w:bCs/>
                <w:kern w:val="0"/>
                <w:sz w:val="24"/>
                <w:szCs w:val="24"/>
                <w:lang w:val="en-US" w:eastAsia="zh-CN"/>
              </w:rPr>
              <w:t>四、地下水、土壤环境质量现状调查与评价</w:t>
            </w:r>
          </w:p>
          <w:p w14:paraId="733E58E8">
            <w:pPr>
              <w:keepNext w:val="0"/>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lang w:val="en-US" w:eastAsia="zh-CN"/>
              </w:rPr>
              <w:t>本项目不存在土壤、地下水污染途径，且评价范围内无地下水、土壤环境保护目标，故不需要进行地下水、土壤环境现状调查。</w:t>
            </w:r>
          </w:p>
          <w:p w14:paraId="0351F4EB">
            <w:pPr>
              <w:keepNext w:val="0"/>
              <w:keepLines w:val="0"/>
              <w:pageBreakBefore w:val="0"/>
              <w:widowControl w:val="0"/>
              <w:kinsoku/>
              <w:wordWrap/>
              <w:overflowPunct/>
              <w:topLinePunct w:val="0"/>
              <w:autoSpaceDE/>
              <w:autoSpaceDN/>
              <w:bidi w:val="0"/>
              <w:adjustRightInd w:val="0"/>
              <w:snapToGrid w:val="0"/>
              <w:spacing w:line="360" w:lineRule="auto"/>
              <w:ind w:left="0"/>
              <w:jc w:val="left"/>
              <w:textAlignment w:val="auto"/>
              <w:rPr>
                <w:rFonts w:hint="default" w:ascii="Times New Roman" w:hAnsi="Times New Roman" w:eastAsia="宋体" w:cs="Times New Roman"/>
                <w:b/>
                <w:bCs/>
                <w:kern w:val="0"/>
                <w:sz w:val="24"/>
                <w:szCs w:val="24"/>
                <w:lang w:val="en-US" w:eastAsia="zh-CN"/>
              </w:rPr>
            </w:pPr>
            <w:r>
              <w:rPr>
                <w:rFonts w:hint="default" w:ascii="Times New Roman" w:hAnsi="Times New Roman" w:eastAsia="宋体" w:cs="Times New Roman"/>
                <w:b/>
                <w:bCs/>
                <w:kern w:val="0"/>
                <w:sz w:val="24"/>
                <w:szCs w:val="24"/>
                <w:lang w:val="en-US" w:eastAsia="zh-CN"/>
              </w:rPr>
              <w:t>五、生态环境现状评价</w:t>
            </w:r>
          </w:p>
          <w:p w14:paraId="73A7E185">
            <w:pPr>
              <w:keepNext w:val="0"/>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本项目用地范围内无生态环境保护目标，因此不开展生态环境现状调查。</w:t>
            </w:r>
          </w:p>
          <w:p w14:paraId="758E4E6B">
            <w:pPr>
              <w:keepNext w:val="0"/>
              <w:keepLines w:val="0"/>
              <w:pageBreakBefore w:val="0"/>
              <w:widowControl w:val="0"/>
              <w:kinsoku/>
              <w:wordWrap/>
              <w:overflowPunct/>
              <w:topLinePunct w:val="0"/>
              <w:autoSpaceDE/>
              <w:autoSpaceDN/>
              <w:bidi w:val="0"/>
              <w:adjustRightInd w:val="0"/>
              <w:snapToGrid w:val="0"/>
              <w:spacing w:line="360" w:lineRule="auto"/>
              <w:ind w:left="0"/>
              <w:jc w:val="left"/>
              <w:textAlignment w:val="auto"/>
              <w:rPr>
                <w:rFonts w:hint="default" w:ascii="Times New Roman" w:hAnsi="Times New Roman" w:eastAsia="宋体" w:cs="Times New Roman"/>
                <w:b/>
                <w:bCs/>
                <w:kern w:val="0"/>
                <w:sz w:val="24"/>
                <w:szCs w:val="24"/>
                <w:lang w:val="en-US" w:eastAsia="zh-CN"/>
              </w:rPr>
            </w:pPr>
            <w:r>
              <w:rPr>
                <w:rFonts w:hint="default" w:ascii="Times New Roman" w:hAnsi="Times New Roman" w:eastAsia="宋体" w:cs="Times New Roman"/>
                <w:b/>
                <w:bCs/>
                <w:kern w:val="0"/>
                <w:sz w:val="24"/>
                <w:szCs w:val="24"/>
                <w:lang w:val="en-US" w:eastAsia="zh-CN"/>
              </w:rPr>
              <w:t>六、土地沙化现状</w:t>
            </w:r>
          </w:p>
          <w:p w14:paraId="09784D78">
            <w:pPr>
              <w:keepNext w:val="0"/>
              <w:pageBreakBefore w:val="0"/>
              <w:kinsoku/>
              <w:wordWrap/>
              <w:overflowPunct/>
              <w:topLinePunct w:val="0"/>
              <w:autoSpaceDE/>
              <w:autoSpaceDN/>
              <w:bidi w:val="0"/>
              <w:adjustRightInd w:val="0"/>
              <w:snapToGrid w:val="0"/>
              <w:spacing w:line="360" w:lineRule="auto"/>
              <w:ind w:left="0"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sz w:val="24"/>
                <w:szCs w:val="24"/>
                <w:highlight w:val="none"/>
                <w:lang w:val="en-US" w:eastAsia="zh-CN"/>
              </w:rPr>
              <w:t>本项目位于和静工业园区哈尔莫墩矿业片区，根据《新疆第六次沙化监测报告》不属于沙化土地，详见附图。</w:t>
            </w:r>
          </w:p>
        </w:tc>
      </w:tr>
      <w:tr w14:paraId="7BBE81B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744" w:type="dxa"/>
            <w:tcBorders>
              <w:tl2br w:val="nil"/>
              <w:tr2bl w:val="nil"/>
            </w:tcBorders>
            <w:noWrap w:val="0"/>
            <w:vAlign w:val="center"/>
          </w:tcPr>
          <w:p w14:paraId="0278678B">
            <w:pPr>
              <w:keepNext w:val="0"/>
              <w:pageBreakBefore w:val="0"/>
              <w:kinsoku/>
              <w:overflowPunct/>
              <w:autoSpaceDE/>
              <w:autoSpaceDN/>
              <w:bidi w:val="0"/>
              <w:adjustRightInd w:val="0"/>
              <w:snapToGrid w:val="0"/>
              <w:ind w:left="0"/>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环境</w:t>
            </w:r>
          </w:p>
          <w:p w14:paraId="356F4B41">
            <w:pPr>
              <w:keepNext w:val="0"/>
              <w:pageBreakBefore w:val="0"/>
              <w:kinsoku/>
              <w:overflowPunct/>
              <w:autoSpaceDE/>
              <w:autoSpaceDN/>
              <w:bidi w:val="0"/>
              <w:adjustRightInd w:val="0"/>
              <w:snapToGrid w:val="0"/>
              <w:ind w:left="0"/>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保护</w:t>
            </w:r>
          </w:p>
          <w:p w14:paraId="22D98E73">
            <w:pPr>
              <w:keepNext w:val="0"/>
              <w:pageBreakBefore w:val="0"/>
              <w:kinsoku/>
              <w:overflowPunct/>
              <w:autoSpaceDE/>
              <w:autoSpaceDN/>
              <w:bidi w:val="0"/>
              <w:adjustRightInd w:val="0"/>
              <w:snapToGrid w:val="0"/>
              <w:ind w:left="0"/>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目标</w:t>
            </w:r>
          </w:p>
        </w:tc>
        <w:tc>
          <w:tcPr>
            <w:tcW w:w="8317" w:type="dxa"/>
            <w:tcBorders>
              <w:tl2br w:val="nil"/>
              <w:tr2bl w:val="nil"/>
            </w:tcBorders>
            <w:noWrap w:val="0"/>
            <w:vAlign w:val="center"/>
          </w:tcPr>
          <w:p w14:paraId="73F8285B">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本项目位于和静县工业园区哈尔莫敦矿业片区，厂界外500m范围内无大气环境保护目标，厂界外50m范围内无声环境保护目标，厂界外500m范围内无地下水集中式饮用水水源和特殊地下水资源。</w:t>
            </w:r>
          </w:p>
        </w:tc>
      </w:tr>
      <w:tr w14:paraId="4D485B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744" w:type="dxa"/>
            <w:tcBorders>
              <w:tl2br w:val="nil"/>
              <w:tr2bl w:val="nil"/>
            </w:tcBorders>
            <w:noWrap w:val="0"/>
            <w:tcMar>
              <w:left w:w="28" w:type="dxa"/>
              <w:right w:w="28" w:type="dxa"/>
            </w:tcMar>
            <w:vAlign w:val="center"/>
          </w:tcPr>
          <w:p w14:paraId="461D3EC5">
            <w:pPr>
              <w:keepNext w:val="0"/>
              <w:pageBreakBefore w:val="0"/>
              <w:kinsoku/>
              <w:overflowPunct/>
              <w:autoSpaceDE/>
              <w:autoSpaceDN/>
              <w:bidi w:val="0"/>
              <w:adjustRightInd w:val="0"/>
              <w:snapToGrid w:val="0"/>
              <w:ind w:left="0"/>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污染</w:t>
            </w:r>
          </w:p>
          <w:p w14:paraId="3B1241F9">
            <w:pPr>
              <w:keepNext w:val="0"/>
              <w:pageBreakBefore w:val="0"/>
              <w:kinsoku/>
              <w:overflowPunct/>
              <w:autoSpaceDE/>
              <w:autoSpaceDN/>
              <w:bidi w:val="0"/>
              <w:adjustRightInd w:val="0"/>
              <w:snapToGrid w:val="0"/>
              <w:ind w:left="0"/>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物排</w:t>
            </w:r>
          </w:p>
          <w:p w14:paraId="66F0C701">
            <w:pPr>
              <w:keepNext w:val="0"/>
              <w:pageBreakBefore w:val="0"/>
              <w:kinsoku/>
              <w:overflowPunct/>
              <w:autoSpaceDE/>
              <w:autoSpaceDN/>
              <w:bidi w:val="0"/>
              <w:adjustRightInd w:val="0"/>
              <w:snapToGrid w:val="0"/>
              <w:ind w:left="0"/>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放控</w:t>
            </w:r>
          </w:p>
          <w:p w14:paraId="699CEFC4">
            <w:pPr>
              <w:keepNext w:val="0"/>
              <w:pageBreakBefore w:val="0"/>
              <w:kinsoku/>
              <w:overflowPunct/>
              <w:autoSpaceDE/>
              <w:autoSpaceDN/>
              <w:bidi w:val="0"/>
              <w:adjustRightInd w:val="0"/>
              <w:snapToGrid w:val="0"/>
              <w:ind w:left="0"/>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制标</w:t>
            </w:r>
          </w:p>
          <w:p w14:paraId="6C2792EF">
            <w:pPr>
              <w:keepNext w:val="0"/>
              <w:pageBreakBefore w:val="0"/>
              <w:kinsoku/>
              <w:overflowPunct/>
              <w:autoSpaceDE/>
              <w:autoSpaceDN/>
              <w:bidi w:val="0"/>
              <w:adjustRightInd w:val="0"/>
              <w:snapToGrid w:val="0"/>
              <w:ind w:left="0"/>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准</w:t>
            </w:r>
          </w:p>
        </w:tc>
        <w:tc>
          <w:tcPr>
            <w:tcW w:w="8317" w:type="dxa"/>
            <w:tcBorders>
              <w:tl2br w:val="nil"/>
              <w:tr2bl w:val="nil"/>
            </w:tcBorders>
            <w:noWrap w:val="0"/>
            <w:vAlign w:val="center"/>
          </w:tcPr>
          <w:p w14:paraId="0B8F7A8A">
            <w:pPr>
              <w:keepNext/>
              <w:keepLines/>
              <w:widowControl w:val="0"/>
              <w:autoSpaceDE w:val="0"/>
              <w:autoSpaceDN w:val="0"/>
              <w:bidi w:val="0"/>
              <w:adjustRightInd w:val="0"/>
              <w:snapToGrid w:val="0"/>
              <w:spacing w:before="0" w:beforeLines="0" w:after="0" w:afterLines="0" w:line="360" w:lineRule="auto"/>
              <w:ind w:left="0" w:right="0" w:firstLine="0" w:firstLineChars="0"/>
              <w:jc w:val="both"/>
              <w:outlineLvl w:val="1"/>
              <w:rPr>
                <w:rFonts w:ascii="Times New Roman" w:hAnsi="Times New Roman" w:eastAsia="宋体" w:cs="宋体"/>
                <w:b/>
                <w:bCs/>
                <w:sz w:val="24"/>
                <w:szCs w:val="32"/>
                <w:lang w:val="en-US" w:eastAsia="zh-CN" w:bidi="ar-SA"/>
              </w:rPr>
            </w:pPr>
            <w:bookmarkStart w:id="13" w:name="_Toc29182"/>
            <w:bookmarkStart w:id="14" w:name="_Toc13030"/>
            <w:r>
              <w:rPr>
                <w:rFonts w:ascii="Times New Roman" w:hAnsi="Times New Roman" w:eastAsia="宋体" w:cs="宋体"/>
                <w:b/>
                <w:bCs/>
                <w:sz w:val="24"/>
                <w:szCs w:val="32"/>
                <w:lang w:val="en-US" w:eastAsia="zh-CN" w:bidi="ar-SA"/>
              </w:rPr>
              <w:t>1</w:t>
            </w:r>
            <w:bookmarkEnd w:id="13"/>
            <w:bookmarkEnd w:id="14"/>
            <w:r>
              <w:rPr>
                <w:rFonts w:ascii="Times New Roman" w:hAnsi="Times New Roman" w:eastAsia="宋体" w:cs="宋体"/>
                <w:b/>
                <w:bCs/>
                <w:sz w:val="24"/>
                <w:szCs w:val="32"/>
                <w:lang w:val="en-US" w:eastAsia="zh-CN" w:bidi="ar-SA"/>
              </w:rPr>
              <w:t>、施工期</w:t>
            </w:r>
          </w:p>
          <w:p w14:paraId="5985ECBB">
            <w:pPr>
              <w:keepNext/>
              <w:keepLines/>
              <w:widowControl w:val="0"/>
              <w:autoSpaceDE w:val="0"/>
              <w:autoSpaceDN w:val="0"/>
              <w:bidi w:val="0"/>
              <w:adjustRightInd w:val="0"/>
              <w:snapToGrid w:val="0"/>
              <w:spacing w:before="0" w:beforeLines="0" w:after="0" w:afterLines="0" w:line="360" w:lineRule="auto"/>
              <w:ind w:left="0" w:right="0" w:firstLine="0" w:firstLineChars="0"/>
              <w:jc w:val="both"/>
              <w:outlineLvl w:val="1"/>
              <w:rPr>
                <w:rFonts w:ascii="Times New Roman" w:hAnsi="Times New Roman" w:eastAsia="宋体" w:cs="宋体"/>
                <w:b/>
                <w:bCs/>
                <w:sz w:val="24"/>
                <w:szCs w:val="32"/>
                <w:lang w:val="en-US" w:eastAsia="zh-CN" w:bidi="ar-SA"/>
              </w:rPr>
            </w:pPr>
            <w:r>
              <w:rPr>
                <w:rFonts w:ascii="Times New Roman" w:hAnsi="Times New Roman" w:eastAsia="宋体" w:cs="宋体"/>
                <w:b/>
                <w:bCs/>
                <w:sz w:val="24"/>
                <w:szCs w:val="32"/>
                <w:lang w:val="en-US" w:eastAsia="zh-CN" w:bidi="ar-SA"/>
              </w:rPr>
              <w:t>1.1噪声</w:t>
            </w:r>
          </w:p>
          <w:p w14:paraId="0A87DB0C">
            <w:pPr>
              <w:autoSpaceDE w:val="0"/>
              <w:autoSpaceDN w:val="0"/>
              <w:adjustRightInd w:val="0"/>
              <w:snapToGrid w:val="0"/>
              <w:spacing w:before="0" w:after="0" w:line="360" w:lineRule="auto"/>
              <w:ind w:left="0" w:right="0" w:firstLine="480" w:firstLineChars="200"/>
              <w:rPr>
                <w:rFonts w:ascii="Times New Roman" w:hAnsi="Times New Roman" w:eastAsia="宋体" w:cs="宋体"/>
                <w:color w:val="000000"/>
                <w:kern w:val="0"/>
                <w:sz w:val="24"/>
                <w:szCs w:val="22"/>
              </w:rPr>
            </w:pPr>
            <w:r>
              <w:rPr>
                <w:rFonts w:ascii="Times New Roman" w:hAnsi="Times New Roman" w:eastAsia="宋体" w:cs="宋体"/>
                <w:color w:val="000000"/>
                <w:kern w:val="0"/>
                <w:sz w:val="24"/>
                <w:szCs w:val="22"/>
              </w:rPr>
              <w:t>施工期噪声执行《建筑施工场界环境噪声排放标准》（GB12523-2011）表1中标准，见表</w:t>
            </w:r>
            <w:r>
              <w:rPr>
                <w:rFonts w:hint="eastAsia" w:ascii="Times New Roman" w:hAnsi="Times New Roman" w:eastAsia="宋体" w:cs="宋体"/>
                <w:color w:val="000000"/>
                <w:kern w:val="0"/>
                <w:sz w:val="24"/>
                <w:szCs w:val="22"/>
                <w:lang w:val="en-US" w:eastAsia="zh-CN"/>
              </w:rPr>
              <w:t>3-2</w:t>
            </w:r>
            <w:r>
              <w:rPr>
                <w:rFonts w:ascii="Times New Roman" w:hAnsi="Times New Roman" w:eastAsia="宋体" w:cs="宋体"/>
                <w:color w:val="000000"/>
                <w:kern w:val="0"/>
                <w:sz w:val="24"/>
                <w:szCs w:val="22"/>
              </w:rPr>
              <w:t>。</w:t>
            </w:r>
          </w:p>
          <w:p w14:paraId="3C8B7BF3">
            <w:pPr>
              <w:widowControl w:val="0"/>
              <w:autoSpaceDE w:val="0"/>
              <w:autoSpaceDN w:val="0"/>
              <w:bidi w:val="0"/>
              <w:adjustRightInd w:val="0"/>
              <w:snapToGrid w:val="0"/>
              <w:spacing w:before="0" w:after="0" w:line="240" w:lineRule="auto"/>
              <w:ind w:left="0" w:right="0" w:firstLine="422" w:firstLineChars="200"/>
              <w:jc w:val="both"/>
              <w:outlineLvl w:val="2"/>
              <w:rPr>
                <w:rFonts w:ascii="Times New Roman" w:hAnsi="Times New Roman" w:eastAsia="宋体" w:cs="宋体"/>
                <w:b/>
                <w:color w:val="000000"/>
                <w:sz w:val="21"/>
                <w:szCs w:val="21"/>
                <w:lang w:val="en-US" w:eastAsia="zh-CN" w:bidi="ar-SA"/>
              </w:rPr>
            </w:pPr>
            <w:r>
              <w:rPr>
                <w:rFonts w:ascii="Times New Roman" w:hAnsi="Times New Roman" w:eastAsia="宋体" w:cs="宋体"/>
                <w:b/>
                <w:color w:val="000000"/>
                <w:sz w:val="21"/>
                <w:szCs w:val="21"/>
                <w:lang w:val="en-US" w:eastAsia="zh-CN" w:bidi="ar-SA"/>
              </w:rPr>
              <w:t>表</w:t>
            </w:r>
            <w:r>
              <w:rPr>
                <w:rFonts w:hint="eastAsia" w:ascii="Times New Roman" w:hAnsi="Times New Roman" w:eastAsia="宋体" w:cs="宋体"/>
                <w:b/>
                <w:color w:val="000000"/>
                <w:sz w:val="21"/>
                <w:szCs w:val="21"/>
                <w:lang w:val="en-US" w:eastAsia="zh-CN" w:bidi="ar-SA"/>
              </w:rPr>
              <w:t>3-2</w:t>
            </w:r>
            <w:r>
              <w:rPr>
                <w:rFonts w:ascii="Times New Roman" w:hAnsi="Times New Roman" w:eastAsia="宋体" w:cs="宋体"/>
                <w:b/>
                <w:color w:val="000000"/>
                <w:sz w:val="21"/>
                <w:szCs w:val="21"/>
                <w:lang w:val="en-US" w:eastAsia="zh-CN" w:bidi="ar-SA"/>
              </w:rPr>
              <w:t xml:space="preserve">        </w:t>
            </w:r>
            <w:r>
              <w:rPr>
                <w:rFonts w:ascii="Times New Roman" w:hAnsi="Times New Roman" w:eastAsia="宋体" w:cs="宋体"/>
                <w:b/>
                <w:color w:val="000000"/>
                <w:sz w:val="21"/>
                <w:szCs w:val="21"/>
                <w:lang w:val="en-US" w:eastAsia="zh-CN" w:bidi="ar-SA"/>
              </w:rPr>
              <w:tab/>
            </w:r>
            <w:r>
              <w:rPr>
                <w:rFonts w:ascii="Times New Roman" w:hAnsi="Times New Roman" w:eastAsia="宋体" w:cs="宋体"/>
                <w:b/>
                <w:color w:val="000000"/>
                <w:sz w:val="21"/>
                <w:szCs w:val="21"/>
                <w:lang w:val="en-US" w:eastAsia="zh-CN" w:bidi="ar-SA"/>
              </w:rPr>
              <w:t xml:space="preserve">   建筑施工场界环境噪声排放限值            单位： dB（A）</w:t>
            </w:r>
          </w:p>
          <w:tbl>
            <w:tblPr>
              <w:tblStyle w:val="23"/>
              <w:tblW w:w="4963" w:type="pct"/>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119"/>
              <w:gridCol w:w="3922"/>
            </w:tblGrid>
            <w:tr w14:paraId="510E893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c>
                <w:tcPr>
                  <w:tcW w:w="2561" w:type="pct"/>
                  <w:noWrap w:val="0"/>
                  <w:vAlign w:val="center"/>
                </w:tcPr>
                <w:p w14:paraId="4E8DD436">
                  <w:pPr>
                    <w:widowControl w:val="0"/>
                    <w:autoSpaceDE w:val="0"/>
                    <w:autoSpaceDN w:val="0"/>
                    <w:adjustRightInd w:val="0"/>
                    <w:snapToGrid w:val="0"/>
                    <w:spacing w:before="0" w:after="0" w:line="240" w:lineRule="auto"/>
                    <w:ind w:left="0" w:right="0" w:firstLine="420" w:firstLineChars="200"/>
                    <w:jc w:val="center"/>
                    <w:rPr>
                      <w:rFonts w:ascii="Times New Roman" w:hAnsi="Times New Roman" w:eastAsia="宋体" w:cs="宋体"/>
                      <w:b w:val="0"/>
                      <w:bCs/>
                      <w:color w:val="000000"/>
                      <w:sz w:val="21"/>
                      <w:szCs w:val="21"/>
                      <w:lang w:val="en-US" w:eastAsia="zh-CN" w:bidi="ar-SA"/>
                    </w:rPr>
                  </w:pPr>
                  <w:r>
                    <w:rPr>
                      <w:rFonts w:ascii="Times New Roman" w:hAnsi="Times New Roman" w:eastAsia="宋体" w:cs="宋体"/>
                      <w:b w:val="0"/>
                      <w:bCs/>
                      <w:color w:val="000000"/>
                      <w:sz w:val="21"/>
                      <w:szCs w:val="21"/>
                      <w:lang w:val="en-US" w:eastAsia="zh-CN" w:bidi="ar-SA"/>
                    </w:rPr>
                    <w:t>昼间</w:t>
                  </w:r>
                </w:p>
              </w:tc>
              <w:tc>
                <w:tcPr>
                  <w:tcW w:w="2438" w:type="pct"/>
                  <w:noWrap w:val="0"/>
                  <w:vAlign w:val="center"/>
                </w:tcPr>
                <w:p w14:paraId="2BF05FB0">
                  <w:pPr>
                    <w:widowControl w:val="0"/>
                    <w:autoSpaceDE w:val="0"/>
                    <w:autoSpaceDN w:val="0"/>
                    <w:adjustRightInd w:val="0"/>
                    <w:snapToGrid w:val="0"/>
                    <w:spacing w:before="0" w:after="0" w:line="240" w:lineRule="auto"/>
                    <w:ind w:left="0" w:right="0" w:firstLine="420" w:firstLineChars="200"/>
                    <w:jc w:val="center"/>
                    <w:rPr>
                      <w:rFonts w:ascii="Times New Roman" w:hAnsi="Times New Roman" w:eastAsia="宋体" w:cs="宋体"/>
                      <w:b w:val="0"/>
                      <w:bCs/>
                      <w:color w:val="000000"/>
                      <w:sz w:val="21"/>
                      <w:szCs w:val="21"/>
                      <w:lang w:val="en-US" w:eastAsia="zh-CN" w:bidi="ar-SA"/>
                    </w:rPr>
                  </w:pPr>
                  <w:r>
                    <w:rPr>
                      <w:rFonts w:ascii="Times New Roman" w:hAnsi="Times New Roman" w:eastAsia="宋体" w:cs="宋体"/>
                      <w:b w:val="0"/>
                      <w:bCs/>
                      <w:color w:val="000000"/>
                      <w:sz w:val="21"/>
                      <w:szCs w:val="21"/>
                      <w:lang w:val="en-US" w:eastAsia="zh-CN" w:bidi="ar-SA"/>
                    </w:rPr>
                    <w:t>夜间</w:t>
                  </w:r>
                </w:p>
              </w:tc>
            </w:tr>
            <w:tr w14:paraId="00649E0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c>
                <w:tcPr>
                  <w:tcW w:w="2561" w:type="pct"/>
                  <w:noWrap w:val="0"/>
                  <w:vAlign w:val="center"/>
                </w:tcPr>
                <w:p w14:paraId="22D35DB6">
                  <w:pPr>
                    <w:widowControl w:val="0"/>
                    <w:autoSpaceDE w:val="0"/>
                    <w:autoSpaceDN w:val="0"/>
                    <w:adjustRightInd w:val="0"/>
                    <w:snapToGrid w:val="0"/>
                    <w:spacing w:before="0" w:after="0" w:line="240" w:lineRule="auto"/>
                    <w:ind w:left="0" w:right="0" w:firstLine="420" w:firstLineChars="200"/>
                    <w:jc w:val="center"/>
                    <w:rPr>
                      <w:rFonts w:ascii="Times New Roman" w:hAnsi="Times New Roman" w:eastAsia="宋体" w:cs="宋体"/>
                      <w:b w:val="0"/>
                      <w:bCs/>
                      <w:color w:val="000000"/>
                      <w:sz w:val="21"/>
                      <w:szCs w:val="21"/>
                      <w:lang w:val="en-US" w:eastAsia="zh-CN" w:bidi="ar-SA"/>
                    </w:rPr>
                  </w:pPr>
                  <w:r>
                    <w:rPr>
                      <w:rFonts w:ascii="Times New Roman" w:hAnsi="Times New Roman" w:eastAsia="宋体" w:cs="宋体"/>
                      <w:b w:val="0"/>
                      <w:bCs/>
                      <w:color w:val="000000"/>
                      <w:sz w:val="21"/>
                      <w:szCs w:val="21"/>
                      <w:lang w:val="en-US" w:eastAsia="zh-CN" w:bidi="ar-SA"/>
                    </w:rPr>
                    <w:t>70</w:t>
                  </w:r>
                </w:p>
              </w:tc>
              <w:tc>
                <w:tcPr>
                  <w:tcW w:w="2438" w:type="pct"/>
                  <w:noWrap w:val="0"/>
                  <w:vAlign w:val="center"/>
                </w:tcPr>
                <w:p w14:paraId="3572507A">
                  <w:pPr>
                    <w:widowControl w:val="0"/>
                    <w:autoSpaceDE w:val="0"/>
                    <w:autoSpaceDN w:val="0"/>
                    <w:adjustRightInd w:val="0"/>
                    <w:snapToGrid w:val="0"/>
                    <w:spacing w:before="0" w:after="0" w:line="240" w:lineRule="auto"/>
                    <w:ind w:left="0" w:right="0" w:firstLine="420" w:firstLineChars="200"/>
                    <w:jc w:val="center"/>
                    <w:rPr>
                      <w:rFonts w:ascii="Times New Roman" w:hAnsi="Times New Roman" w:eastAsia="宋体" w:cs="宋体"/>
                      <w:b w:val="0"/>
                      <w:bCs/>
                      <w:color w:val="000000"/>
                      <w:sz w:val="21"/>
                      <w:szCs w:val="21"/>
                      <w:lang w:val="en-US" w:eastAsia="zh-CN" w:bidi="ar-SA"/>
                    </w:rPr>
                  </w:pPr>
                  <w:r>
                    <w:rPr>
                      <w:rFonts w:ascii="Times New Roman" w:hAnsi="Times New Roman" w:eastAsia="宋体" w:cs="宋体"/>
                      <w:b w:val="0"/>
                      <w:bCs/>
                      <w:color w:val="000000"/>
                      <w:sz w:val="21"/>
                      <w:szCs w:val="21"/>
                      <w:lang w:val="en-US" w:eastAsia="zh-CN" w:bidi="ar-SA"/>
                    </w:rPr>
                    <w:t>55</w:t>
                  </w:r>
                </w:p>
              </w:tc>
            </w:tr>
          </w:tbl>
          <w:p w14:paraId="65689FDB">
            <w:pPr>
              <w:keepNext/>
              <w:keepLines/>
              <w:widowControl w:val="0"/>
              <w:autoSpaceDE w:val="0"/>
              <w:autoSpaceDN w:val="0"/>
              <w:bidi w:val="0"/>
              <w:adjustRightInd w:val="0"/>
              <w:snapToGrid w:val="0"/>
              <w:spacing w:before="0" w:beforeLines="0" w:after="0" w:afterLines="0" w:line="360" w:lineRule="auto"/>
              <w:ind w:left="0" w:right="0" w:firstLine="0" w:firstLineChars="0"/>
              <w:jc w:val="both"/>
              <w:outlineLvl w:val="1"/>
              <w:rPr>
                <w:rFonts w:ascii="Times New Roman" w:hAnsi="Times New Roman" w:eastAsia="宋体" w:cs="宋体"/>
                <w:b/>
                <w:bCs/>
                <w:sz w:val="24"/>
                <w:szCs w:val="32"/>
                <w:lang w:val="en-US" w:eastAsia="zh-CN" w:bidi="ar-SA"/>
              </w:rPr>
            </w:pPr>
            <w:r>
              <w:rPr>
                <w:rFonts w:ascii="Times New Roman" w:hAnsi="Times New Roman" w:eastAsia="宋体" w:cs="宋体"/>
                <w:b/>
                <w:bCs/>
                <w:sz w:val="24"/>
                <w:szCs w:val="32"/>
                <w:lang w:val="en-US" w:eastAsia="zh-CN" w:bidi="ar-SA"/>
              </w:rPr>
              <w:t>1.</w:t>
            </w:r>
            <w:r>
              <w:rPr>
                <w:rFonts w:hint="eastAsia" w:ascii="Times New Roman" w:hAnsi="Times New Roman" w:eastAsia="宋体" w:cs="宋体"/>
                <w:b/>
                <w:bCs/>
                <w:sz w:val="24"/>
                <w:szCs w:val="32"/>
                <w:lang w:val="en-US" w:eastAsia="zh-CN" w:bidi="ar-SA"/>
              </w:rPr>
              <w:t>2</w:t>
            </w:r>
            <w:r>
              <w:rPr>
                <w:rFonts w:ascii="Times New Roman" w:hAnsi="Times New Roman" w:eastAsia="宋体" w:cs="宋体"/>
                <w:b/>
                <w:bCs/>
                <w:sz w:val="24"/>
                <w:szCs w:val="32"/>
                <w:lang w:val="en-US" w:eastAsia="zh-CN" w:bidi="ar-SA"/>
              </w:rPr>
              <w:t>大气</w:t>
            </w:r>
          </w:p>
          <w:p w14:paraId="4F44A7CA">
            <w:pPr>
              <w:autoSpaceDE w:val="0"/>
              <w:autoSpaceDN w:val="0"/>
              <w:adjustRightInd w:val="0"/>
              <w:snapToGrid w:val="0"/>
              <w:spacing w:before="0" w:after="0" w:line="360" w:lineRule="auto"/>
              <w:ind w:left="0" w:right="0" w:firstLine="480" w:firstLineChars="200"/>
              <w:rPr>
                <w:rFonts w:ascii="Times New Roman" w:hAnsi="Times New Roman" w:eastAsia="宋体" w:cs="宋体"/>
                <w:color w:val="000000"/>
                <w:kern w:val="0"/>
                <w:sz w:val="24"/>
                <w:szCs w:val="22"/>
              </w:rPr>
            </w:pPr>
            <w:r>
              <w:rPr>
                <w:rFonts w:hint="eastAsia" w:ascii="Times New Roman" w:hAnsi="Times New Roman" w:eastAsia="宋体" w:cs="宋体"/>
                <w:color w:val="000000"/>
                <w:kern w:val="0"/>
                <w:sz w:val="24"/>
                <w:szCs w:val="22"/>
                <w:lang w:val="en-US" w:eastAsia="zh-CN"/>
              </w:rPr>
              <w:t>施工期废气</w:t>
            </w:r>
            <w:r>
              <w:rPr>
                <w:rFonts w:ascii="Times New Roman" w:hAnsi="Times New Roman" w:eastAsia="宋体" w:cs="宋体"/>
                <w:color w:val="000000"/>
                <w:kern w:val="0"/>
                <w:sz w:val="24"/>
                <w:szCs w:val="22"/>
              </w:rPr>
              <w:t>执行《大气污染物综合排放标准》（GB16297-1996）表2中无组织排放监控浓度限值要求，具体见</w:t>
            </w:r>
            <w:bookmarkStart w:id="15" w:name="_Ref379546700"/>
            <w:r>
              <w:rPr>
                <w:rFonts w:ascii="Times New Roman" w:hAnsi="Times New Roman" w:eastAsia="宋体" w:cs="宋体"/>
                <w:color w:val="000000"/>
                <w:kern w:val="0"/>
                <w:sz w:val="24"/>
                <w:szCs w:val="22"/>
              </w:rPr>
              <w:t>表</w:t>
            </w:r>
            <w:bookmarkStart w:id="16" w:name="_Ref396828303"/>
            <w:r>
              <w:rPr>
                <w:rFonts w:hint="eastAsia" w:ascii="Times New Roman" w:hAnsi="Times New Roman" w:eastAsia="宋体" w:cs="宋体"/>
                <w:color w:val="000000"/>
                <w:kern w:val="0"/>
                <w:sz w:val="24"/>
                <w:szCs w:val="22"/>
                <w:lang w:val="en-US" w:eastAsia="zh-CN"/>
              </w:rPr>
              <w:t>3-3</w:t>
            </w:r>
            <w:r>
              <w:rPr>
                <w:rFonts w:ascii="Times New Roman" w:hAnsi="Times New Roman" w:eastAsia="宋体" w:cs="宋体"/>
                <w:color w:val="000000"/>
                <w:kern w:val="0"/>
                <w:sz w:val="24"/>
                <w:szCs w:val="22"/>
              </w:rPr>
              <w:t>。</w:t>
            </w:r>
          </w:p>
          <w:p w14:paraId="2537FD8A">
            <w:pPr>
              <w:widowControl w:val="0"/>
              <w:autoSpaceDE w:val="0"/>
              <w:autoSpaceDN w:val="0"/>
              <w:bidi w:val="0"/>
              <w:adjustRightInd w:val="0"/>
              <w:snapToGrid w:val="0"/>
              <w:spacing w:before="0" w:after="0" w:line="240" w:lineRule="auto"/>
              <w:ind w:left="0" w:right="0" w:firstLine="422" w:firstLineChars="200"/>
              <w:jc w:val="both"/>
              <w:outlineLvl w:val="2"/>
              <w:rPr>
                <w:rFonts w:ascii="Times New Roman" w:hAnsi="Times New Roman" w:eastAsia="宋体" w:cs="宋体"/>
                <w:b/>
                <w:sz w:val="21"/>
                <w:szCs w:val="22"/>
                <w:lang w:val="en-US" w:eastAsia="zh-CN" w:bidi="ar-SA"/>
              </w:rPr>
            </w:pPr>
            <w:r>
              <w:rPr>
                <w:rFonts w:ascii="Times New Roman" w:hAnsi="Times New Roman" w:eastAsia="宋体" w:cs="宋体"/>
                <w:b/>
                <w:sz w:val="21"/>
                <w:szCs w:val="22"/>
                <w:lang w:val="en-US" w:eastAsia="zh-CN" w:bidi="ar-SA"/>
              </w:rPr>
              <w:t>表</w:t>
            </w:r>
            <w:bookmarkEnd w:id="15"/>
            <w:bookmarkEnd w:id="16"/>
            <w:r>
              <w:rPr>
                <w:rFonts w:hint="eastAsia" w:ascii="Times New Roman" w:hAnsi="Times New Roman" w:eastAsia="宋体" w:cs="宋体"/>
                <w:b/>
                <w:sz w:val="21"/>
                <w:szCs w:val="22"/>
                <w:lang w:val="en-US" w:eastAsia="zh-CN" w:bidi="ar-SA"/>
              </w:rPr>
              <w:t>3-3</w:t>
            </w:r>
            <w:r>
              <w:rPr>
                <w:rFonts w:ascii="Times New Roman" w:hAnsi="Times New Roman" w:eastAsia="宋体" w:cs="宋体"/>
                <w:b/>
                <w:sz w:val="21"/>
                <w:szCs w:val="22"/>
                <w:lang w:val="en-US" w:eastAsia="zh-CN" w:bidi="ar-SA"/>
              </w:rPr>
              <w:t xml:space="preserve">           </w:t>
            </w:r>
            <w:r>
              <w:rPr>
                <w:rFonts w:hint="eastAsia" w:ascii="Times New Roman" w:hAnsi="Times New Roman" w:eastAsia="宋体" w:cs="宋体"/>
                <w:b/>
                <w:sz w:val="21"/>
                <w:szCs w:val="22"/>
                <w:lang w:val="en-US" w:eastAsia="zh-CN" w:bidi="ar-SA"/>
              </w:rPr>
              <w:t xml:space="preserve">    </w:t>
            </w:r>
            <w:r>
              <w:rPr>
                <w:rFonts w:ascii="Times New Roman" w:hAnsi="Times New Roman" w:eastAsia="宋体" w:cs="宋体"/>
                <w:b/>
                <w:sz w:val="21"/>
                <w:szCs w:val="22"/>
                <w:lang w:val="en-US" w:eastAsia="zh-CN" w:bidi="ar-SA"/>
              </w:rPr>
              <w:t xml:space="preserve">       大气污染物排放标准</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866"/>
              <w:gridCol w:w="3293"/>
              <w:gridCol w:w="3942"/>
            </w:tblGrid>
            <w:tr w14:paraId="72F40CF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cantSplit/>
                <w:jc w:val="center"/>
              </w:trPr>
              <w:tc>
                <w:tcPr>
                  <w:tcW w:w="891" w:type="dxa"/>
                  <w:vMerge w:val="restart"/>
                  <w:noWrap w:val="0"/>
                  <w:vAlign w:val="center"/>
                </w:tcPr>
                <w:p w14:paraId="105171A1">
                  <w:pPr>
                    <w:widowControl w:val="0"/>
                    <w:autoSpaceDE w:val="0"/>
                    <w:autoSpaceDN w:val="0"/>
                    <w:bidi w:val="0"/>
                    <w:adjustRightInd w:val="0"/>
                    <w:snapToGrid w:val="0"/>
                    <w:spacing w:before="0" w:after="0" w:line="240" w:lineRule="auto"/>
                    <w:ind w:left="0" w:right="0" w:firstLine="0" w:firstLineChars="0"/>
                    <w:jc w:val="center"/>
                    <w:rPr>
                      <w:rFonts w:ascii="Times New Roman" w:hAnsi="Times New Roman" w:eastAsia="宋体" w:cs="宋体"/>
                      <w:sz w:val="21"/>
                      <w:szCs w:val="30"/>
                      <w:lang w:val="en-US" w:eastAsia="zh-CN" w:bidi="ar-SA"/>
                    </w:rPr>
                  </w:pPr>
                  <w:r>
                    <w:rPr>
                      <w:rFonts w:ascii="Times New Roman" w:hAnsi="Times New Roman" w:eastAsia="宋体" w:cs="宋体"/>
                      <w:sz w:val="21"/>
                      <w:szCs w:val="30"/>
                      <w:lang w:val="en-US" w:eastAsia="zh-CN" w:bidi="ar-SA"/>
                    </w:rPr>
                    <w:t>污染物</w:t>
                  </w:r>
                </w:p>
              </w:tc>
              <w:tc>
                <w:tcPr>
                  <w:tcW w:w="3412" w:type="dxa"/>
                  <w:noWrap w:val="0"/>
                  <w:vAlign w:val="center"/>
                </w:tcPr>
                <w:p w14:paraId="5CE5364A">
                  <w:pPr>
                    <w:widowControl w:val="0"/>
                    <w:autoSpaceDE w:val="0"/>
                    <w:autoSpaceDN w:val="0"/>
                    <w:bidi w:val="0"/>
                    <w:adjustRightInd w:val="0"/>
                    <w:snapToGrid w:val="0"/>
                    <w:spacing w:before="0" w:after="0" w:line="240" w:lineRule="auto"/>
                    <w:ind w:left="0" w:right="0" w:firstLine="0" w:firstLineChars="0"/>
                    <w:jc w:val="center"/>
                    <w:rPr>
                      <w:rFonts w:ascii="Times New Roman" w:hAnsi="Times New Roman" w:eastAsia="宋体" w:cs="宋体"/>
                      <w:sz w:val="21"/>
                      <w:szCs w:val="30"/>
                      <w:lang w:val="en-US" w:eastAsia="zh-CN" w:bidi="ar-SA"/>
                    </w:rPr>
                  </w:pPr>
                  <w:r>
                    <w:rPr>
                      <w:rFonts w:ascii="Times New Roman" w:hAnsi="Times New Roman" w:eastAsia="宋体" w:cs="宋体"/>
                      <w:sz w:val="21"/>
                      <w:szCs w:val="30"/>
                      <w:lang w:val="en-US" w:eastAsia="zh-CN" w:bidi="ar-SA"/>
                    </w:rPr>
                    <w:t>标准限值</w:t>
                  </w:r>
                </w:p>
              </w:tc>
              <w:tc>
                <w:tcPr>
                  <w:tcW w:w="4055" w:type="dxa"/>
                  <w:vMerge w:val="restart"/>
                  <w:noWrap w:val="0"/>
                  <w:vAlign w:val="center"/>
                </w:tcPr>
                <w:p w14:paraId="2CFDA1E6">
                  <w:pPr>
                    <w:widowControl w:val="0"/>
                    <w:autoSpaceDE w:val="0"/>
                    <w:autoSpaceDN w:val="0"/>
                    <w:bidi w:val="0"/>
                    <w:adjustRightInd w:val="0"/>
                    <w:snapToGrid w:val="0"/>
                    <w:spacing w:before="0" w:after="0" w:line="240" w:lineRule="auto"/>
                    <w:ind w:left="0" w:right="0" w:firstLine="0" w:firstLineChars="0"/>
                    <w:jc w:val="center"/>
                    <w:rPr>
                      <w:rFonts w:ascii="Times New Roman" w:hAnsi="Times New Roman" w:eastAsia="宋体" w:cs="宋体"/>
                      <w:sz w:val="21"/>
                      <w:szCs w:val="30"/>
                      <w:lang w:val="en-US" w:eastAsia="zh-CN" w:bidi="ar-SA"/>
                    </w:rPr>
                  </w:pPr>
                  <w:r>
                    <w:rPr>
                      <w:rFonts w:ascii="Times New Roman" w:hAnsi="Times New Roman" w:eastAsia="宋体" w:cs="宋体"/>
                      <w:sz w:val="21"/>
                      <w:szCs w:val="30"/>
                      <w:lang w:val="en-US" w:eastAsia="zh-CN" w:bidi="ar-SA"/>
                    </w:rPr>
                    <w:t>执行标准</w:t>
                  </w:r>
                </w:p>
              </w:tc>
            </w:tr>
            <w:tr w14:paraId="0BB3649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891" w:type="dxa"/>
                  <w:vMerge w:val="continue"/>
                  <w:noWrap w:val="0"/>
                  <w:vAlign w:val="center"/>
                </w:tcPr>
                <w:p w14:paraId="482692DF">
                  <w:pPr>
                    <w:widowControl w:val="0"/>
                    <w:autoSpaceDE w:val="0"/>
                    <w:autoSpaceDN w:val="0"/>
                    <w:bidi w:val="0"/>
                    <w:adjustRightInd w:val="0"/>
                    <w:snapToGrid w:val="0"/>
                    <w:spacing w:before="0" w:after="0" w:line="240" w:lineRule="auto"/>
                    <w:ind w:left="0" w:right="0" w:firstLine="0" w:firstLineChars="0"/>
                    <w:jc w:val="center"/>
                    <w:rPr>
                      <w:rFonts w:ascii="Times New Roman" w:hAnsi="Times New Roman" w:eastAsia="宋体" w:cs="宋体"/>
                      <w:sz w:val="21"/>
                      <w:szCs w:val="30"/>
                      <w:lang w:val="en-US" w:eastAsia="zh-CN" w:bidi="ar-SA"/>
                    </w:rPr>
                  </w:pPr>
                </w:p>
              </w:tc>
              <w:tc>
                <w:tcPr>
                  <w:tcW w:w="3412" w:type="dxa"/>
                  <w:noWrap w:val="0"/>
                  <w:vAlign w:val="center"/>
                </w:tcPr>
                <w:p w14:paraId="7F1D3F96">
                  <w:pPr>
                    <w:widowControl w:val="0"/>
                    <w:autoSpaceDE w:val="0"/>
                    <w:autoSpaceDN w:val="0"/>
                    <w:bidi w:val="0"/>
                    <w:adjustRightInd w:val="0"/>
                    <w:snapToGrid w:val="0"/>
                    <w:spacing w:before="0" w:after="0" w:line="240" w:lineRule="auto"/>
                    <w:ind w:left="0" w:right="0" w:firstLine="0" w:firstLineChars="0"/>
                    <w:jc w:val="center"/>
                    <w:rPr>
                      <w:rFonts w:hint="eastAsia" w:ascii="Times New Roman" w:hAnsi="Times New Roman" w:eastAsia="宋体" w:cs="宋体"/>
                      <w:sz w:val="21"/>
                      <w:szCs w:val="30"/>
                      <w:lang w:val="en-US" w:eastAsia="zh-CN" w:bidi="ar-SA"/>
                    </w:rPr>
                  </w:pPr>
                  <w:r>
                    <w:rPr>
                      <w:rFonts w:ascii="Times New Roman" w:hAnsi="Times New Roman" w:eastAsia="宋体" w:cs="宋体"/>
                      <w:sz w:val="21"/>
                      <w:szCs w:val="30"/>
                      <w:lang w:val="en-US" w:eastAsia="zh-CN" w:bidi="ar-SA"/>
                    </w:rPr>
                    <w:t>无组织排放监控浓度限值</w:t>
                  </w:r>
                  <w:r>
                    <w:rPr>
                      <w:rFonts w:hint="eastAsia" w:ascii="Times New Roman" w:hAnsi="Times New Roman" w:eastAsia="宋体" w:cs="宋体"/>
                      <w:sz w:val="21"/>
                      <w:szCs w:val="30"/>
                      <w:lang w:val="en-US" w:eastAsia="zh-CN" w:bidi="ar-SA"/>
                    </w:rPr>
                    <w:t>（</w:t>
                  </w:r>
                  <w:r>
                    <w:rPr>
                      <w:rFonts w:ascii="Times New Roman" w:hAnsi="Times New Roman" w:eastAsia="宋体" w:cs="宋体"/>
                      <w:sz w:val="21"/>
                      <w:szCs w:val="30"/>
                      <w:lang w:val="en-US" w:eastAsia="zh-CN" w:bidi="ar-SA"/>
                    </w:rPr>
                    <w:t>mg/m</w:t>
                  </w:r>
                  <w:r>
                    <w:rPr>
                      <w:rFonts w:ascii="Times New Roman" w:hAnsi="Times New Roman" w:eastAsia="宋体" w:cs="宋体"/>
                      <w:sz w:val="21"/>
                      <w:szCs w:val="30"/>
                      <w:vertAlign w:val="superscript"/>
                      <w:lang w:val="en-US" w:eastAsia="zh-CN" w:bidi="ar-SA"/>
                    </w:rPr>
                    <w:t>3</w:t>
                  </w:r>
                  <w:r>
                    <w:rPr>
                      <w:rFonts w:hint="eastAsia" w:ascii="Times New Roman" w:hAnsi="Times New Roman" w:eastAsia="宋体" w:cs="宋体"/>
                      <w:sz w:val="21"/>
                      <w:szCs w:val="30"/>
                      <w:lang w:val="en-US" w:eastAsia="zh-CN" w:bidi="ar-SA"/>
                    </w:rPr>
                    <w:t>）</w:t>
                  </w:r>
                </w:p>
              </w:tc>
              <w:tc>
                <w:tcPr>
                  <w:tcW w:w="4055" w:type="dxa"/>
                  <w:vMerge w:val="continue"/>
                  <w:noWrap w:val="0"/>
                  <w:vAlign w:val="center"/>
                </w:tcPr>
                <w:p w14:paraId="574C2CE1">
                  <w:pPr>
                    <w:widowControl w:val="0"/>
                    <w:autoSpaceDE w:val="0"/>
                    <w:autoSpaceDN w:val="0"/>
                    <w:bidi w:val="0"/>
                    <w:adjustRightInd w:val="0"/>
                    <w:snapToGrid w:val="0"/>
                    <w:spacing w:before="0" w:after="0" w:line="240" w:lineRule="auto"/>
                    <w:ind w:left="0" w:right="0" w:firstLine="0" w:firstLineChars="0"/>
                    <w:jc w:val="center"/>
                    <w:rPr>
                      <w:rFonts w:ascii="Times New Roman" w:hAnsi="Times New Roman" w:eastAsia="宋体" w:cs="宋体"/>
                      <w:sz w:val="21"/>
                      <w:szCs w:val="30"/>
                      <w:lang w:val="en-US" w:eastAsia="zh-CN" w:bidi="ar-SA"/>
                    </w:rPr>
                  </w:pPr>
                </w:p>
              </w:tc>
            </w:tr>
            <w:tr w14:paraId="542C199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891" w:type="dxa"/>
                  <w:noWrap w:val="0"/>
                  <w:vAlign w:val="center"/>
                </w:tcPr>
                <w:p w14:paraId="6A3055D5">
                  <w:pPr>
                    <w:widowControl w:val="0"/>
                    <w:autoSpaceDE w:val="0"/>
                    <w:autoSpaceDN w:val="0"/>
                    <w:bidi w:val="0"/>
                    <w:adjustRightInd w:val="0"/>
                    <w:snapToGrid w:val="0"/>
                    <w:spacing w:before="0" w:after="0" w:line="240" w:lineRule="auto"/>
                    <w:ind w:left="0" w:right="0" w:firstLine="0" w:firstLineChars="0"/>
                    <w:jc w:val="center"/>
                    <w:rPr>
                      <w:rFonts w:ascii="Times New Roman" w:hAnsi="Times New Roman" w:eastAsia="宋体" w:cs="宋体"/>
                      <w:sz w:val="21"/>
                      <w:szCs w:val="30"/>
                      <w:lang w:val="en-US" w:eastAsia="zh-CN" w:bidi="ar-SA"/>
                    </w:rPr>
                  </w:pPr>
                  <w:r>
                    <w:rPr>
                      <w:rFonts w:ascii="Times New Roman" w:hAnsi="Times New Roman" w:eastAsia="宋体" w:cs="宋体"/>
                      <w:sz w:val="21"/>
                      <w:szCs w:val="30"/>
                      <w:lang w:val="en-US" w:eastAsia="zh-CN" w:bidi="ar-SA"/>
                    </w:rPr>
                    <w:t>颗粒物</w:t>
                  </w:r>
                </w:p>
              </w:tc>
              <w:tc>
                <w:tcPr>
                  <w:tcW w:w="3412" w:type="dxa"/>
                  <w:noWrap w:val="0"/>
                  <w:vAlign w:val="center"/>
                </w:tcPr>
                <w:p w14:paraId="677E8B36">
                  <w:pPr>
                    <w:widowControl w:val="0"/>
                    <w:autoSpaceDE w:val="0"/>
                    <w:autoSpaceDN w:val="0"/>
                    <w:bidi w:val="0"/>
                    <w:adjustRightInd w:val="0"/>
                    <w:snapToGrid w:val="0"/>
                    <w:spacing w:before="0" w:after="0" w:line="240" w:lineRule="auto"/>
                    <w:ind w:left="0" w:right="0" w:firstLine="0" w:firstLineChars="0"/>
                    <w:jc w:val="center"/>
                    <w:rPr>
                      <w:rFonts w:ascii="Times New Roman" w:hAnsi="Times New Roman" w:eastAsia="宋体" w:cs="宋体"/>
                      <w:sz w:val="21"/>
                      <w:szCs w:val="30"/>
                      <w:lang w:val="en-US" w:eastAsia="zh-CN" w:bidi="ar-SA"/>
                    </w:rPr>
                  </w:pPr>
                  <w:r>
                    <w:rPr>
                      <w:rFonts w:ascii="Times New Roman" w:hAnsi="Times New Roman" w:eastAsia="宋体" w:cs="宋体"/>
                      <w:sz w:val="21"/>
                      <w:szCs w:val="30"/>
                      <w:lang w:val="en-US" w:eastAsia="zh-CN" w:bidi="ar-SA"/>
                    </w:rPr>
                    <w:t>1.0</w:t>
                  </w:r>
                </w:p>
              </w:tc>
              <w:tc>
                <w:tcPr>
                  <w:tcW w:w="4055" w:type="dxa"/>
                  <w:noWrap w:val="0"/>
                  <w:vAlign w:val="center"/>
                </w:tcPr>
                <w:p w14:paraId="48F319F4">
                  <w:pPr>
                    <w:widowControl w:val="0"/>
                    <w:autoSpaceDE w:val="0"/>
                    <w:autoSpaceDN w:val="0"/>
                    <w:bidi w:val="0"/>
                    <w:adjustRightInd w:val="0"/>
                    <w:snapToGrid w:val="0"/>
                    <w:spacing w:before="0" w:after="0" w:line="240" w:lineRule="auto"/>
                    <w:ind w:left="0" w:right="0" w:firstLine="0" w:firstLineChars="0"/>
                    <w:jc w:val="center"/>
                    <w:rPr>
                      <w:rFonts w:ascii="Times New Roman" w:hAnsi="Times New Roman" w:eastAsia="宋体" w:cs="宋体"/>
                      <w:sz w:val="21"/>
                      <w:szCs w:val="30"/>
                      <w:lang w:val="en-US" w:eastAsia="zh-CN" w:bidi="ar-SA"/>
                    </w:rPr>
                  </w:pPr>
                  <w:r>
                    <w:rPr>
                      <w:rFonts w:ascii="Times New Roman" w:hAnsi="Times New Roman" w:eastAsia="宋体" w:cs="宋体"/>
                      <w:sz w:val="21"/>
                      <w:szCs w:val="30"/>
                      <w:lang w:val="en-US" w:eastAsia="zh-CN" w:bidi="ar-SA"/>
                    </w:rPr>
                    <w:t>《大气污染物综合排放标准》（GB16297-1996）表2标准</w:t>
                  </w:r>
                </w:p>
              </w:tc>
            </w:tr>
          </w:tbl>
          <w:p w14:paraId="6A4A487C">
            <w:pPr>
              <w:keepNext/>
              <w:keepLines/>
              <w:widowControl w:val="0"/>
              <w:numPr>
                <w:ilvl w:val="0"/>
                <w:numId w:val="4"/>
              </w:numPr>
              <w:autoSpaceDE w:val="0"/>
              <w:autoSpaceDN w:val="0"/>
              <w:bidi w:val="0"/>
              <w:adjustRightInd w:val="0"/>
              <w:snapToGrid w:val="0"/>
              <w:spacing w:before="0" w:beforeLines="0" w:after="0" w:afterLines="0" w:line="360" w:lineRule="auto"/>
              <w:ind w:left="0" w:right="0" w:firstLine="0" w:firstLineChars="0"/>
              <w:jc w:val="both"/>
              <w:outlineLvl w:val="1"/>
              <w:rPr>
                <w:rFonts w:hint="eastAsia" w:ascii="Times New Roman" w:hAnsi="Times New Roman" w:eastAsia="宋体" w:cs="宋体"/>
                <w:b/>
                <w:bCs/>
                <w:sz w:val="24"/>
                <w:szCs w:val="32"/>
                <w:lang w:val="en-US" w:eastAsia="zh-CN" w:bidi="ar-SA"/>
              </w:rPr>
            </w:pPr>
            <w:r>
              <w:rPr>
                <w:rFonts w:hint="eastAsia" w:ascii="Times New Roman" w:hAnsi="Times New Roman" w:eastAsia="宋体" w:cs="宋体"/>
                <w:b/>
                <w:bCs/>
                <w:sz w:val="24"/>
                <w:szCs w:val="32"/>
                <w:lang w:val="en-US" w:eastAsia="zh-CN" w:bidi="ar-SA"/>
              </w:rPr>
              <w:t>运营期</w:t>
            </w:r>
          </w:p>
          <w:p w14:paraId="2A667659">
            <w:pPr>
              <w:keepNext/>
              <w:keepLines/>
              <w:widowControl w:val="0"/>
              <w:autoSpaceDE w:val="0"/>
              <w:autoSpaceDN w:val="0"/>
              <w:bidi w:val="0"/>
              <w:adjustRightInd w:val="0"/>
              <w:snapToGrid w:val="0"/>
              <w:spacing w:before="0" w:beforeLines="0" w:after="0" w:afterLines="0" w:line="360" w:lineRule="auto"/>
              <w:ind w:left="0" w:right="0" w:firstLine="0" w:firstLineChars="0"/>
              <w:jc w:val="both"/>
              <w:outlineLvl w:val="1"/>
              <w:rPr>
                <w:rFonts w:ascii="Times New Roman" w:hAnsi="Times New Roman" w:eastAsia="宋体" w:cs="宋体"/>
                <w:b/>
                <w:bCs/>
                <w:sz w:val="24"/>
                <w:szCs w:val="32"/>
                <w:lang w:val="en-US" w:eastAsia="zh-CN" w:bidi="ar-SA"/>
              </w:rPr>
            </w:pPr>
            <w:r>
              <w:rPr>
                <w:rFonts w:hint="eastAsia" w:ascii="Times New Roman" w:hAnsi="Times New Roman" w:eastAsia="宋体" w:cs="宋体"/>
                <w:b/>
                <w:bCs/>
                <w:sz w:val="24"/>
                <w:szCs w:val="32"/>
                <w:lang w:val="en-US" w:eastAsia="zh-CN" w:bidi="ar-SA"/>
              </w:rPr>
              <w:t>2.</w:t>
            </w:r>
            <w:r>
              <w:rPr>
                <w:rFonts w:ascii="Times New Roman" w:hAnsi="Times New Roman" w:eastAsia="宋体" w:cs="宋体"/>
                <w:b/>
                <w:bCs/>
                <w:sz w:val="24"/>
                <w:szCs w:val="32"/>
                <w:lang w:val="en-US" w:eastAsia="zh-CN" w:bidi="ar-SA"/>
              </w:rPr>
              <w:t>1废气</w:t>
            </w:r>
          </w:p>
          <w:p w14:paraId="455D5362">
            <w:pPr>
              <w:autoSpaceDE w:val="0"/>
              <w:autoSpaceDN w:val="0"/>
              <w:adjustRightInd w:val="0"/>
              <w:snapToGrid w:val="0"/>
              <w:spacing w:before="0" w:after="0" w:line="360" w:lineRule="auto"/>
              <w:ind w:left="0" w:right="0" w:firstLine="480" w:firstLineChars="200"/>
              <w:rPr>
                <w:rFonts w:hint="eastAsia" w:ascii="Times New Roman" w:hAnsi="Times New Roman" w:eastAsia="宋体" w:cs="宋体"/>
                <w:color w:val="000000"/>
                <w:kern w:val="0"/>
                <w:sz w:val="24"/>
                <w:szCs w:val="22"/>
                <w:lang w:val="en-US" w:eastAsia="zh-CN"/>
              </w:rPr>
            </w:pPr>
            <w:r>
              <w:rPr>
                <w:rFonts w:hint="eastAsia" w:ascii="Times New Roman" w:hAnsi="Times New Roman" w:eastAsia="宋体" w:cs="宋体"/>
                <w:color w:val="000000"/>
                <w:kern w:val="0"/>
                <w:sz w:val="24"/>
                <w:szCs w:val="22"/>
                <w:lang w:val="en-US" w:eastAsia="zh-CN"/>
              </w:rPr>
              <w:t>运营期废气执行</w:t>
            </w:r>
            <w:r>
              <w:rPr>
                <w:rFonts w:hint="eastAsia" w:cs="宋体"/>
                <w:color w:val="000000"/>
                <w:kern w:val="0"/>
                <w:sz w:val="24"/>
                <w:szCs w:val="22"/>
                <w:lang w:val="en-US" w:eastAsia="zh-CN"/>
              </w:rPr>
              <w:t>《石灰、电石工业大气污染物排放标准》（GB 41618-2022）</w:t>
            </w:r>
            <w:r>
              <w:rPr>
                <w:rFonts w:hint="eastAsia" w:ascii="Times New Roman" w:hAnsi="Times New Roman" w:eastAsia="宋体" w:cs="宋体"/>
                <w:color w:val="000000"/>
                <w:kern w:val="0"/>
                <w:sz w:val="24"/>
                <w:szCs w:val="22"/>
                <w:lang w:val="en-US" w:eastAsia="zh-CN"/>
              </w:rPr>
              <w:t>表2中要求，见下表。</w:t>
            </w:r>
          </w:p>
          <w:p w14:paraId="7CF5792B">
            <w:pPr>
              <w:widowControl w:val="0"/>
              <w:autoSpaceDE w:val="0"/>
              <w:autoSpaceDN w:val="0"/>
              <w:bidi w:val="0"/>
              <w:adjustRightInd w:val="0"/>
              <w:snapToGrid w:val="0"/>
              <w:spacing w:before="0" w:after="0" w:line="240" w:lineRule="auto"/>
              <w:ind w:left="0" w:right="0" w:firstLine="422" w:firstLineChars="200"/>
              <w:jc w:val="both"/>
              <w:outlineLvl w:val="2"/>
              <w:rPr>
                <w:rFonts w:hint="eastAsia" w:ascii="Times New Roman" w:hAnsi="Times New Roman" w:eastAsia="宋体" w:cs="Times New Roman"/>
                <w:b/>
                <w:color w:val="000000"/>
                <w:sz w:val="21"/>
                <w:szCs w:val="21"/>
                <w:lang w:val="en-US" w:eastAsia="zh-CN" w:bidi="ar-SA"/>
              </w:rPr>
            </w:pPr>
            <w:r>
              <w:rPr>
                <w:rFonts w:hint="eastAsia" w:ascii="Times New Roman" w:hAnsi="Times New Roman" w:eastAsia="宋体" w:cs="Times New Roman"/>
                <w:b/>
                <w:color w:val="000000"/>
                <w:sz w:val="21"/>
                <w:szCs w:val="21"/>
                <w:lang w:val="en-US" w:eastAsia="zh-CN" w:bidi="ar-SA"/>
              </w:rPr>
              <w:t>表3-4                  废气执行标准一览表</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752"/>
              <w:gridCol w:w="1587"/>
              <w:gridCol w:w="1116"/>
              <w:gridCol w:w="1229"/>
              <w:gridCol w:w="3417"/>
            </w:tblGrid>
            <w:tr w14:paraId="4AAE4F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0" w:type="auto"/>
                  <w:vMerge w:val="restart"/>
                  <w:tcBorders>
                    <w:tl2br w:val="nil"/>
                    <w:tr2bl w:val="nil"/>
                  </w:tcBorders>
                  <w:noWrap w:val="0"/>
                  <w:vAlign w:val="center"/>
                </w:tcPr>
                <w:p w14:paraId="057E7910">
                  <w:pPr>
                    <w:pStyle w:val="58"/>
                    <w:bidi w:val="0"/>
                    <w:rPr>
                      <w:rFonts w:hint="eastAsia"/>
                      <w:lang w:val="en-US" w:eastAsia="zh-CN"/>
                    </w:rPr>
                  </w:pPr>
                  <w:r>
                    <w:t>污染物</w:t>
                  </w:r>
                  <w:r>
                    <w:rPr>
                      <w:rFonts w:hint="eastAsia"/>
                      <w:lang w:eastAsia="zh-CN"/>
                    </w:rPr>
                    <w:t>项目</w:t>
                  </w:r>
                </w:p>
              </w:tc>
              <w:tc>
                <w:tcPr>
                  <w:tcW w:w="0" w:type="auto"/>
                  <w:vMerge w:val="restart"/>
                  <w:tcBorders>
                    <w:tl2br w:val="nil"/>
                    <w:tr2bl w:val="nil"/>
                  </w:tcBorders>
                  <w:noWrap w:val="0"/>
                  <w:vAlign w:val="center"/>
                </w:tcPr>
                <w:p w14:paraId="070C501B">
                  <w:pPr>
                    <w:pStyle w:val="58"/>
                    <w:bidi w:val="0"/>
                    <w:rPr>
                      <w:rFonts w:hint="default" w:eastAsia="宋体"/>
                      <w:lang w:val="en-US" w:eastAsia="zh-CN"/>
                    </w:rPr>
                  </w:pPr>
                  <w:r>
                    <w:rPr>
                      <w:rFonts w:hint="eastAsia"/>
                      <w:lang w:val="en-US" w:eastAsia="zh-CN"/>
                    </w:rPr>
                    <w:t>最高允许排放浓度mg/m</w:t>
                  </w:r>
                  <w:r>
                    <w:rPr>
                      <w:rFonts w:hint="eastAsia"/>
                      <w:vertAlign w:val="superscript"/>
                      <w:lang w:val="en-US" w:eastAsia="zh-CN"/>
                    </w:rPr>
                    <w:t>3</w:t>
                  </w:r>
                  <w:r>
                    <w:rPr>
                      <w:rFonts w:hint="eastAsia"/>
                      <w:lang w:val="en-US" w:eastAsia="zh-CN"/>
                    </w:rPr>
                    <w:t xml:space="preserve">  </w:t>
                  </w:r>
                </w:p>
              </w:tc>
              <w:tc>
                <w:tcPr>
                  <w:tcW w:w="2345" w:type="dxa"/>
                  <w:gridSpan w:val="2"/>
                  <w:tcBorders>
                    <w:tl2br w:val="nil"/>
                    <w:tr2bl w:val="nil"/>
                  </w:tcBorders>
                  <w:noWrap w:val="0"/>
                  <w:vAlign w:val="center"/>
                </w:tcPr>
                <w:p w14:paraId="296F42B6">
                  <w:pPr>
                    <w:pStyle w:val="58"/>
                    <w:bidi w:val="0"/>
                    <w:rPr>
                      <w:rFonts w:hint="default"/>
                      <w:lang w:val="en-US" w:eastAsia="zh-CN"/>
                    </w:rPr>
                  </w:pPr>
                  <w:r>
                    <w:rPr>
                      <w:rFonts w:hint="eastAsia"/>
                      <w:lang w:val="en-US" w:eastAsia="zh-CN"/>
                    </w:rPr>
                    <w:t>无组织排放限值</w:t>
                  </w:r>
                </w:p>
              </w:tc>
              <w:tc>
                <w:tcPr>
                  <w:tcW w:w="3417" w:type="dxa"/>
                  <w:vMerge w:val="restart"/>
                  <w:tcBorders>
                    <w:tl2br w:val="nil"/>
                    <w:tr2bl w:val="nil"/>
                  </w:tcBorders>
                  <w:noWrap w:val="0"/>
                  <w:vAlign w:val="center"/>
                </w:tcPr>
                <w:p w14:paraId="600C989F">
                  <w:pPr>
                    <w:pStyle w:val="58"/>
                    <w:bidi w:val="0"/>
                    <w:rPr>
                      <w:rFonts w:hint="eastAsia" w:eastAsia="宋体"/>
                      <w:lang w:eastAsia="zh-CN"/>
                    </w:rPr>
                  </w:pPr>
                  <w:r>
                    <w:rPr>
                      <w:rFonts w:hint="eastAsia"/>
                      <w:lang w:eastAsia="zh-CN"/>
                    </w:rPr>
                    <w:t>标准来源</w:t>
                  </w:r>
                </w:p>
              </w:tc>
            </w:tr>
            <w:tr w14:paraId="7B4595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0" w:type="auto"/>
                  <w:vMerge w:val="continue"/>
                  <w:tcBorders>
                    <w:tl2br w:val="nil"/>
                    <w:tr2bl w:val="nil"/>
                  </w:tcBorders>
                  <w:noWrap w:val="0"/>
                  <w:vAlign w:val="center"/>
                </w:tcPr>
                <w:p w14:paraId="4440F72E">
                  <w:pPr>
                    <w:pStyle w:val="58"/>
                    <w:bidi w:val="0"/>
                  </w:pPr>
                </w:p>
              </w:tc>
              <w:tc>
                <w:tcPr>
                  <w:tcW w:w="0" w:type="auto"/>
                  <w:vMerge w:val="continue"/>
                  <w:tcBorders>
                    <w:tl2br w:val="nil"/>
                    <w:tr2bl w:val="nil"/>
                  </w:tcBorders>
                  <w:noWrap w:val="0"/>
                  <w:vAlign w:val="center"/>
                </w:tcPr>
                <w:p w14:paraId="72C95AFD">
                  <w:pPr>
                    <w:pStyle w:val="58"/>
                    <w:bidi w:val="0"/>
                    <w:rPr>
                      <w:rFonts w:hint="eastAsia"/>
                      <w:lang w:val="en-US" w:eastAsia="zh-CN"/>
                    </w:rPr>
                  </w:pPr>
                </w:p>
              </w:tc>
              <w:tc>
                <w:tcPr>
                  <w:tcW w:w="0" w:type="auto"/>
                  <w:tcBorders>
                    <w:tl2br w:val="nil"/>
                    <w:tr2bl w:val="nil"/>
                  </w:tcBorders>
                  <w:noWrap w:val="0"/>
                  <w:vAlign w:val="center"/>
                </w:tcPr>
                <w:p w14:paraId="6FC96853">
                  <w:pPr>
                    <w:pStyle w:val="58"/>
                    <w:bidi w:val="0"/>
                    <w:rPr>
                      <w:rFonts w:hint="default"/>
                      <w:lang w:val="en-US" w:eastAsia="zh-CN"/>
                    </w:rPr>
                  </w:pPr>
                  <w:r>
                    <w:rPr>
                      <w:rFonts w:hint="eastAsia"/>
                      <w:lang w:val="en-US" w:eastAsia="zh-CN"/>
                    </w:rPr>
                    <w:t>监测点</w:t>
                  </w:r>
                </w:p>
              </w:tc>
              <w:tc>
                <w:tcPr>
                  <w:tcW w:w="1229" w:type="dxa"/>
                  <w:tcBorders>
                    <w:tl2br w:val="nil"/>
                    <w:tr2bl w:val="nil"/>
                  </w:tcBorders>
                  <w:noWrap w:val="0"/>
                  <w:vAlign w:val="center"/>
                </w:tcPr>
                <w:p w14:paraId="204563BC">
                  <w:pPr>
                    <w:pStyle w:val="58"/>
                    <w:bidi w:val="0"/>
                    <w:rPr>
                      <w:rFonts w:hint="default"/>
                      <w:lang w:val="en-US" w:eastAsia="zh-CN"/>
                    </w:rPr>
                  </w:pPr>
                  <w:r>
                    <w:rPr>
                      <w:rFonts w:hint="eastAsia"/>
                      <w:lang w:val="en-US" w:eastAsia="zh-CN"/>
                    </w:rPr>
                    <w:t>浓度mg/m</w:t>
                  </w:r>
                  <w:r>
                    <w:rPr>
                      <w:rFonts w:hint="eastAsia"/>
                      <w:vertAlign w:val="superscript"/>
                      <w:lang w:val="en-US" w:eastAsia="zh-CN"/>
                    </w:rPr>
                    <w:t>3</w:t>
                  </w:r>
                  <w:r>
                    <w:rPr>
                      <w:rFonts w:hint="eastAsia"/>
                      <w:lang w:val="en-US" w:eastAsia="zh-CN"/>
                    </w:rPr>
                    <w:t xml:space="preserve"> </w:t>
                  </w:r>
                </w:p>
              </w:tc>
              <w:tc>
                <w:tcPr>
                  <w:tcW w:w="3417" w:type="dxa"/>
                  <w:vMerge w:val="continue"/>
                  <w:tcBorders>
                    <w:tl2br w:val="nil"/>
                    <w:tr2bl w:val="nil"/>
                  </w:tcBorders>
                  <w:noWrap w:val="0"/>
                  <w:vAlign w:val="center"/>
                </w:tcPr>
                <w:p w14:paraId="54E324A6">
                  <w:pPr>
                    <w:pStyle w:val="58"/>
                    <w:bidi w:val="0"/>
                    <w:rPr>
                      <w:rFonts w:hint="eastAsia"/>
                      <w:lang w:eastAsia="zh-CN"/>
                    </w:rPr>
                  </w:pPr>
                </w:p>
              </w:tc>
            </w:tr>
            <w:tr w14:paraId="71CEF0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0" w:type="auto"/>
                  <w:tcBorders>
                    <w:tl2br w:val="nil"/>
                    <w:tr2bl w:val="nil"/>
                  </w:tcBorders>
                  <w:noWrap w:val="0"/>
                  <w:vAlign w:val="center"/>
                </w:tcPr>
                <w:p w14:paraId="098ACA58">
                  <w:pPr>
                    <w:pStyle w:val="58"/>
                    <w:bidi w:val="0"/>
                    <w:rPr>
                      <w:rFonts w:hint="eastAsia" w:ascii="Times New Roman" w:hAnsi="Times New Roman" w:eastAsia="宋体" w:cs="宋体"/>
                      <w:snapToGrid w:val="0"/>
                      <w:kern w:val="0"/>
                      <w:sz w:val="21"/>
                      <w:szCs w:val="21"/>
                      <w:lang w:val="en-US" w:eastAsia="zh-CN" w:bidi="ar-SA"/>
                    </w:rPr>
                  </w:pPr>
                  <w:r>
                    <w:rPr>
                      <w:rFonts w:hint="eastAsia"/>
                      <w:lang w:eastAsia="zh-CN"/>
                    </w:rPr>
                    <w:t>颗粒物</w:t>
                  </w:r>
                </w:p>
              </w:tc>
              <w:tc>
                <w:tcPr>
                  <w:tcW w:w="0" w:type="auto"/>
                  <w:tcBorders>
                    <w:tl2br w:val="nil"/>
                    <w:tr2bl w:val="nil"/>
                  </w:tcBorders>
                  <w:noWrap w:val="0"/>
                  <w:vAlign w:val="center"/>
                </w:tcPr>
                <w:p w14:paraId="7875A037">
                  <w:pPr>
                    <w:pStyle w:val="58"/>
                    <w:bidi w:val="0"/>
                    <w:rPr>
                      <w:rFonts w:hint="default" w:ascii="Times New Roman" w:hAnsi="Times New Roman" w:eastAsia="宋体" w:cs="宋体"/>
                      <w:snapToGrid w:val="0"/>
                      <w:kern w:val="0"/>
                      <w:sz w:val="21"/>
                      <w:szCs w:val="21"/>
                      <w:lang w:val="en-US" w:eastAsia="zh-CN" w:bidi="ar-SA"/>
                    </w:rPr>
                  </w:pPr>
                  <w:r>
                    <w:rPr>
                      <w:rFonts w:hint="eastAsia"/>
                      <w:lang w:val="en-US" w:eastAsia="zh-CN"/>
                    </w:rPr>
                    <w:t>20</w:t>
                  </w:r>
                </w:p>
              </w:tc>
              <w:tc>
                <w:tcPr>
                  <w:tcW w:w="0" w:type="auto"/>
                  <w:tcBorders>
                    <w:tl2br w:val="nil"/>
                    <w:tr2bl w:val="nil"/>
                  </w:tcBorders>
                  <w:noWrap w:val="0"/>
                  <w:vAlign w:val="center"/>
                </w:tcPr>
                <w:p w14:paraId="61B3FFB5">
                  <w:pPr>
                    <w:pStyle w:val="58"/>
                    <w:bidi w:val="0"/>
                    <w:rPr>
                      <w:rFonts w:hint="default"/>
                      <w:lang w:val="en-US" w:eastAsia="zh-CN"/>
                    </w:rPr>
                  </w:pPr>
                  <w:r>
                    <w:rPr>
                      <w:rFonts w:hint="eastAsia"/>
                      <w:lang w:val="en-US" w:eastAsia="zh-CN"/>
                    </w:rPr>
                    <w:t>厂界内浓度最高点</w:t>
                  </w:r>
                </w:p>
              </w:tc>
              <w:tc>
                <w:tcPr>
                  <w:tcW w:w="1229" w:type="dxa"/>
                  <w:tcBorders>
                    <w:tl2br w:val="nil"/>
                    <w:tr2bl w:val="nil"/>
                  </w:tcBorders>
                  <w:noWrap w:val="0"/>
                  <w:vAlign w:val="center"/>
                </w:tcPr>
                <w:p w14:paraId="6558A115">
                  <w:pPr>
                    <w:pStyle w:val="58"/>
                    <w:bidi w:val="0"/>
                    <w:rPr>
                      <w:rFonts w:hint="default"/>
                      <w:lang w:val="en-US" w:eastAsia="zh-CN"/>
                    </w:rPr>
                  </w:pPr>
                  <w:r>
                    <w:rPr>
                      <w:rFonts w:hint="eastAsia"/>
                      <w:lang w:val="en-US" w:eastAsia="zh-CN"/>
                    </w:rPr>
                    <w:t>5</w:t>
                  </w:r>
                </w:p>
              </w:tc>
              <w:tc>
                <w:tcPr>
                  <w:tcW w:w="3417" w:type="dxa"/>
                  <w:tcBorders>
                    <w:tl2br w:val="nil"/>
                    <w:tr2bl w:val="nil"/>
                  </w:tcBorders>
                  <w:noWrap w:val="0"/>
                  <w:vAlign w:val="center"/>
                </w:tcPr>
                <w:p w14:paraId="3B7A947A">
                  <w:pPr>
                    <w:pStyle w:val="58"/>
                    <w:bidi w:val="0"/>
                    <w:rPr>
                      <w:rFonts w:hint="eastAsia"/>
                      <w:lang w:val="en-US" w:eastAsia="zh-CN"/>
                    </w:rPr>
                  </w:pPr>
                  <w:r>
                    <w:rPr>
                      <w:rFonts w:hint="eastAsia"/>
                      <w:color w:val="auto"/>
                      <w:lang w:eastAsia="zh-CN"/>
                    </w:rPr>
                    <w:t>《石灰、电石工业大气污染物排放标准》（GB 41618-2022）</w:t>
                  </w:r>
                </w:p>
              </w:tc>
            </w:tr>
          </w:tbl>
          <w:p w14:paraId="5E4AD122">
            <w:pPr>
              <w:keepNext/>
              <w:keepLines/>
              <w:widowControl w:val="0"/>
              <w:autoSpaceDE w:val="0"/>
              <w:autoSpaceDN w:val="0"/>
              <w:bidi w:val="0"/>
              <w:adjustRightInd w:val="0"/>
              <w:snapToGrid w:val="0"/>
              <w:spacing w:before="0" w:beforeLines="0" w:after="0" w:afterLines="0" w:line="360" w:lineRule="auto"/>
              <w:ind w:left="0" w:right="0" w:firstLine="0" w:firstLineChars="0"/>
              <w:jc w:val="both"/>
              <w:outlineLvl w:val="1"/>
              <w:rPr>
                <w:rFonts w:ascii="Times New Roman" w:hAnsi="Times New Roman" w:eastAsia="宋体" w:cs="宋体"/>
                <w:b/>
                <w:bCs/>
                <w:sz w:val="24"/>
                <w:szCs w:val="32"/>
                <w:lang w:val="en-US" w:eastAsia="zh-CN" w:bidi="ar-SA"/>
              </w:rPr>
            </w:pPr>
            <w:r>
              <w:rPr>
                <w:rFonts w:hint="eastAsia" w:ascii="Times New Roman" w:hAnsi="Times New Roman" w:eastAsia="宋体" w:cs="宋体"/>
                <w:b/>
                <w:bCs/>
                <w:sz w:val="24"/>
                <w:szCs w:val="32"/>
                <w:lang w:val="en-US" w:eastAsia="zh-CN" w:bidi="ar-SA"/>
              </w:rPr>
              <w:t>2.2</w:t>
            </w:r>
            <w:r>
              <w:rPr>
                <w:rFonts w:ascii="Times New Roman" w:hAnsi="Times New Roman" w:eastAsia="宋体" w:cs="宋体"/>
                <w:b/>
                <w:bCs/>
                <w:sz w:val="24"/>
                <w:szCs w:val="32"/>
                <w:lang w:val="en-US" w:eastAsia="zh-CN" w:bidi="ar-SA"/>
              </w:rPr>
              <w:t>噪声</w:t>
            </w:r>
          </w:p>
          <w:p w14:paraId="43843ED9">
            <w:pPr>
              <w:autoSpaceDE w:val="0"/>
              <w:autoSpaceDN w:val="0"/>
              <w:bidi w:val="0"/>
              <w:adjustRightInd w:val="0"/>
              <w:snapToGrid w:val="0"/>
              <w:spacing w:before="0" w:after="0" w:line="360" w:lineRule="auto"/>
              <w:ind w:left="0" w:right="0" w:firstLine="480" w:firstLineChars="200"/>
              <w:rPr>
                <w:rFonts w:ascii="Times New Roman" w:hAnsi="Times New Roman" w:eastAsia="宋体" w:cs="宋体"/>
                <w:kern w:val="0"/>
                <w:sz w:val="24"/>
                <w:szCs w:val="22"/>
              </w:rPr>
            </w:pPr>
            <w:r>
              <w:rPr>
                <w:rFonts w:ascii="Times New Roman" w:hAnsi="Times New Roman" w:eastAsia="宋体" w:cs="宋体"/>
                <w:kern w:val="0"/>
                <w:sz w:val="24"/>
                <w:szCs w:val="22"/>
              </w:rPr>
              <w:t>营运期噪声执行《工业企业厂界环境噪声排放标准》（GB</w:t>
            </w:r>
            <w:r>
              <w:rPr>
                <w:rFonts w:hint="eastAsia" w:ascii="Times New Roman" w:hAnsi="Times New Roman" w:eastAsia="宋体" w:cs="宋体"/>
                <w:kern w:val="0"/>
                <w:sz w:val="24"/>
                <w:szCs w:val="22"/>
              </w:rPr>
              <w:t xml:space="preserve"> </w:t>
            </w:r>
            <w:r>
              <w:rPr>
                <w:rFonts w:ascii="Times New Roman" w:hAnsi="Times New Roman" w:eastAsia="宋体" w:cs="宋体"/>
                <w:kern w:val="0"/>
                <w:sz w:val="24"/>
                <w:szCs w:val="22"/>
              </w:rPr>
              <w:t>12348-2008）</w:t>
            </w:r>
            <w:r>
              <w:rPr>
                <w:rFonts w:hint="eastAsia" w:ascii="Times New Roman" w:hAnsi="Times New Roman" w:eastAsia="宋体" w:cs="宋体"/>
                <w:kern w:val="0"/>
                <w:sz w:val="24"/>
                <w:szCs w:val="22"/>
              </w:rPr>
              <w:t>3</w:t>
            </w:r>
            <w:r>
              <w:rPr>
                <w:rFonts w:ascii="Times New Roman" w:hAnsi="Times New Roman" w:eastAsia="宋体" w:cs="宋体"/>
                <w:kern w:val="0"/>
                <w:sz w:val="24"/>
                <w:szCs w:val="22"/>
              </w:rPr>
              <w:t>类标准，昼间6</w:t>
            </w:r>
            <w:r>
              <w:rPr>
                <w:rFonts w:hint="eastAsia" w:ascii="Times New Roman" w:hAnsi="Times New Roman" w:eastAsia="宋体" w:cs="宋体"/>
                <w:kern w:val="0"/>
                <w:sz w:val="24"/>
                <w:szCs w:val="22"/>
              </w:rPr>
              <w:t>5</w:t>
            </w:r>
            <w:r>
              <w:rPr>
                <w:rFonts w:ascii="Times New Roman" w:hAnsi="Times New Roman" w:eastAsia="宋体" w:cs="宋体"/>
                <w:kern w:val="0"/>
                <w:sz w:val="24"/>
                <w:szCs w:val="22"/>
              </w:rPr>
              <w:t>dB</w:t>
            </w:r>
            <w:r>
              <w:rPr>
                <w:rFonts w:hint="eastAsia" w:ascii="Times New Roman" w:hAnsi="Times New Roman" w:eastAsia="宋体" w:cs="宋体"/>
                <w:kern w:val="0"/>
                <w:sz w:val="24"/>
                <w:szCs w:val="22"/>
                <w:lang w:eastAsia="zh-CN"/>
              </w:rPr>
              <w:t>（</w:t>
            </w:r>
            <w:r>
              <w:rPr>
                <w:rFonts w:ascii="Times New Roman" w:hAnsi="Times New Roman" w:eastAsia="宋体" w:cs="宋体"/>
                <w:kern w:val="0"/>
                <w:sz w:val="24"/>
                <w:szCs w:val="22"/>
              </w:rPr>
              <w:t>A</w:t>
            </w:r>
            <w:r>
              <w:rPr>
                <w:rFonts w:hint="eastAsia" w:ascii="Times New Roman" w:hAnsi="Times New Roman" w:eastAsia="宋体" w:cs="宋体"/>
                <w:kern w:val="0"/>
                <w:sz w:val="24"/>
                <w:szCs w:val="22"/>
                <w:lang w:eastAsia="zh-CN"/>
              </w:rPr>
              <w:t>）</w:t>
            </w:r>
            <w:r>
              <w:rPr>
                <w:rFonts w:ascii="Times New Roman" w:hAnsi="Times New Roman" w:eastAsia="宋体" w:cs="宋体"/>
                <w:kern w:val="0"/>
                <w:sz w:val="24"/>
                <w:szCs w:val="22"/>
              </w:rPr>
              <w:t>，夜间5</w:t>
            </w:r>
            <w:r>
              <w:rPr>
                <w:rFonts w:hint="eastAsia" w:ascii="Times New Roman" w:hAnsi="Times New Roman" w:eastAsia="宋体" w:cs="宋体"/>
                <w:kern w:val="0"/>
                <w:sz w:val="24"/>
                <w:szCs w:val="22"/>
              </w:rPr>
              <w:t>5</w:t>
            </w:r>
            <w:r>
              <w:rPr>
                <w:rFonts w:ascii="Times New Roman" w:hAnsi="Times New Roman" w:eastAsia="宋体" w:cs="宋体"/>
                <w:kern w:val="0"/>
                <w:sz w:val="24"/>
                <w:szCs w:val="22"/>
              </w:rPr>
              <w:t>dB</w:t>
            </w:r>
            <w:r>
              <w:rPr>
                <w:rFonts w:hint="eastAsia" w:ascii="Times New Roman" w:hAnsi="Times New Roman" w:eastAsia="宋体" w:cs="宋体"/>
                <w:kern w:val="0"/>
                <w:sz w:val="24"/>
                <w:szCs w:val="22"/>
                <w:lang w:eastAsia="zh-CN"/>
              </w:rPr>
              <w:t>（</w:t>
            </w:r>
            <w:r>
              <w:rPr>
                <w:rFonts w:ascii="Times New Roman" w:hAnsi="Times New Roman" w:eastAsia="宋体" w:cs="宋体"/>
                <w:kern w:val="0"/>
                <w:sz w:val="24"/>
                <w:szCs w:val="22"/>
              </w:rPr>
              <w:t>A</w:t>
            </w:r>
            <w:r>
              <w:rPr>
                <w:rFonts w:hint="eastAsia" w:ascii="Times New Roman" w:hAnsi="Times New Roman" w:eastAsia="宋体" w:cs="宋体"/>
                <w:kern w:val="0"/>
                <w:sz w:val="24"/>
                <w:szCs w:val="22"/>
                <w:lang w:eastAsia="zh-CN"/>
              </w:rPr>
              <w:t>）</w:t>
            </w:r>
            <w:r>
              <w:rPr>
                <w:rFonts w:ascii="Times New Roman" w:hAnsi="Times New Roman" w:eastAsia="宋体" w:cs="宋体"/>
                <w:kern w:val="0"/>
                <w:sz w:val="24"/>
                <w:szCs w:val="22"/>
              </w:rPr>
              <w:t>。</w:t>
            </w:r>
          </w:p>
          <w:p w14:paraId="0FB8043B">
            <w:pPr>
              <w:keepNext/>
              <w:keepLines/>
              <w:widowControl w:val="0"/>
              <w:autoSpaceDE w:val="0"/>
              <w:autoSpaceDN w:val="0"/>
              <w:bidi w:val="0"/>
              <w:adjustRightInd w:val="0"/>
              <w:snapToGrid w:val="0"/>
              <w:spacing w:before="0" w:beforeLines="0" w:after="0" w:afterLines="0" w:line="360" w:lineRule="auto"/>
              <w:ind w:left="0" w:right="0" w:firstLine="0" w:firstLineChars="0"/>
              <w:jc w:val="both"/>
              <w:outlineLvl w:val="1"/>
              <w:rPr>
                <w:rFonts w:hint="eastAsia" w:ascii="Times New Roman" w:hAnsi="Times New Roman" w:eastAsia="宋体" w:cs="宋体"/>
                <w:b/>
                <w:bCs/>
                <w:sz w:val="24"/>
                <w:szCs w:val="32"/>
                <w:lang w:val="en-US" w:eastAsia="zh-CN" w:bidi="ar-SA"/>
              </w:rPr>
            </w:pPr>
            <w:r>
              <w:rPr>
                <w:rFonts w:hint="eastAsia" w:ascii="Times New Roman" w:hAnsi="Times New Roman" w:eastAsia="宋体" w:cs="宋体"/>
                <w:b/>
                <w:bCs/>
                <w:sz w:val="24"/>
                <w:szCs w:val="32"/>
                <w:lang w:val="en-US" w:eastAsia="zh-CN" w:bidi="ar-SA"/>
              </w:rPr>
              <w:t>2.3废水</w:t>
            </w:r>
          </w:p>
          <w:p w14:paraId="42BD6026">
            <w:pPr>
              <w:autoSpaceDE w:val="0"/>
              <w:autoSpaceDN w:val="0"/>
              <w:bidi w:val="0"/>
              <w:adjustRightInd w:val="0"/>
              <w:snapToGrid w:val="0"/>
              <w:spacing w:before="0" w:after="0" w:line="360" w:lineRule="auto"/>
              <w:ind w:left="0" w:right="0" w:firstLine="480" w:firstLineChars="200"/>
              <w:rPr>
                <w:rFonts w:hint="eastAsia" w:ascii="Times New Roman" w:hAnsi="Times New Roman" w:eastAsia="宋体" w:cs="宋体"/>
                <w:kern w:val="0"/>
                <w:sz w:val="24"/>
                <w:szCs w:val="22"/>
                <w:lang w:val="en-US" w:eastAsia="zh-CN"/>
              </w:rPr>
            </w:pPr>
            <w:r>
              <w:rPr>
                <w:rFonts w:hint="default" w:ascii="Times New Roman" w:hAnsi="Times New Roman" w:eastAsia="宋体" w:cs="宋体"/>
                <w:kern w:val="0"/>
                <w:sz w:val="24"/>
                <w:szCs w:val="22"/>
              </w:rPr>
              <w:t>项目生活污水</w:t>
            </w:r>
            <w:r>
              <w:rPr>
                <w:rFonts w:hint="default" w:ascii="Times New Roman" w:hAnsi="Times New Roman" w:eastAsia="宋体" w:cs="宋体"/>
                <w:kern w:val="0"/>
                <w:sz w:val="24"/>
                <w:szCs w:val="22"/>
                <w:lang w:eastAsia="zh-CN"/>
              </w:rPr>
              <w:t>执行《污水综合排放标准》（</w:t>
            </w:r>
            <w:r>
              <w:rPr>
                <w:rFonts w:hint="default" w:ascii="Times New Roman" w:hAnsi="Times New Roman" w:eastAsia="宋体" w:cs="宋体"/>
                <w:kern w:val="0"/>
                <w:sz w:val="24"/>
                <w:szCs w:val="22"/>
                <w:lang w:val="en-US" w:eastAsia="zh-CN"/>
              </w:rPr>
              <w:t>GB8978-1996</w:t>
            </w:r>
            <w:r>
              <w:rPr>
                <w:rFonts w:hint="default" w:ascii="Times New Roman" w:hAnsi="Times New Roman" w:eastAsia="宋体" w:cs="宋体"/>
                <w:kern w:val="0"/>
                <w:sz w:val="24"/>
                <w:szCs w:val="22"/>
                <w:lang w:eastAsia="zh-CN"/>
              </w:rPr>
              <w:t>）</w:t>
            </w:r>
            <w:r>
              <w:rPr>
                <w:rFonts w:hint="eastAsia" w:ascii="Times New Roman" w:hAnsi="Times New Roman" w:eastAsia="宋体" w:cs="宋体"/>
                <w:kern w:val="0"/>
                <w:sz w:val="24"/>
                <w:szCs w:val="22"/>
                <w:lang w:eastAsia="zh-CN"/>
              </w:rPr>
              <w:t>三</w:t>
            </w:r>
            <w:r>
              <w:rPr>
                <w:rFonts w:hint="default" w:ascii="Times New Roman" w:hAnsi="Times New Roman" w:eastAsia="宋体" w:cs="宋体"/>
                <w:kern w:val="0"/>
                <w:sz w:val="24"/>
                <w:szCs w:val="22"/>
                <w:lang w:val="en-US" w:eastAsia="zh-CN"/>
              </w:rPr>
              <w:t>级标准</w:t>
            </w:r>
            <w:r>
              <w:rPr>
                <w:rFonts w:hint="eastAsia" w:ascii="Times New Roman" w:hAnsi="Times New Roman" w:eastAsia="宋体" w:cs="宋体"/>
                <w:kern w:val="0"/>
                <w:sz w:val="24"/>
                <w:szCs w:val="22"/>
                <w:lang w:val="en-US" w:eastAsia="zh-CN"/>
              </w:rPr>
              <w:t>。见表3-5。</w:t>
            </w:r>
          </w:p>
          <w:p w14:paraId="482DEA1C">
            <w:pPr>
              <w:widowControl w:val="0"/>
              <w:autoSpaceDE w:val="0"/>
              <w:autoSpaceDN w:val="0"/>
              <w:bidi w:val="0"/>
              <w:adjustRightInd w:val="0"/>
              <w:snapToGrid w:val="0"/>
              <w:spacing w:before="0" w:after="0" w:line="240" w:lineRule="auto"/>
              <w:ind w:left="0" w:right="0" w:firstLine="422" w:firstLineChars="200"/>
              <w:jc w:val="both"/>
              <w:rPr>
                <w:rFonts w:hint="default" w:ascii="Times New Roman" w:hAnsi="Times New Roman" w:eastAsia="宋体" w:cs="宋体"/>
                <w:b/>
                <w:sz w:val="21"/>
                <w:szCs w:val="24"/>
                <w:lang w:val="en-US" w:eastAsia="zh-CN" w:bidi="ar-SA"/>
              </w:rPr>
            </w:pPr>
            <w:r>
              <w:rPr>
                <w:rFonts w:hint="eastAsia" w:ascii="Times New Roman" w:hAnsi="Times New Roman" w:eastAsia="宋体" w:cs="宋体"/>
                <w:b/>
                <w:sz w:val="21"/>
                <w:szCs w:val="24"/>
                <w:lang w:val="en-US" w:eastAsia="zh-CN" w:bidi="ar-SA"/>
              </w:rPr>
              <w:t>表3-5                        第二类污染物最高允许排放浓度</w:t>
            </w:r>
          </w:p>
          <w:tbl>
            <w:tblPr>
              <w:tblStyle w:val="24"/>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97"/>
              <w:gridCol w:w="3702"/>
            </w:tblGrid>
            <w:tr w14:paraId="37B89F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714" w:type="pct"/>
                  <w:tcBorders>
                    <w:tl2br w:val="nil"/>
                    <w:tr2bl w:val="nil"/>
                  </w:tcBorders>
                  <w:noWrap w:val="0"/>
                  <w:vAlign w:val="center"/>
                </w:tcPr>
                <w:p w14:paraId="4B54EF34">
                  <w:pPr>
                    <w:widowControl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污染物</w:t>
                  </w:r>
                </w:p>
              </w:tc>
              <w:tc>
                <w:tcPr>
                  <w:tcW w:w="2285" w:type="pct"/>
                  <w:tcBorders>
                    <w:tl2br w:val="nil"/>
                    <w:tr2bl w:val="nil"/>
                  </w:tcBorders>
                  <w:noWrap w:val="0"/>
                  <w:vAlign w:val="center"/>
                </w:tcPr>
                <w:p w14:paraId="00C2C1E1">
                  <w:pPr>
                    <w:widowControl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三级标准</w:t>
                  </w:r>
                </w:p>
              </w:tc>
            </w:tr>
            <w:tr w14:paraId="639D4C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714" w:type="pct"/>
                  <w:tcBorders>
                    <w:tl2br w:val="nil"/>
                    <w:tr2bl w:val="nil"/>
                  </w:tcBorders>
                  <w:noWrap w:val="0"/>
                  <w:vAlign w:val="center"/>
                </w:tcPr>
                <w:p w14:paraId="46A8D8C1">
                  <w:pPr>
                    <w:widowControl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化学需氧量</w:t>
                  </w:r>
                </w:p>
              </w:tc>
              <w:tc>
                <w:tcPr>
                  <w:tcW w:w="2285" w:type="pct"/>
                  <w:tcBorders>
                    <w:tl2br w:val="nil"/>
                    <w:tr2bl w:val="nil"/>
                  </w:tcBorders>
                  <w:noWrap w:val="0"/>
                  <w:vAlign w:val="center"/>
                </w:tcPr>
                <w:p w14:paraId="41204411">
                  <w:pPr>
                    <w:widowControl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500mg/L</w:t>
                  </w:r>
                </w:p>
              </w:tc>
            </w:tr>
            <w:tr w14:paraId="648E7F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714" w:type="pct"/>
                  <w:tcBorders>
                    <w:tl2br w:val="nil"/>
                    <w:tr2bl w:val="nil"/>
                  </w:tcBorders>
                  <w:noWrap w:val="0"/>
                  <w:vAlign w:val="center"/>
                </w:tcPr>
                <w:p w14:paraId="43636C81">
                  <w:pPr>
                    <w:widowControl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五日生化需氧量</w:t>
                  </w:r>
                </w:p>
              </w:tc>
              <w:tc>
                <w:tcPr>
                  <w:tcW w:w="2285" w:type="pct"/>
                  <w:tcBorders>
                    <w:tl2br w:val="nil"/>
                    <w:tr2bl w:val="nil"/>
                  </w:tcBorders>
                  <w:noWrap w:val="0"/>
                  <w:vAlign w:val="center"/>
                </w:tcPr>
                <w:p w14:paraId="5BD0A13F">
                  <w:pPr>
                    <w:widowControl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300mg/L</w:t>
                  </w:r>
                </w:p>
              </w:tc>
            </w:tr>
            <w:tr w14:paraId="329C84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714" w:type="pct"/>
                  <w:tcBorders>
                    <w:tl2br w:val="nil"/>
                    <w:tr2bl w:val="nil"/>
                  </w:tcBorders>
                  <w:noWrap w:val="0"/>
                  <w:vAlign w:val="center"/>
                </w:tcPr>
                <w:p w14:paraId="058D6E6D">
                  <w:pPr>
                    <w:widowControl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悬浮物</w:t>
                  </w:r>
                </w:p>
              </w:tc>
              <w:tc>
                <w:tcPr>
                  <w:tcW w:w="2285" w:type="pct"/>
                  <w:tcBorders>
                    <w:tl2br w:val="nil"/>
                    <w:tr2bl w:val="nil"/>
                  </w:tcBorders>
                  <w:noWrap w:val="0"/>
                  <w:vAlign w:val="center"/>
                </w:tcPr>
                <w:p w14:paraId="0FF19904">
                  <w:pPr>
                    <w:widowControl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400mg/L</w:t>
                  </w:r>
                </w:p>
              </w:tc>
            </w:tr>
            <w:tr w14:paraId="71AA56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714" w:type="pct"/>
                  <w:tcBorders>
                    <w:tl2br w:val="nil"/>
                    <w:tr2bl w:val="nil"/>
                  </w:tcBorders>
                  <w:noWrap w:val="0"/>
                  <w:vAlign w:val="center"/>
                </w:tcPr>
                <w:p w14:paraId="7407F66B">
                  <w:pPr>
                    <w:widowControl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氨氮</w:t>
                  </w:r>
                </w:p>
              </w:tc>
              <w:tc>
                <w:tcPr>
                  <w:tcW w:w="2285" w:type="pct"/>
                  <w:tcBorders>
                    <w:tl2br w:val="nil"/>
                    <w:tr2bl w:val="nil"/>
                  </w:tcBorders>
                  <w:noWrap w:val="0"/>
                  <w:vAlign w:val="center"/>
                </w:tcPr>
                <w:p w14:paraId="29B9585E">
                  <w:pPr>
                    <w:widowControl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w:t>
                  </w:r>
                </w:p>
              </w:tc>
            </w:tr>
          </w:tbl>
          <w:p w14:paraId="3BE89732">
            <w:pPr>
              <w:keepNext/>
              <w:keepLines/>
              <w:widowControl w:val="0"/>
              <w:autoSpaceDE w:val="0"/>
              <w:autoSpaceDN w:val="0"/>
              <w:bidi w:val="0"/>
              <w:adjustRightInd w:val="0"/>
              <w:snapToGrid w:val="0"/>
              <w:spacing w:before="0" w:beforeLines="0" w:after="0" w:afterLines="0" w:line="360" w:lineRule="auto"/>
              <w:ind w:left="0" w:right="0" w:firstLine="0" w:firstLineChars="0"/>
              <w:jc w:val="both"/>
              <w:outlineLvl w:val="1"/>
              <w:rPr>
                <w:rFonts w:ascii="Times New Roman" w:hAnsi="Times New Roman" w:eastAsia="宋体" w:cs="宋体"/>
                <w:b/>
                <w:bCs/>
                <w:sz w:val="24"/>
                <w:szCs w:val="32"/>
                <w:lang w:val="en-US" w:eastAsia="zh-CN" w:bidi="ar-SA"/>
              </w:rPr>
            </w:pPr>
            <w:r>
              <w:rPr>
                <w:rFonts w:hint="eastAsia" w:ascii="Times New Roman" w:hAnsi="Times New Roman" w:eastAsia="宋体" w:cs="宋体"/>
                <w:b/>
                <w:bCs/>
                <w:sz w:val="24"/>
                <w:szCs w:val="32"/>
                <w:lang w:val="en-US" w:eastAsia="zh-CN" w:bidi="ar-SA"/>
              </w:rPr>
              <w:t>2.4</w:t>
            </w:r>
            <w:r>
              <w:rPr>
                <w:rFonts w:ascii="Times New Roman" w:hAnsi="Times New Roman" w:eastAsia="宋体" w:cs="宋体"/>
                <w:b/>
                <w:bCs/>
                <w:sz w:val="24"/>
                <w:szCs w:val="32"/>
                <w:lang w:val="en-US" w:eastAsia="zh-CN" w:bidi="ar-SA"/>
              </w:rPr>
              <w:t>固废</w:t>
            </w:r>
          </w:p>
          <w:p w14:paraId="75048F98">
            <w:pPr>
              <w:keepNext w:val="0"/>
              <w:keepLines w:val="0"/>
              <w:pageBreakBefore w:val="0"/>
              <w:widowControl w:val="0"/>
              <w:kinsoku/>
              <w:wordWrap w:val="0"/>
              <w:overflowPunct/>
              <w:topLinePunct w:val="0"/>
              <w:autoSpaceDE/>
              <w:autoSpaceDN/>
              <w:bidi w:val="0"/>
              <w:adjustRightInd w:val="0"/>
              <w:snapToGrid w:val="0"/>
              <w:spacing w:line="360" w:lineRule="auto"/>
              <w:ind w:left="0" w:firstLine="480" w:firstLineChars="200"/>
              <w:jc w:val="left"/>
              <w:textAlignment w:val="auto"/>
              <w:rPr>
                <w:rFonts w:ascii="Times New Roman" w:hAnsi="Times New Roman" w:eastAsia="宋体" w:cs="宋体"/>
                <w:color w:val="000000"/>
                <w:kern w:val="0"/>
                <w:sz w:val="24"/>
                <w:szCs w:val="21"/>
              </w:rPr>
            </w:pPr>
            <w:r>
              <w:rPr>
                <w:rFonts w:hint="default" w:ascii="Times New Roman" w:hAnsi="Times New Roman" w:eastAsia="宋体" w:cs="宋体"/>
                <w:color w:val="000000"/>
                <w:kern w:val="0"/>
                <w:sz w:val="24"/>
                <w:szCs w:val="21"/>
                <w:lang w:val="en-US" w:eastAsia="zh-CN"/>
              </w:rPr>
              <w:t>本项目一般固废</w:t>
            </w:r>
            <w:r>
              <w:rPr>
                <w:rFonts w:hint="default" w:ascii="Times New Roman" w:hAnsi="Times New Roman" w:eastAsia="宋体" w:cs="宋体"/>
                <w:color w:val="000000"/>
                <w:kern w:val="0"/>
                <w:sz w:val="24"/>
                <w:szCs w:val="21"/>
                <w:lang w:eastAsia="zh-CN"/>
              </w:rPr>
              <w:t>执行</w:t>
            </w:r>
            <w:r>
              <w:rPr>
                <w:rFonts w:hint="default" w:ascii="Times New Roman" w:hAnsi="Times New Roman" w:eastAsia="宋体" w:cs="宋体"/>
                <w:color w:val="000000"/>
                <w:kern w:val="0"/>
                <w:sz w:val="24"/>
                <w:szCs w:val="21"/>
              </w:rPr>
              <w:t>《</w:t>
            </w:r>
            <w:r>
              <w:rPr>
                <w:rFonts w:hint="default" w:ascii="Times New Roman" w:hAnsi="Times New Roman" w:eastAsia="宋体" w:cs="宋体"/>
                <w:color w:val="000000"/>
                <w:kern w:val="0"/>
                <w:sz w:val="24"/>
                <w:szCs w:val="21"/>
                <w:lang w:val="en-US" w:eastAsia="zh-CN"/>
              </w:rPr>
              <w:t>中华人民共和国固体废物污染环境防治法</w:t>
            </w:r>
            <w:r>
              <w:rPr>
                <w:rFonts w:hint="default" w:ascii="Times New Roman" w:hAnsi="Times New Roman" w:eastAsia="宋体" w:cs="宋体"/>
                <w:color w:val="000000"/>
                <w:kern w:val="0"/>
                <w:sz w:val="24"/>
                <w:szCs w:val="21"/>
              </w:rPr>
              <w:t>》</w:t>
            </w:r>
            <w:r>
              <w:rPr>
                <w:rFonts w:hint="default" w:ascii="Times New Roman" w:hAnsi="Times New Roman" w:eastAsia="宋体" w:cs="宋体"/>
                <w:color w:val="000000"/>
                <w:kern w:val="0"/>
                <w:sz w:val="24"/>
                <w:szCs w:val="21"/>
                <w:lang w:val="en-US" w:eastAsia="zh-CN"/>
              </w:rPr>
              <w:t>中的要求</w:t>
            </w:r>
            <w:r>
              <w:rPr>
                <w:rFonts w:hint="default" w:ascii="Times New Roman" w:hAnsi="Times New Roman" w:eastAsia="宋体" w:cs="宋体"/>
                <w:color w:val="000000"/>
                <w:kern w:val="0"/>
                <w:sz w:val="24"/>
                <w:szCs w:val="21"/>
                <w:lang w:eastAsia="zh-CN"/>
              </w:rPr>
              <w:t>；</w:t>
            </w:r>
          </w:p>
          <w:p w14:paraId="4B036986">
            <w:pPr>
              <w:keepNext w:val="0"/>
              <w:keepLines w:val="0"/>
              <w:pageBreakBefore w:val="0"/>
              <w:widowControl w:val="0"/>
              <w:kinsoku/>
              <w:wordWrap w:val="0"/>
              <w:overflowPunct/>
              <w:topLinePunct w:val="0"/>
              <w:autoSpaceDE/>
              <w:autoSpaceDN/>
              <w:bidi w:val="0"/>
              <w:adjustRightInd w:val="0"/>
              <w:snapToGrid w:val="0"/>
              <w:spacing w:line="360" w:lineRule="auto"/>
              <w:ind w:left="0" w:firstLine="480" w:firstLineChars="200"/>
              <w:jc w:val="left"/>
              <w:textAlignment w:val="auto"/>
              <w:rPr>
                <w:rFonts w:hint="default" w:ascii="Times New Roman" w:hAnsi="Times New Roman" w:eastAsia="宋体" w:cs="Times New Roman"/>
                <w:kern w:val="0"/>
                <w:sz w:val="24"/>
                <w:szCs w:val="24"/>
              </w:rPr>
            </w:pPr>
            <w:r>
              <w:rPr>
                <w:rFonts w:ascii="Times New Roman" w:hAnsi="Times New Roman" w:eastAsia="宋体" w:cs="宋体"/>
                <w:color w:val="000000"/>
                <w:kern w:val="0"/>
                <w:sz w:val="24"/>
                <w:szCs w:val="21"/>
              </w:rPr>
              <w:t>本项目产生的危险废物控制标准执行《危险废物贮存污染控制标准》（GB18597-20</w:t>
            </w:r>
            <w:r>
              <w:rPr>
                <w:rFonts w:hint="eastAsia" w:ascii="Times New Roman" w:hAnsi="Times New Roman" w:eastAsia="宋体" w:cs="宋体"/>
                <w:color w:val="000000"/>
                <w:kern w:val="0"/>
                <w:sz w:val="24"/>
                <w:szCs w:val="21"/>
              </w:rPr>
              <w:t>23</w:t>
            </w:r>
            <w:r>
              <w:rPr>
                <w:rFonts w:ascii="Times New Roman" w:hAnsi="Times New Roman" w:eastAsia="宋体" w:cs="宋体"/>
                <w:color w:val="000000"/>
                <w:kern w:val="0"/>
                <w:sz w:val="24"/>
                <w:szCs w:val="21"/>
              </w:rPr>
              <w:t>）的要求。</w:t>
            </w:r>
          </w:p>
        </w:tc>
      </w:tr>
      <w:tr w14:paraId="6F7EB1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744" w:type="dxa"/>
            <w:tcBorders>
              <w:tl2br w:val="nil"/>
              <w:tr2bl w:val="nil"/>
            </w:tcBorders>
            <w:noWrap w:val="0"/>
            <w:vAlign w:val="center"/>
          </w:tcPr>
          <w:p w14:paraId="56EEBDE0">
            <w:pPr>
              <w:keepNext w:val="0"/>
              <w:pageBreakBefore w:val="0"/>
              <w:kinsoku/>
              <w:overflowPunct/>
              <w:autoSpaceDE/>
              <w:autoSpaceDN/>
              <w:bidi w:val="0"/>
              <w:adjustRightInd w:val="0"/>
              <w:snapToGrid w:val="0"/>
              <w:ind w:left="0"/>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总量</w:t>
            </w:r>
          </w:p>
          <w:p w14:paraId="74FBB31E">
            <w:pPr>
              <w:keepNext w:val="0"/>
              <w:pageBreakBefore w:val="0"/>
              <w:kinsoku/>
              <w:overflowPunct/>
              <w:autoSpaceDE/>
              <w:autoSpaceDN/>
              <w:bidi w:val="0"/>
              <w:adjustRightInd w:val="0"/>
              <w:snapToGrid w:val="0"/>
              <w:ind w:left="0"/>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控制</w:t>
            </w:r>
          </w:p>
          <w:p w14:paraId="07D20040">
            <w:pPr>
              <w:keepNext w:val="0"/>
              <w:pageBreakBefore w:val="0"/>
              <w:kinsoku/>
              <w:overflowPunct/>
              <w:autoSpaceDE/>
              <w:autoSpaceDN/>
              <w:bidi w:val="0"/>
              <w:adjustRightInd w:val="0"/>
              <w:snapToGrid w:val="0"/>
              <w:ind w:left="0"/>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指标</w:t>
            </w:r>
          </w:p>
        </w:tc>
        <w:tc>
          <w:tcPr>
            <w:tcW w:w="8317" w:type="dxa"/>
            <w:tcBorders>
              <w:tl2br w:val="nil"/>
              <w:tr2bl w:val="nil"/>
            </w:tcBorders>
            <w:noWrap w:val="0"/>
            <w:vAlign w:val="center"/>
          </w:tcPr>
          <w:p w14:paraId="0F179E9F">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本项目不涉及总量控制污染物排放。</w:t>
            </w:r>
          </w:p>
        </w:tc>
      </w:tr>
    </w:tbl>
    <w:p w14:paraId="5627C299">
      <w:pPr>
        <w:pStyle w:val="19"/>
        <w:jc w:val="center"/>
        <w:outlineLvl w:val="0"/>
        <w:rPr>
          <w:rFonts w:ascii="黑体" w:hAnsi="黑体" w:eastAsia="黑体"/>
          <w:snapToGrid w:val="0"/>
          <w:sz w:val="30"/>
          <w:szCs w:val="30"/>
          <w:vertAlign w:val="baseline"/>
        </w:rPr>
      </w:pPr>
      <w:r>
        <w:rPr>
          <w:rFonts w:ascii="黑体" w:hAnsi="黑体" w:eastAsia="黑体"/>
          <w:snapToGrid w:val="0"/>
          <w:sz w:val="36"/>
          <w:szCs w:val="36"/>
        </w:rPr>
        <w:br w:type="page"/>
      </w:r>
      <w:r>
        <w:rPr>
          <w:rFonts w:hint="eastAsia" w:ascii="黑体" w:hAnsi="黑体" w:eastAsia="黑体"/>
          <w:snapToGrid w:val="0"/>
          <w:sz w:val="30"/>
          <w:szCs w:val="30"/>
        </w:rPr>
        <w:t>四、主要环境影响和保护措施</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autofit"/>
        <w:tblCellMar>
          <w:top w:w="0" w:type="dxa"/>
          <w:left w:w="108" w:type="dxa"/>
          <w:bottom w:w="0" w:type="dxa"/>
          <w:right w:w="108" w:type="dxa"/>
        </w:tblCellMar>
      </w:tblPr>
      <w:tblGrid>
        <w:gridCol w:w="471"/>
        <w:gridCol w:w="8590"/>
      </w:tblGrid>
      <w:tr w14:paraId="4EF2C003">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c>
          <w:tcPr>
            <w:tcW w:w="260" w:type="pct"/>
            <w:tcBorders>
              <w:tl2br w:val="nil"/>
              <w:tr2bl w:val="nil"/>
            </w:tcBorders>
            <w:noWrap w:val="0"/>
            <w:vAlign w:val="center"/>
          </w:tcPr>
          <w:p w14:paraId="2A3A8E2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Cs/>
                <w:kern w:val="2"/>
                <w:sz w:val="21"/>
                <w:szCs w:val="21"/>
                <w:lang w:val="en-US" w:eastAsia="zh-CN" w:bidi="ar-SA"/>
              </w:rPr>
            </w:pPr>
            <w:r>
              <w:rPr>
                <w:rFonts w:hint="eastAsia" w:ascii="宋体" w:hAnsi="宋体" w:eastAsia="宋体" w:cs="宋体"/>
                <w:b/>
                <w:bCs w:val="0"/>
                <w:kern w:val="2"/>
                <w:sz w:val="24"/>
                <w:szCs w:val="24"/>
                <w:lang w:val="en-US" w:eastAsia="zh-CN" w:bidi="ar-SA"/>
              </w:rPr>
              <w:t>施工期环境保护措施</w:t>
            </w:r>
          </w:p>
        </w:tc>
        <w:tc>
          <w:tcPr>
            <w:tcW w:w="4739" w:type="pct"/>
            <w:tcBorders>
              <w:tl2br w:val="nil"/>
              <w:tr2bl w:val="nil"/>
            </w:tcBorders>
            <w:noWrap w:val="0"/>
            <w:vAlign w:val="center"/>
          </w:tcPr>
          <w:p w14:paraId="3BE821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bCs/>
                <w:spacing w:val="0"/>
                <w:kern w:val="0"/>
                <w:position w:val="0"/>
                <w:sz w:val="24"/>
                <w:highlight w:val="none"/>
                <w:lang w:val="en-US" w:eastAsia="zh-CN"/>
              </w:rPr>
            </w:pPr>
            <w:r>
              <w:rPr>
                <w:rFonts w:hint="default" w:ascii="Times New Roman" w:hAnsi="Times New Roman" w:eastAsia="宋体" w:cs="Times New Roman"/>
                <w:color w:val="000000"/>
                <w:spacing w:val="0"/>
                <w:kern w:val="0"/>
                <w:position w:val="0"/>
                <w:sz w:val="24"/>
                <w:szCs w:val="24"/>
                <w:highlight w:val="none"/>
                <w:lang w:val="en-US" w:eastAsia="zh-CN" w:bidi="ar-SA"/>
              </w:rPr>
              <w:t>本项目预计施工期为</w:t>
            </w:r>
            <w:r>
              <w:rPr>
                <w:rFonts w:hint="eastAsia" w:ascii="Times New Roman" w:hAnsi="Times New Roman" w:eastAsia="宋体" w:cs="Times New Roman"/>
                <w:color w:val="000000"/>
                <w:spacing w:val="0"/>
                <w:kern w:val="0"/>
                <w:position w:val="0"/>
                <w:sz w:val="24"/>
                <w:szCs w:val="24"/>
                <w:highlight w:val="none"/>
                <w:lang w:val="en-US" w:eastAsia="zh-CN" w:bidi="ar-SA"/>
              </w:rPr>
              <w:t>10</w:t>
            </w:r>
            <w:r>
              <w:rPr>
                <w:rFonts w:hint="default" w:ascii="Times New Roman" w:hAnsi="Times New Roman" w:eastAsia="宋体" w:cs="Times New Roman"/>
                <w:color w:val="000000"/>
                <w:spacing w:val="0"/>
                <w:kern w:val="0"/>
                <w:position w:val="0"/>
                <w:sz w:val="24"/>
                <w:szCs w:val="24"/>
                <w:highlight w:val="none"/>
                <w:lang w:val="en-US" w:eastAsia="zh-CN" w:bidi="ar-SA"/>
              </w:rPr>
              <w:t>个月，施工内容主要</w:t>
            </w:r>
            <w:r>
              <w:rPr>
                <w:rFonts w:hint="eastAsia" w:ascii="Times New Roman" w:hAnsi="Times New Roman" w:eastAsia="宋体" w:cs="Times New Roman"/>
                <w:color w:val="000000"/>
                <w:spacing w:val="0"/>
                <w:kern w:val="0"/>
                <w:position w:val="0"/>
                <w:sz w:val="24"/>
                <w:szCs w:val="24"/>
                <w:highlight w:val="none"/>
                <w:lang w:val="en-US" w:eastAsia="zh-CN" w:bidi="ar-SA"/>
              </w:rPr>
              <w:t>为1#厂房、2#厂房、原料堆棚、办公楼、门卫室等内容。</w:t>
            </w:r>
            <w:r>
              <w:rPr>
                <w:rFonts w:hint="default" w:ascii="Times New Roman" w:hAnsi="Times New Roman" w:eastAsia="宋体" w:cs="Times New Roman"/>
                <w:color w:val="000000"/>
                <w:spacing w:val="0"/>
                <w:kern w:val="0"/>
                <w:position w:val="0"/>
                <w:sz w:val="24"/>
                <w:szCs w:val="24"/>
                <w:highlight w:val="none"/>
                <w:lang w:val="en-US" w:eastAsia="zh-CN" w:bidi="ar-SA"/>
              </w:rPr>
              <w:t>在此期间将产生噪声</w:t>
            </w:r>
            <w:r>
              <w:rPr>
                <w:rFonts w:hint="eastAsia" w:ascii="Times New Roman" w:hAnsi="Times New Roman" w:eastAsia="宋体" w:cs="Times New Roman"/>
                <w:color w:val="000000"/>
                <w:spacing w:val="0"/>
                <w:kern w:val="0"/>
                <w:position w:val="0"/>
                <w:sz w:val="24"/>
                <w:szCs w:val="24"/>
                <w:highlight w:val="none"/>
                <w:lang w:val="en-US" w:eastAsia="zh-CN" w:bidi="ar-SA"/>
              </w:rPr>
              <w:t>和施工垃圾</w:t>
            </w:r>
            <w:r>
              <w:rPr>
                <w:rFonts w:hint="default" w:ascii="Times New Roman" w:hAnsi="Times New Roman" w:eastAsia="宋体" w:cs="Times New Roman"/>
                <w:color w:val="000000"/>
                <w:spacing w:val="0"/>
                <w:kern w:val="0"/>
                <w:position w:val="0"/>
                <w:sz w:val="24"/>
                <w:szCs w:val="24"/>
                <w:highlight w:val="none"/>
                <w:lang w:val="en-US" w:eastAsia="zh-CN" w:bidi="ar-SA"/>
              </w:rPr>
              <w:t>等。此外，物料运输也将对运输路线两侧一定范围内大气、声环境产生不利影响。</w:t>
            </w:r>
          </w:p>
          <w:p w14:paraId="4017F8E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spacing w:val="0"/>
                <w:kern w:val="0"/>
                <w:position w:val="0"/>
                <w:sz w:val="24"/>
                <w:highlight w:val="none"/>
                <w:lang w:val="en-US" w:eastAsia="zh-CN"/>
              </w:rPr>
            </w:pPr>
            <w:r>
              <w:rPr>
                <w:rFonts w:hint="default" w:ascii="Times New Roman" w:hAnsi="Times New Roman" w:eastAsia="宋体" w:cs="Times New Roman"/>
                <w:b/>
                <w:bCs/>
                <w:spacing w:val="0"/>
                <w:kern w:val="0"/>
                <w:position w:val="0"/>
                <w:sz w:val="24"/>
                <w:highlight w:val="none"/>
                <w:lang w:val="en-US" w:eastAsia="zh-CN"/>
              </w:rPr>
              <w:t>1、施工废气环境影响保护措施</w:t>
            </w:r>
          </w:p>
          <w:p w14:paraId="0ED9FE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项目施工过程主要大气污染物为施工机械设备及运输车辆尾气、运输道路扬尘和施工粉尘等。为了减少施工粉尘对周边环境的影响，施工期大气环境保护措施见下：</w:t>
            </w:r>
          </w:p>
          <w:p w14:paraId="3A5883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（1）</w:t>
            </w:r>
            <w:r>
              <w:rPr>
                <w:rFonts w:hint="default" w:ascii="Times New Roman" w:hAnsi="Times New Roman" w:eastAsia="宋体" w:cs="Times New Roman"/>
                <w:color w:val="auto"/>
                <w:kern w:val="0"/>
                <w:sz w:val="24"/>
                <w:highlight w:val="none"/>
                <w:lang w:val="en-US" w:eastAsia="zh-CN"/>
              </w:rPr>
              <w:t>扬尘管控按“六个100%”落实：现场主要道路100%硬化，裸露土方及物料100%覆盖，运输车辆100%密闭且出场前100%冲洗，施工围挡100%封闭，作业区100%湿法降尘。</w:t>
            </w:r>
          </w:p>
          <w:p w14:paraId="427AEE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（2）</w:t>
            </w:r>
            <w:r>
              <w:rPr>
                <w:rFonts w:hint="default" w:ascii="Times New Roman" w:hAnsi="Times New Roman" w:eastAsia="宋体" w:cs="Times New Roman"/>
                <w:color w:val="auto"/>
                <w:kern w:val="0"/>
                <w:sz w:val="24"/>
                <w:highlight w:val="none"/>
                <w:lang w:val="en-US" w:eastAsia="zh-CN"/>
              </w:rPr>
              <w:t>作业扬尘精准控制：土方作业时洒水频次不低于每2小时1次，作业区目测扬尘高度小于1.5m；结构施工阶段扬尘高度小于0.5m，四级以上大风天气停止土方及拆除作业</w:t>
            </w:r>
            <w:r>
              <w:rPr>
                <w:rFonts w:hint="eastAsia" w:cs="Times New Roman"/>
                <w:color w:val="auto"/>
                <w:kern w:val="0"/>
                <w:sz w:val="24"/>
                <w:highlight w:val="none"/>
                <w:lang w:val="en-US" w:eastAsia="zh-CN"/>
              </w:rPr>
              <w:t>。</w:t>
            </w:r>
          </w:p>
          <w:p w14:paraId="6899C5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综上所述，通过采取扬尘治理措施，项目施工过</w:t>
            </w:r>
            <w:r>
              <w:rPr>
                <w:rFonts w:hint="eastAsia" w:cs="Times New Roman"/>
                <w:color w:val="auto"/>
                <w:kern w:val="0"/>
                <w:sz w:val="24"/>
                <w:highlight w:val="none"/>
                <w:lang w:val="en-US" w:eastAsia="zh-CN"/>
              </w:rPr>
              <w:t>程中</w:t>
            </w:r>
            <w:r>
              <w:rPr>
                <w:rFonts w:hint="default" w:ascii="Times New Roman" w:hAnsi="Times New Roman" w:eastAsia="宋体" w:cs="Times New Roman"/>
                <w:color w:val="auto"/>
                <w:kern w:val="0"/>
                <w:sz w:val="24"/>
                <w:highlight w:val="none"/>
                <w:lang w:val="en-US" w:eastAsia="zh-CN"/>
              </w:rPr>
              <w:t>产生的扬尘对项目区大气环境影响较小。</w:t>
            </w:r>
          </w:p>
          <w:p w14:paraId="43E3050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spacing w:val="0"/>
                <w:kern w:val="0"/>
                <w:position w:val="0"/>
                <w:sz w:val="24"/>
                <w:highlight w:val="none"/>
                <w:lang w:val="en-US" w:eastAsia="zh-CN"/>
              </w:rPr>
            </w:pPr>
            <w:r>
              <w:rPr>
                <w:rFonts w:hint="default" w:ascii="Times New Roman" w:hAnsi="Times New Roman" w:eastAsia="宋体" w:cs="Times New Roman"/>
                <w:b/>
                <w:bCs/>
                <w:spacing w:val="0"/>
                <w:kern w:val="0"/>
                <w:position w:val="0"/>
                <w:sz w:val="24"/>
                <w:highlight w:val="none"/>
                <w:lang w:val="en-US" w:eastAsia="zh-CN"/>
              </w:rPr>
              <w:t>2、施工期水环境影响分析及保护措施</w:t>
            </w:r>
          </w:p>
          <w:p w14:paraId="48E3C4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spacing w:val="0"/>
                <w:kern w:val="0"/>
                <w:position w:val="0"/>
                <w:sz w:val="24"/>
                <w:highlight w:val="none"/>
                <w:lang w:val="en-US" w:eastAsia="zh-CN"/>
              </w:rPr>
            </w:pPr>
            <w:r>
              <w:rPr>
                <w:rFonts w:hint="default" w:ascii="Times New Roman" w:hAnsi="Times New Roman" w:eastAsia="宋体" w:cs="Times New Roman"/>
                <w:spacing w:val="0"/>
                <w:kern w:val="0"/>
                <w:position w:val="0"/>
                <w:sz w:val="24"/>
                <w:highlight w:val="none"/>
                <w:lang w:val="en-US" w:eastAsia="zh-CN"/>
              </w:rPr>
              <w:t>施工</w:t>
            </w:r>
            <w:r>
              <w:rPr>
                <w:rFonts w:hint="eastAsia" w:cs="Times New Roman"/>
                <w:spacing w:val="0"/>
                <w:kern w:val="0"/>
                <w:position w:val="0"/>
                <w:sz w:val="24"/>
                <w:highlight w:val="none"/>
                <w:lang w:val="en-US" w:eastAsia="zh-CN"/>
              </w:rPr>
              <w:t>期间</w:t>
            </w:r>
            <w:r>
              <w:rPr>
                <w:rFonts w:hint="default" w:ascii="Times New Roman" w:hAnsi="Times New Roman" w:eastAsia="宋体" w:cs="Times New Roman"/>
                <w:spacing w:val="0"/>
                <w:kern w:val="0"/>
                <w:position w:val="0"/>
                <w:sz w:val="24"/>
                <w:highlight w:val="none"/>
                <w:lang w:val="en-US" w:eastAsia="zh-CN"/>
              </w:rPr>
              <w:t>主要废</w:t>
            </w:r>
            <w:r>
              <w:rPr>
                <w:rFonts w:hint="eastAsia" w:ascii="Times New Roman" w:hAnsi="Times New Roman" w:eastAsia="宋体" w:cs="Times New Roman"/>
                <w:spacing w:val="0"/>
                <w:kern w:val="0"/>
                <w:position w:val="0"/>
                <w:sz w:val="24"/>
                <w:highlight w:val="none"/>
                <w:lang w:val="en-US" w:eastAsia="zh-CN"/>
              </w:rPr>
              <w:t>为施工人员生活污水</w:t>
            </w:r>
            <w:r>
              <w:rPr>
                <w:rFonts w:hint="default" w:ascii="Times New Roman" w:hAnsi="Times New Roman" w:eastAsia="宋体" w:cs="Times New Roman"/>
                <w:b w:val="0"/>
                <w:bCs w:val="0"/>
                <w:spacing w:val="0"/>
                <w:kern w:val="0"/>
                <w:position w:val="0"/>
                <w:sz w:val="24"/>
                <w:highlight w:val="none"/>
                <w:lang w:val="en-US" w:eastAsia="zh-CN"/>
              </w:rPr>
              <w:t>等。</w:t>
            </w:r>
          </w:p>
          <w:p w14:paraId="6ADB1A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spacing w:val="0"/>
                <w:kern w:val="0"/>
                <w:position w:val="0"/>
                <w:sz w:val="24"/>
                <w:highlight w:val="none"/>
                <w:lang w:val="en-US" w:eastAsia="zh-CN"/>
              </w:rPr>
            </w:pPr>
            <w:r>
              <w:rPr>
                <w:rFonts w:hint="default" w:ascii="Times New Roman" w:hAnsi="Times New Roman" w:eastAsia="宋体" w:cs="Times New Roman"/>
                <w:b w:val="0"/>
                <w:bCs w:val="0"/>
                <w:spacing w:val="0"/>
                <w:kern w:val="0"/>
                <w:position w:val="0"/>
                <w:sz w:val="24"/>
                <w:highlight w:val="none"/>
                <w:lang w:val="en-US" w:eastAsia="zh-CN"/>
              </w:rPr>
              <w:t>施工人员食宿不在项目区内，不设生活营地，</w:t>
            </w:r>
            <w:r>
              <w:rPr>
                <w:rFonts w:hint="eastAsia" w:ascii="Times New Roman" w:hAnsi="Times New Roman" w:eastAsia="宋体" w:cs="Times New Roman"/>
                <w:b w:val="0"/>
                <w:bCs w:val="0"/>
                <w:spacing w:val="0"/>
                <w:kern w:val="0"/>
                <w:position w:val="0"/>
                <w:sz w:val="24"/>
                <w:highlight w:val="none"/>
                <w:lang w:val="en-US" w:eastAsia="zh-CN"/>
              </w:rPr>
              <w:t>施工场地设置环保水冲厕，废水排入园区下水管网。</w:t>
            </w:r>
          </w:p>
          <w:p w14:paraId="58ECA853">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spacing w:val="0"/>
                <w:kern w:val="0"/>
                <w:position w:val="0"/>
                <w:sz w:val="24"/>
                <w:highlight w:val="none"/>
                <w:lang w:val="en-US" w:eastAsia="zh-CN"/>
              </w:rPr>
            </w:pPr>
            <w:r>
              <w:rPr>
                <w:rFonts w:hint="default" w:ascii="Times New Roman" w:hAnsi="Times New Roman" w:eastAsia="宋体" w:cs="Times New Roman"/>
                <w:b/>
                <w:bCs/>
                <w:spacing w:val="0"/>
                <w:kern w:val="0"/>
                <w:position w:val="0"/>
                <w:sz w:val="24"/>
                <w:highlight w:val="none"/>
                <w:lang w:val="en-US" w:eastAsia="zh-CN"/>
              </w:rPr>
              <w:t>3、施工噪声环境影响分析及保护措施</w:t>
            </w:r>
          </w:p>
          <w:p w14:paraId="314932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highlight w:val="none"/>
                <w:lang w:val="en-US" w:eastAsia="zh-CN"/>
              </w:rPr>
            </w:pPr>
            <w:r>
              <w:rPr>
                <w:rFonts w:hint="default" w:ascii="Times New Roman" w:hAnsi="Times New Roman" w:eastAsia="宋体" w:cs="Times New Roman"/>
                <w:spacing w:val="0"/>
                <w:kern w:val="0"/>
                <w:position w:val="0"/>
                <w:sz w:val="24"/>
                <w:highlight w:val="none"/>
                <w:lang w:val="en-US" w:eastAsia="zh-CN"/>
              </w:rPr>
              <w:t>为最大限度避免和减轻施工及运输噪声对周围声环境的不利影响，建议建设单位在进行工程施工时采取以下噪声控制对策和措施：</w:t>
            </w:r>
          </w:p>
          <w:p w14:paraId="72880A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highlight w:val="none"/>
                <w:lang w:val="en-US" w:eastAsia="zh-CN"/>
              </w:rPr>
            </w:pPr>
            <w:r>
              <w:rPr>
                <w:rFonts w:hint="default" w:ascii="Times New Roman" w:hAnsi="Times New Roman" w:eastAsia="宋体" w:cs="Times New Roman"/>
                <w:spacing w:val="0"/>
                <w:kern w:val="0"/>
                <w:position w:val="0"/>
                <w:sz w:val="24"/>
                <w:highlight w:val="none"/>
                <w:lang w:val="en-US" w:eastAsia="zh-CN"/>
              </w:rPr>
              <w:t>①合理布局施工场地；</w:t>
            </w:r>
          </w:p>
          <w:p w14:paraId="4E734E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highlight w:val="none"/>
                <w:lang w:val="en-US" w:eastAsia="zh-CN"/>
              </w:rPr>
            </w:pPr>
            <w:r>
              <w:rPr>
                <w:rFonts w:hint="default" w:ascii="Times New Roman" w:hAnsi="Times New Roman" w:eastAsia="宋体" w:cs="Times New Roman"/>
                <w:spacing w:val="0"/>
                <w:kern w:val="0"/>
                <w:position w:val="0"/>
                <w:sz w:val="24"/>
                <w:highlight w:val="none"/>
                <w:lang w:val="en-US" w:eastAsia="zh-CN"/>
              </w:rPr>
              <w:t>②合理安排施工时间，强噪声作业尽量安排在白天进行，严禁夜间高噪声设备施工；</w:t>
            </w:r>
          </w:p>
          <w:p w14:paraId="6C038F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highlight w:val="none"/>
                <w:lang w:val="en-US" w:eastAsia="zh-CN"/>
              </w:rPr>
            </w:pPr>
            <w:r>
              <w:rPr>
                <w:rFonts w:hint="default" w:ascii="Times New Roman" w:hAnsi="Times New Roman" w:eastAsia="宋体" w:cs="Times New Roman"/>
                <w:spacing w:val="0"/>
                <w:kern w:val="0"/>
                <w:position w:val="0"/>
                <w:sz w:val="24"/>
                <w:highlight w:val="none"/>
                <w:lang w:val="en-US" w:eastAsia="zh-CN"/>
              </w:rPr>
              <w:t>③施工现场提倡文明施工，建立健全控制人为噪声的管理制度，尽量减少人为的大声喧哗，增强全体施工人员的防噪声扰民的自觉意识；</w:t>
            </w:r>
          </w:p>
          <w:p w14:paraId="6AA609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highlight w:val="none"/>
                <w:lang w:val="en-US" w:eastAsia="zh-CN"/>
              </w:rPr>
            </w:pPr>
            <w:r>
              <w:rPr>
                <w:rFonts w:hint="default" w:ascii="Times New Roman" w:hAnsi="Times New Roman" w:eastAsia="宋体" w:cs="Times New Roman"/>
                <w:spacing w:val="0"/>
                <w:kern w:val="0"/>
                <w:position w:val="0"/>
                <w:sz w:val="24"/>
                <w:highlight w:val="none"/>
                <w:lang w:val="en-US" w:eastAsia="zh-CN"/>
              </w:rPr>
              <w:t>④运输材料及设备时，必须轻拿轻放，严禁野蛮装卸，并在装卸点铺垫草包等降噪物体；大型物件装卸，应当使用起吊设备，严禁汽车自卸；</w:t>
            </w:r>
          </w:p>
          <w:p w14:paraId="706867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highlight w:val="none"/>
                <w:lang w:val="en-US" w:eastAsia="zh-CN"/>
              </w:rPr>
            </w:pPr>
            <w:r>
              <w:rPr>
                <w:rFonts w:hint="default" w:ascii="Times New Roman" w:hAnsi="Times New Roman" w:eastAsia="宋体" w:cs="Times New Roman"/>
                <w:spacing w:val="0"/>
                <w:kern w:val="0"/>
                <w:position w:val="0"/>
                <w:sz w:val="24"/>
                <w:highlight w:val="none"/>
                <w:lang w:val="en-US" w:eastAsia="zh-CN"/>
              </w:rPr>
              <w:t>⑤材料运输等汽车进场安排专人指挥，场内禁止运输车辆鸣笛；材料装卸采用人工传递，严禁抛掷或汽车一次性下料；</w:t>
            </w:r>
          </w:p>
          <w:p w14:paraId="7EF0E9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highlight w:val="none"/>
                <w:lang w:val="en-US" w:eastAsia="zh-CN"/>
              </w:rPr>
            </w:pPr>
            <w:r>
              <w:rPr>
                <w:rFonts w:hint="default" w:ascii="Times New Roman" w:hAnsi="Times New Roman" w:eastAsia="宋体" w:cs="Times New Roman"/>
                <w:spacing w:val="0"/>
                <w:kern w:val="0"/>
                <w:position w:val="0"/>
                <w:sz w:val="24"/>
                <w:highlight w:val="none"/>
                <w:lang w:val="en-US" w:eastAsia="zh-CN"/>
              </w:rPr>
              <w:t>⑥建材、施工机械器具、建渣等的运输尽量选择影响最小的路线，途</w:t>
            </w:r>
            <w:r>
              <w:rPr>
                <w:rFonts w:hint="eastAsia" w:ascii="Times New Roman" w:hAnsi="Times New Roman" w:eastAsia="宋体" w:cs="Times New Roman"/>
                <w:spacing w:val="0"/>
                <w:kern w:val="0"/>
                <w:position w:val="0"/>
                <w:sz w:val="24"/>
                <w:highlight w:val="none"/>
                <w:lang w:val="en-US" w:eastAsia="zh-CN"/>
              </w:rPr>
              <w:t>经</w:t>
            </w:r>
            <w:r>
              <w:rPr>
                <w:rFonts w:hint="default" w:ascii="Times New Roman" w:hAnsi="Times New Roman" w:eastAsia="宋体" w:cs="Times New Roman"/>
                <w:spacing w:val="0"/>
                <w:kern w:val="0"/>
                <w:position w:val="0"/>
                <w:sz w:val="24"/>
                <w:highlight w:val="none"/>
                <w:lang w:val="en-US" w:eastAsia="zh-CN"/>
              </w:rPr>
              <w:t>敏感点时减速慢行，严禁鸣笛；</w:t>
            </w:r>
          </w:p>
          <w:p w14:paraId="5D4909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highlight w:val="none"/>
                <w:lang w:val="en-US" w:eastAsia="zh-CN"/>
              </w:rPr>
            </w:pPr>
            <w:r>
              <w:rPr>
                <w:rFonts w:hint="default" w:ascii="Times New Roman" w:hAnsi="Times New Roman" w:eastAsia="宋体" w:cs="Times New Roman"/>
                <w:spacing w:val="0"/>
                <w:kern w:val="0"/>
                <w:position w:val="0"/>
                <w:sz w:val="24"/>
                <w:highlight w:val="none"/>
                <w:lang w:val="en-US" w:eastAsia="zh-CN"/>
              </w:rPr>
              <w:t>⑦项目施工管理由专人负责，并设定专门负责人定期对该区的施工噪声污染防治措施以及环保管理进行检查和核实，严格按照国家的施工噪声防治和管理规范中的相关规程要求进行治理，尽量减少施工噪声对外环境的影响程度。</w:t>
            </w:r>
          </w:p>
          <w:p w14:paraId="5BE4E1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highlight w:val="none"/>
                <w:lang w:val="en-US" w:eastAsia="zh-CN"/>
              </w:rPr>
            </w:pPr>
            <w:r>
              <w:rPr>
                <w:rFonts w:hint="default" w:ascii="Times New Roman" w:hAnsi="Times New Roman" w:eastAsia="宋体" w:cs="Times New Roman"/>
                <w:spacing w:val="0"/>
                <w:kern w:val="0"/>
                <w:position w:val="0"/>
                <w:sz w:val="24"/>
                <w:highlight w:val="none"/>
                <w:lang w:val="en-US" w:eastAsia="zh-CN"/>
              </w:rPr>
              <w:t>采取上述措施后，施工期间的厂界噪声能够满足《建筑施工场界环境噪声排放标准》（GB12523-2011）标准要求。</w:t>
            </w:r>
          </w:p>
          <w:p w14:paraId="112833F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spacing w:val="0"/>
                <w:kern w:val="0"/>
                <w:position w:val="0"/>
                <w:sz w:val="24"/>
                <w:highlight w:val="none"/>
                <w:lang w:val="en-US" w:eastAsia="zh-CN"/>
              </w:rPr>
            </w:pPr>
            <w:r>
              <w:rPr>
                <w:rFonts w:hint="default" w:ascii="Times New Roman" w:hAnsi="Times New Roman" w:eastAsia="宋体" w:cs="Times New Roman"/>
                <w:b/>
                <w:bCs/>
                <w:spacing w:val="0"/>
                <w:kern w:val="0"/>
                <w:position w:val="0"/>
                <w:sz w:val="24"/>
                <w:highlight w:val="none"/>
                <w:lang w:val="en-US" w:eastAsia="zh-CN"/>
              </w:rPr>
              <w:t>4、固体废物影响分析及治理措施</w:t>
            </w:r>
          </w:p>
          <w:p w14:paraId="6426B8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highlight w:val="none"/>
                <w:lang w:val="en-US" w:eastAsia="zh-CN"/>
              </w:rPr>
            </w:pPr>
            <w:r>
              <w:rPr>
                <w:rFonts w:hint="default" w:ascii="Times New Roman" w:hAnsi="Times New Roman" w:eastAsia="宋体" w:cs="Times New Roman"/>
                <w:spacing w:val="0"/>
                <w:kern w:val="0"/>
                <w:position w:val="0"/>
                <w:sz w:val="24"/>
                <w:highlight w:val="none"/>
                <w:lang w:val="en-US" w:eastAsia="zh-CN"/>
              </w:rPr>
              <w:t>施工期固体废物主要为弃土石方、建筑废物及生活垃圾。</w:t>
            </w:r>
          </w:p>
          <w:p w14:paraId="42B22F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highlight w:val="none"/>
                <w:lang w:val="en-US" w:eastAsia="zh-CN"/>
              </w:rPr>
            </w:pPr>
            <w:r>
              <w:rPr>
                <w:rFonts w:hint="default" w:ascii="Times New Roman" w:hAnsi="Times New Roman" w:eastAsia="宋体" w:cs="Times New Roman"/>
                <w:spacing w:val="0"/>
                <w:kern w:val="0"/>
                <w:position w:val="0"/>
                <w:sz w:val="24"/>
                <w:highlight w:val="none"/>
                <w:lang w:val="en-US" w:eastAsia="zh-CN"/>
              </w:rPr>
              <w:t>（1）弃土石方</w:t>
            </w:r>
          </w:p>
          <w:p w14:paraId="0E9EE2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highlight w:val="none"/>
                <w:lang w:val="en-US" w:eastAsia="zh-CN"/>
              </w:rPr>
            </w:pPr>
            <w:r>
              <w:rPr>
                <w:rFonts w:hint="default" w:ascii="Times New Roman" w:hAnsi="Times New Roman" w:eastAsia="宋体" w:cs="Times New Roman"/>
                <w:spacing w:val="0"/>
                <w:kern w:val="0"/>
                <w:position w:val="0"/>
                <w:sz w:val="24"/>
                <w:highlight w:val="none"/>
                <w:lang w:val="en-US" w:eastAsia="zh-CN"/>
              </w:rPr>
              <w:t>本项目位于园区内，园区整体地势较平坦，项目产生的土石方全部用于场地调整场平及绿化，无弃土产生</w:t>
            </w:r>
          </w:p>
          <w:p w14:paraId="7AB862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highlight w:val="none"/>
                <w:lang w:val="en-US" w:eastAsia="zh-CN"/>
              </w:rPr>
            </w:pPr>
            <w:r>
              <w:rPr>
                <w:rFonts w:hint="default" w:ascii="Times New Roman" w:hAnsi="Times New Roman" w:eastAsia="宋体" w:cs="Times New Roman"/>
                <w:spacing w:val="0"/>
                <w:kern w:val="0"/>
                <w:position w:val="0"/>
                <w:sz w:val="24"/>
                <w:highlight w:val="none"/>
                <w:lang w:val="en-US" w:eastAsia="zh-CN"/>
              </w:rPr>
              <w:t>（2）建筑废物</w:t>
            </w:r>
          </w:p>
          <w:p w14:paraId="662926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highlight w:val="none"/>
                <w:lang w:val="en-US" w:eastAsia="zh-CN"/>
              </w:rPr>
            </w:pPr>
            <w:r>
              <w:rPr>
                <w:rFonts w:hint="default" w:ascii="Times New Roman" w:hAnsi="Times New Roman" w:eastAsia="宋体" w:cs="Times New Roman"/>
                <w:spacing w:val="0"/>
                <w:kern w:val="0"/>
                <w:position w:val="0"/>
                <w:sz w:val="24"/>
                <w:highlight w:val="none"/>
                <w:lang w:val="en-US" w:eastAsia="zh-CN"/>
              </w:rPr>
              <w:t>施工</w:t>
            </w:r>
            <w:r>
              <w:rPr>
                <w:rFonts w:hint="eastAsia" w:ascii="Times New Roman" w:hAnsi="Times New Roman" w:eastAsia="宋体" w:cs="Times New Roman"/>
                <w:spacing w:val="0"/>
                <w:kern w:val="0"/>
                <w:position w:val="0"/>
                <w:sz w:val="24"/>
                <w:highlight w:val="none"/>
                <w:lang w:val="en-US" w:eastAsia="zh-CN"/>
              </w:rPr>
              <w:t>期间</w:t>
            </w:r>
            <w:r>
              <w:rPr>
                <w:rFonts w:hint="default" w:ascii="Times New Roman" w:hAnsi="Times New Roman" w:eastAsia="宋体" w:cs="Times New Roman"/>
                <w:spacing w:val="0"/>
                <w:kern w:val="0"/>
                <w:position w:val="0"/>
                <w:sz w:val="24"/>
                <w:highlight w:val="none"/>
                <w:lang w:val="en-US" w:eastAsia="zh-CN"/>
              </w:rPr>
              <w:t>建筑废物主要包括建筑施工废料和装修垃圾，对于施工期间产生的可回收利用的废料通过分类收集后交废物收购站；对不能回收再利用的建筑废物集中收集后堆放在指定地点，最终运至</w:t>
            </w:r>
            <w:r>
              <w:rPr>
                <w:rFonts w:hint="eastAsia" w:ascii="Times New Roman" w:hAnsi="Times New Roman" w:eastAsia="宋体" w:cs="Times New Roman"/>
                <w:spacing w:val="0"/>
                <w:kern w:val="0"/>
                <w:position w:val="0"/>
                <w:sz w:val="24"/>
                <w:highlight w:val="none"/>
                <w:lang w:val="en-US" w:eastAsia="zh-CN"/>
              </w:rPr>
              <w:t>和静县</w:t>
            </w:r>
            <w:r>
              <w:rPr>
                <w:rFonts w:hint="default" w:ascii="Times New Roman" w:hAnsi="Times New Roman" w:eastAsia="宋体" w:cs="Times New Roman"/>
                <w:spacing w:val="0"/>
                <w:kern w:val="0"/>
                <w:position w:val="0"/>
                <w:sz w:val="24"/>
                <w:highlight w:val="none"/>
                <w:lang w:val="en-US" w:eastAsia="zh-CN"/>
              </w:rPr>
              <w:t>住建部门指定地点处理。</w:t>
            </w:r>
          </w:p>
          <w:p w14:paraId="73E9A2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highlight w:val="none"/>
                <w:lang w:val="en-US" w:eastAsia="zh-CN"/>
              </w:rPr>
            </w:pPr>
            <w:r>
              <w:rPr>
                <w:rFonts w:hint="default" w:ascii="Times New Roman" w:hAnsi="Times New Roman" w:eastAsia="宋体" w:cs="Times New Roman"/>
                <w:spacing w:val="0"/>
                <w:kern w:val="0"/>
                <w:position w:val="0"/>
                <w:sz w:val="24"/>
                <w:highlight w:val="none"/>
                <w:lang w:val="en-US" w:eastAsia="zh-CN"/>
              </w:rPr>
              <w:t>（3）施工生活垃圾</w:t>
            </w:r>
          </w:p>
          <w:p w14:paraId="23448F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highlight w:val="none"/>
                <w:lang w:val="en-US" w:eastAsia="zh-CN"/>
              </w:rPr>
            </w:pPr>
            <w:r>
              <w:rPr>
                <w:rFonts w:hint="default" w:ascii="Times New Roman" w:hAnsi="Times New Roman" w:eastAsia="宋体" w:cs="Times New Roman"/>
                <w:spacing w:val="0"/>
                <w:kern w:val="0"/>
                <w:position w:val="0"/>
                <w:sz w:val="24"/>
                <w:highlight w:val="none"/>
                <w:lang w:val="en-US" w:eastAsia="zh-CN"/>
              </w:rPr>
              <w:t>项目施工高峰期时施工人员约</w:t>
            </w:r>
            <w:r>
              <w:rPr>
                <w:rFonts w:hint="eastAsia" w:ascii="Times New Roman" w:hAnsi="Times New Roman" w:eastAsia="宋体" w:cs="Times New Roman"/>
                <w:spacing w:val="0"/>
                <w:kern w:val="0"/>
                <w:position w:val="0"/>
                <w:sz w:val="24"/>
                <w:highlight w:val="none"/>
                <w:lang w:val="en-US" w:eastAsia="zh-CN"/>
              </w:rPr>
              <w:t>1</w:t>
            </w:r>
            <w:r>
              <w:rPr>
                <w:rFonts w:hint="default" w:ascii="Times New Roman" w:hAnsi="Times New Roman" w:eastAsia="宋体" w:cs="Times New Roman"/>
                <w:spacing w:val="0"/>
                <w:kern w:val="0"/>
                <w:position w:val="0"/>
                <w:sz w:val="24"/>
                <w:highlight w:val="none"/>
                <w:lang w:val="en-US" w:eastAsia="zh-CN"/>
              </w:rPr>
              <w:t>0人，生活垃圾按0.2kg/人.d计，生活垃圾产生量10kg/d</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spacing w:val="0"/>
                <w:kern w:val="0"/>
                <w:position w:val="0"/>
                <w:sz w:val="24"/>
                <w:highlight w:val="none"/>
                <w:lang w:val="en-US" w:eastAsia="zh-CN"/>
              </w:rPr>
              <w:t>人，本项目施工人员产生的生活垃圾经收集后，由环卫部门统一清运。</w:t>
            </w:r>
          </w:p>
          <w:p w14:paraId="6DC14D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highlight w:val="none"/>
                <w:lang w:val="en-US" w:eastAsia="zh-CN"/>
              </w:rPr>
            </w:pPr>
            <w:r>
              <w:rPr>
                <w:rFonts w:hint="default" w:ascii="Times New Roman" w:hAnsi="Times New Roman" w:eastAsia="宋体" w:cs="Times New Roman"/>
                <w:spacing w:val="0"/>
                <w:kern w:val="0"/>
                <w:position w:val="0"/>
                <w:sz w:val="24"/>
                <w:highlight w:val="none"/>
                <w:lang w:val="en-US" w:eastAsia="zh-CN"/>
              </w:rPr>
              <w:t>根据《中华人民共和国固体废物污染环境防治法》的有关内容，应该特别注意对临时垃圾堆放点的维护管理，避免垃圾的随意堆放造成垃圾四处散落，同时对堆放点定期喷杀菌、杀虫药水，减少蚊虫和病菌的滋生。施工人员生活垃圾，交市政环卫部门清运处理，做到“日产日清”，严禁就地填埋。施工单位应在三十日内将建筑垃圾全部清除。</w:t>
            </w:r>
          </w:p>
          <w:p w14:paraId="543779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highlight w:val="none"/>
                <w:lang w:val="en-US" w:eastAsia="zh-CN"/>
              </w:rPr>
            </w:pPr>
            <w:r>
              <w:rPr>
                <w:rFonts w:hint="default" w:ascii="Times New Roman" w:hAnsi="Times New Roman" w:eastAsia="宋体" w:cs="Times New Roman"/>
                <w:spacing w:val="0"/>
                <w:kern w:val="0"/>
                <w:position w:val="0"/>
                <w:sz w:val="24"/>
                <w:highlight w:val="none"/>
                <w:lang w:val="en-US" w:eastAsia="zh-CN"/>
              </w:rPr>
              <w:t>综上所述，项目施工期在严格落实了本环评提出的上述措施后，其施工期的固体废弃物可实现清洁处理和处置，不会造成二次污染。</w:t>
            </w:r>
          </w:p>
          <w:p w14:paraId="56923B3A">
            <w:pPr>
              <w:adjustRightInd w:val="0"/>
              <w:snapToGrid w:val="0"/>
              <w:spacing w:line="360" w:lineRule="auto"/>
              <w:rPr>
                <w:rFonts w:ascii="宋体" w:hAnsi="宋体" w:cs="宋体"/>
                <w:bCs/>
                <w:spacing w:val="-10"/>
                <w:kern w:val="2"/>
                <w:sz w:val="21"/>
                <w:szCs w:val="21"/>
                <w:lang w:val="en-US" w:eastAsia="zh-CN" w:bidi="ar-SA"/>
              </w:rPr>
            </w:pPr>
          </w:p>
        </w:tc>
      </w:tr>
    </w:tbl>
    <w:p w14:paraId="4155A77B">
      <w:pPr>
        <w:pStyle w:val="19"/>
        <w:jc w:val="center"/>
        <w:outlineLvl w:val="0"/>
        <w:rPr>
          <w:rFonts w:ascii="黑体" w:hAnsi="黑体" w:eastAsia="黑体"/>
          <w:snapToGrid w:val="0"/>
          <w:sz w:val="30"/>
          <w:szCs w:val="30"/>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fixed"/>
        <w:tblCellMar>
          <w:top w:w="0" w:type="dxa"/>
          <w:left w:w="108" w:type="dxa"/>
          <w:bottom w:w="0" w:type="dxa"/>
          <w:right w:w="108" w:type="dxa"/>
        </w:tblCellMar>
      </w:tblPr>
      <w:tblGrid>
        <w:gridCol w:w="527"/>
        <w:gridCol w:w="12701"/>
      </w:tblGrid>
      <w:tr w14:paraId="1B0DE7C4">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c>
          <w:tcPr>
            <w:tcW w:w="527" w:type="dxa"/>
            <w:tcBorders>
              <w:tl2br w:val="nil"/>
              <w:tr2bl w:val="nil"/>
            </w:tcBorders>
            <w:noWrap w:val="0"/>
            <w:vAlign w:val="center"/>
          </w:tcPr>
          <w:p w14:paraId="3D576FB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bCs/>
                <w:kern w:val="2"/>
                <w:sz w:val="21"/>
                <w:szCs w:val="21"/>
                <w:lang w:val="en-US" w:eastAsia="zh-CN" w:bidi="ar-SA"/>
              </w:rPr>
            </w:pPr>
            <w:r>
              <w:rPr>
                <w:rFonts w:hint="eastAsia" w:ascii="宋体" w:hAnsi="宋体" w:cs="宋体"/>
                <w:b/>
                <w:bCs w:val="0"/>
                <w:sz w:val="24"/>
                <w:szCs w:val="24"/>
              </w:rPr>
              <w:t>运营期环境影响和保护措施</w:t>
            </w:r>
          </w:p>
        </w:tc>
        <w:tc>
          <w:tcPr>
            <w:tcW w:w="12701" w:type="dxa"/>
            <w:tcBorders>
              <w:tl2br w:val="nil"/>
              <w:tr2bl w:val="nil"/>
            </w:tcBorders>
            <w:noWrap w:val="0"/>
            <w:vAlign w:val="center"/>
          </w:tcPr>
          <w:p w14:paraId="172ACE9B">
            <w:pPr>
              <w:keepNext w:val="0"/>
              <w:keepLines w:val="0"/>
              <w:pageBreakBefore w:val="0"/>
              <w:widowControl w:val="0"/>
              <w:kinsoku/>
              <w:wordWrap/>
              <w:overflowPunct/>
              <w:topLinePunct w:val="0"/>
              <w:autoSpaceDE/>
              <w:autoSpaceDN/>
              <w:bidi w:val="0"/>
              <w:adjustRightInd w:val="0"/>
              <w:snapToGrid w:val="0"/>
              <w:spacing w:before="157" w:beforeLines="50"/>
              <w:ind w:firstLine="382" w:firstLineChars="200"/>
              <w:textAlignment w:val="auto"/>
              <w:rPr>
                <w:rFonts w:hint="default" w:ascii="Times New Roman" w:hAnsi="Times New Roman" w:cs="Times New Roman"/>
                <w:b/>
                <w:bCs w:val="0"/>
                <w:spacing w:val="-10"/>
                <w:kern w:val="2"/>
                <w:sz w:val="21"/>
                <w:szCs w:val="21"/>
                <w:lang w:val="en-US" w:eastAsia="zh-CN" w:bidi="ar-SA"/>
              </w:rPr>
            </w:pPr>
            <w:r>
              <w:rPr>
                <w:rFonts w:hint="default" w:ascii="Times New Roman" w:hAnsi="Times New Roman" w:cs="Times New Roman"/>
                <w:b/>
                <w:bCs w:val="0"/>
                <w:spacing w:val="-10"/>
                <w:kern w:val="2"/>
                <w:sz w:val="21"/>
                <w:szCs w:val="21"/>
                <w:lang w:val="en-US" w:eastAsia="zh-CN" w:bidi="ar-SA"/>
              </w:rPr>
              <w:t>表4-1                                     本项目废气产生及排放情况一览表</w:t>
            </w:r>
          </w:p>
          <w:tbl>
            <w:tblPr>
              <w:tblStyle w:val="24"/>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3"/>
              <w:gridCol w:w="343"/>
              <w:gridCol w:w="707"/>
              <w:gridCol w:w="500"/>
              <w:gridCol w:w="598"/>
              <w:gridCol w:w="754"/>
              <w:gridCol w:w="343"/>
              <w:gridCol w:w="471"/>
              <w:gridCol w:w="1232"/>
              <w:gridCol w:w="343"/>
              <w:gridCol w:w="563"/>
              <w:gridCol w:w="500"/>
              <w:gridCol w:w="557"/>
              <w:gridCol w:w="943"/>
              <w:gridCol w:w="943"/>
              <w:gridCol w:w="597"/>
              <w:gridCol w:w="343"/>
              <w:gridCol w:w="343"/>
              <w:gridCol w:w="343"/>
              <w:gridCol w:w="373"/>
              <w:gridCol w:w="472"/>
              <w:gridCol w:w="558"/>
              <w:gridCol w:w="441"/>
            </w:tblGrid>
            <w:tr w14:paraId="49173B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3" w:type="dxa"/>
                  <w:vMerge w:val="restart"/>
                  <w:tcBorders>
                    <w:tl2br w:val="nil"/>
                    <w:tr2bl w:val="nil"/>
                  </w:tcBorders>
                  <w:noWrap w:val="0"/>
                  <w:vAlign w:val="center"/>
                </w:tcPr>
                <w:p w14:paraId="62DFE364">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产污</w:t>
                  </w:r>
                </w:p>
                <w:p w14:paraId="436B402C">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环节</w:t>
                  </w:r>
                </w:p>
              </w:tc>
              <w:tc>
                <w:tcPr>
                  <w:tcW w:w="343" w:type="dxa"/>
                  <w:vMerge w:val="restart"/>
                  <w:tcBorders>
                    <w:tl2br w:val="nil"/>
                    <w:tr2bl w:val="nil"/>
                  </w:tcBorders>
                  <w:noWrap w:val="0"/>
                  <w:vAlign w:val="center"/>
                </w:tcPr>
                <w:p w14:paraId="3FE4F8B2">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污染物</w:t>
                  </w:r>
                </w:p>
              </w:tc>
              <w:tc>
                <w:tcPr>
                  <w:tcW w:w="707" w:type="dxa"/>
                  <w:vMerge w:val="restart"/>
                  <w:tcBorders>
                    <w:tl2br w:val="nil"/>
                    <w:tr2bl w:val="nil"/>
                  </w:tcBorders>
                  <w:noWrap w:val="0"/>
                  <w:vAlign w:val="center"/>
                </w:tcPr>
                <w:p w14:paraId="728D6277">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标准干烟气量（Nm</w:t>
                  </w:r>
                  <w:r>
                    <w:rPr>
                      <w:rFonts w:hint="default" w:ascii="Times New Roman" w:hAnsi="Times New Roman" w:cs="Times New Roman"/>
                      <w:bCs/>
                      <w:spacing w:val="-10"/>
                      <w:kern w:val="2"/>
                      <w:sz w:val="21"/>
                      <w:szCs w:val="21"/>
                      <w:vertAlign w:val="superscript"/>
                      <w:lang w:val="en-US" w:eastAsia="zh-CN" w:bidi="ar-SA"/>
                    </w:rPr>
                    <w:t>3</w:t>
                  </w:r>
                  <w:r>
                    <w:rPr>
                      <w:rFonts w:hint="default" w:ascii="Times New Roman" w:hAnsi="Times New Roman" w:cs="Times New Roman"/>
                      <w:bCs/>
                      <w:spacing w:val="-10"/>
                      <w:kern w:val="2"/>
                      <w:sz w:val="21"/>
                      <w:szCs w:val="21"/>
                      <w:lang w:val="en-US" w:eastAsia="zh-CN" w:bidi="ar-SA"/>
                    </w:rPr>
                    <w:t>）</w:t>
                  </w:r>
                </w:p>
              </w:tc>
              <w:tc>
                <w:tcPr>
                  <w:tcW w:w="1852" w:type="dxa"/>
                  <w:gridSpan w:val="3"/>
                  <w:tcBorders>
                    <w:tl2br w:val="nil"/>
                    <w:tr2bl w:val="nil"/>
                  </w:tcBorders>
                  <w:noWrap w:val="0"/>
                  <w:vAlign w:val="center"/>
                </w:tcPr>
                <w:p w14:paraId="3EBB4E8E">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产生情况</w:t>
                  </w:r>
                </w:p>
              </w:tc>
              <w:tc>
                <w:tcPr>
                  <w:tcW w:w="343" w:type="dxa"/>
                  <w:vMerge w:val="restart"/>
                  <w:tcBorders>
                    <w:tl2br w:val="nil"/>
                    <w:tr2bl w:val="nil"/>
                  </w:tcBorders>
                  <w:noWrap w:val="0"/>
                  <w:vAlign w:val="center"/>
                </w:tcPr>
                <w:p w14:paraId="6A86743C">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排放形式</w:t>
                  </w:r>
                </w:p>
              </w:tc>
              <w:tc>
                <w:tcPr>
                  <w:tcW w:w="1703" w:type="dxa"/>
                  <w:gridSpan w:val="2"/>
                  <w:tcBorders>
                    <w:tl2br w:val="nil"/>
                    <w:tr2bl w:val="nil"/>
                  </w:tcBorders>
                  <w:noWrap w:val="0"/>
                  <w:vAlign w:val="center"/>
                </w:tcPr>
                <w:p w14:paraId="75BCA1B5">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治理情况</w:t>
                  </w:r>
                </w:p>
              </w:tc>
              <w:tc>
                <w:tcPr>
                  <w:tcW w:w="1963" w:type="dxa"/>
                  <w:gridSpan w:val="4"/>
                  <w:tcBorders>
                    <w:tl2br w:val="nil"/>
                    <w:tr2bl w:val="nil"/>
                  </w:tcBorders>
                  <w:noWrap w:val="0"/>
                  <w:vAlign w:val="center"/>
                </w:tcPr>
                <w:p w14:paraId="30F62927">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排放情况</w:t>
                  </w:r>
                </w:p>
              </w:tc>
              <w:tc>
                <w:tcPr>
                  <w:tcW w:w="4357" w:type="dxa"/>
                  <w:gridSpan w:val="8"/>
                  <w:tcBorders>
                    <w:tl2br w:val="nil"/>
                    <w:tr2bl w:val="nil"/>
                  </w:tcBorders>
                  <w:noWrap w:val="0"/>
                  <w:vAlign w:val="center"/>
                </w:tcPr>
                <w:p w14:paraId="191C2678">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排气筒参数</w:t>
                  </w:r>
                </w:p>
              </w:tc>
              <w:tc>
                <w:tcPr>
                  <w:tcW w:w="999" w:type="dxa"/>
                  <w:gridSpan w:val="2"/>
                  <w:tcBorders>
                    <w:tl2br w:val="nil"/>
                    <w:tr2bl w:val="nil"/>
                  </w:tcBorders>
                  <w:noWrap w:val="0"/>
                  <w:vAlign w:val="center"/>
                </w:tcPr>
                <w:p w14:paraId="661472A1">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排放限值</w:t>
                  </w:r>
                </w:p>
              </w:tc>
            </w:tr>
            <w:tr w14:paraId="0BA2F5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43" w:type="dxa"/>
                  <w:vMerge w:val="continue"/>
                  <w:tcBorders>
                    <w:tl2br w:val="nil"/>
                    <w:tr2bl w:val="nil"/>
                  </w:tcBorders>
                  <w:noWrap w:val="0"/>
                  <w:vAlign w:val="center"/>
                </w:tcPr>
                <w:p w14:paraId="063E5D63">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343" w:type="dxa"/>
                  <w:vMerge w:val="continue"/>
                  <w:tcBorders>
                    <w:tl2br w:val="nil"/>
                    <w:tr2bl w:val="nil"/>
                  </w:tcBorders>
                  <w:noWrap w:val="0"/>
                  <w:vAlign w:val="center"/>
                </w:tcPr>
                <w:p w14:paraId="18F912B9">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707" w:type="dxa"/>
                  <w:vMerge w:val="continue"/>
                  <w:tcBorders>
                    <w:tl2br w:val="nil"/>
                    <w:tr2bl w:val="nil"/>
                  </w:tcBorders>
                  <w:noWrap w:val="0"/>
                  <w:vAlign w:val="center"/>
                </w:tcPr>
                <w:p w14:paraId="2090C969">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500" w:type="dxa"/>
                  <w:vMerge w:val="restart"/>
                  <w:tcBorders>
                    <w:tl2br w:val="nil"/>
                    <w:tr2bl w:val="nil"/>
                  </w:tcBorders>
                  <w:noWrap w:val="0"/>
                  <w:vAlign w:val="center"/>
                </w:tcPr>
                <w:p w14:paraId="79F791EF">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产生量t/a</w:t>
                  </w:r>
                </w:p>
              </w:tc>
              <w:tc>
                <w:tcPr>
                  <w:tcW w:w="598" w:type="dxa"/>
                  <w:vMerge w:val="restart"/>
                  <w:tcBorders>
                    <w:tl2br w:val="nil"/>
                    <w:tr2bl w:val="nil"/>
                  </w:tcBorders>
                  <w:noWrap w:val="0"/>
                  <w:vAlign w:val="center"/>
                </w:tcPr>
                <w:p w14:paraId="237CC347">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产生速率kg/h</w:t>
                  </w:r>
                </w:p>
              </w:tc>
              <w:tc>
                <w:tcPr>
                  <w:tcW w:w="754" w:type="dxa"/>
                  <w:vMerge w:val="restart"/>
                  <w:tcBorders>
                    <w:tl2br w:val="nil"/>
                    <w:tr2bl w:val="nil"/>
                  </w:tcBorders>
                  <w:noWrap w:val="0"/>
                  <w:vAlign w:val="center"/>
                </w:tcPr>
                <w:p w14:paraId="286BC1EF">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产生浓度mg/m</w:t>
                  </w:r>
                  <w:r>
                    <w:rPr>
                      <w:rFonts w:hint="default" w:ascii="Times New Roman" w:hAnsi="Times New Roman" w:cs="Times New Roman"/>
                      <w:bCs/>
                      <w:spacing w:val="-10"/>
                      <w:kern w:val="2"/>
                      <w:sz w:val="21"/>
                      <w:szCs w:val="21"/>
                      <w:vertAlign w:val="superscript"/>
                      <w:lang w:val="en-US" w:eastAsia="zh-CN" w:bidi="ar-SA"/>
                    </w:rPr>
                    <w:t>3</w:t>
                  </w:r>
                </w:p>
              </w:tc>
              <w:tc>
                <w:tcPr>
                  <w:tcW w:w="343" w:type="dxa"/>
                  <w:vMerge w:val="continue"/>
                  <w:tcBorders>
                    <w:tl2br w:val="nil"/>
                    <w:tr2bl w:val="nil"/>
                  </w:tcBorders>
                  <w:noWrap w:val="0"/>
                  <w:vAlign w:val="center"/>
                </w:tcPr>
                <w:p w14:paraId="0C6FCE4E">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471" w:type="dxa"/>
                  <w:vMerge w:val="restart"/>
                  <w:tcBorders>
                    <w:tl2br w:val="nil"/>
                    <w:tr2bl w:val="nil"/>
                  </w:tcBorders>
                  <w:noWrap w:val="0"/>
                  <w:vAlign w:val="center"/>
                </w:tcPr>
                <w:p w14:paraId="5B0696F3">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治理措施</w:t>
                  </w:r>
                </w:p>
              </w:tc>
              <w:tc>
                <w:tcPr>
                  <w:tcW w:w="1232" w:type="dxa"/>
                  <w:vMerge w:val="restart"/>
                  <w:tcBorders>
                    <w:tl2br w:val="nil"/>
                    <w:tr2bl w:val="nil"/>
                  </w:tcBorders>
                  <w:noWrap w:val="0"/>
                  <w:vAlign w:val="center"/>
                </w:tcPr>
                <w:p w14:paraId="68D73AF1">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去除率%</w:t>
                  </w:r>
                </w:p>
              </w:tc>
              <w:tc>
                <w:tcPr>
                  <w:tcW w:w="343" w:type="dxa"/>
                  <w:vMerge w:val="restart"/>
                  <w:tcBorders>
                    <w:tl2br w:val="nil"/>
                    <w:tr2bl w:val="nil"/>
                  </w:tcBorders>
                  <w:noWrap w:val="0"/>
                  <w:vAlign w:val="center"/>
                </w:tcPr>
                <w:p w14:paraId="5937B2BC">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是否可行</w:t>
                  </w:r>
                </w:p>
              </w:tc>
              <w:tc>
                <w:tcPr>
                  <w:tcW w:w="563" w:type="dxa"/>
                  <w:vMerge w:val="restart"/>
                  <w:tcBorders>
                    <w:tl2br w:val="nil"/>
                    <w:tr2bl w:val="nil"/>
                  </w:tcBorders>
                  <w:noWrap w:val="0"/>
                  <w:vAlign w:val="center"/>
                </w:tcPr>
                <w:p w14:paraId="1B50ACC7">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排放量t/a</w:t>
                  </w:r>
                </w:p>
              </w:tc>
              <w:tc>
                <w:tcPr>
                  <w:tcW w:w="500" w:type="dxa"/>
                  <w:vMerge w:val="restart"/>
                  <w:tcBorders>
                    <w:tl2br w:val="nil"/>
                    <w:tr2bl w:val="nil"/>
                  </w:tcBorders>
                  <w:noWrap w:val="0"/>
                  <w:vAlign w:val="center"/>
                </w:tcPr>
                <w:p w14:paraId="26A91692">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排放速率kg/h</w:t>
                  </w:r>
                </w:p>
              </w:tc>
              <w:tc>
                <w:tcPr>
                  <w:tcW w:w="557" w:type="dxa"/>
                  <w:vMerge w:val="restart"/>
                  <w:tcBorders>
                    <w:tl2br w:val="nil"/>
                    <w:tr2bl w:val="nil"/>
                  </w:tcBorders>
                  <w:noWrap w:val="0"/>
                  <w:vAlign w:val="center"/>
                </w:tcPr>
                <w:p w14:paraId="24ADC72F">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排放浓度mg/m</w:t>
                  </w:r>
                  <w:r>
                    <w:rPr>
                      <w:rFonts w:hint="default" w:ascii="Times New Roman" w:hAnsi="Times New Roman" w:cs="Times New Roman"/>
                      <w:bCs/>
                      <w:spacing w:val="-10"/>
                      <w:kern w:val="2"/>
                      <w:sz w:val="21"/>
                      <w:szCs w:val="21"/>
                      <w:vertAlign w:val="superscript"/>
                      <w:lang w:val="en-US" w:eastAsia="zh-CN" w:bidi="ar-SA"/>
                    </w:rPr>
                    <w:t>3</w:t>
                  </w:r>
                </w:p>
              </w:tc>
              <w:tc>
                <w:tcPr>
                  <w:tcW w:w="1886" w:type="dxa"/>
                  <w:gridSpan w:val="2"/>
                  <w:tcBorders>
                    <w:tl2br w:val="nil"/>
                    <w:tr2bl w:val="nil"/>
                  </w:tcBorders>
                  <w:noWrap w:val="0"/>
                  <w:vAlign w:val="center"/>
                </w:tcPr>
                <w:p w14:paraId="1BA30E60">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地理坐标</w:t>
                  </w:r>
                </w:p>
              </w:tc>
              <w:tc>
                <w:tcPr>
                  <w:tcW w:w="597" w:type="dxa"/>
                  <w:vMerge w:val="restart"/>
                  <w:tcBorders>
                    <w:tl2br w:val="nil"/>
                    <w:tr2bl w:val="nil"/>
                  </w:tcBorders>
                  <w:noWrap w:val="0"/>
                  <w:vAlign w:val="center"/>
                </w:tcPr>
                <w:p w14:paraId="1527E6B6">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编号</w:t>
                  </w:r>
                </w:p>
              </w:tc>
              <w:tc>
                <w:tcPr>
                  <w:tcW w:w="343" w:type="dxa"/>
                  <w:vMerge w:val="restart"/>
                  <w:tcBorders>
                    <w:tl2br w:val="nil"/>
                    <w:tr2bl w:val="nil"/>
                  </w:tcBorders>
                  <w:noWrap w:val="0"/>
                  <w:vAlign w:val="center"/>
                </w:tcPr>
                <w:p w14:paraId="49E11832">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名称</w:t>
                  </w:r>
                </w:p>
              </w:tc>
              <w:tc>
                <w:tcPr>
                  <w:tcW w:w="343" w:type="dxa"/>
                  <w:vMerge w:val="restart"/>
                  <w:tcBorders>
                    <w:tl2br w:val="nil"/>
                    <w:tr2bl w:val="nil"/>
                  </w:tcBorders>
                  <w:noWrap w:val="0"/>
                  <w:vAlign w:val="center"/>
                </w:tcPr>
                <w:p w14:paraId="04F0E332">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类型</w:t>
                  </w:r>
                </w:p>
              </w:tc>
              <w:tc>
                <w:tcPr>
                  <w:tcW w:w="343" w:type="dxa"/>
                  <w:vMerge w:val="restart"/>
                  <w:tcBorders>
                    <w:tl2br w:val="nil"/>
                    <w:tr2bl w:val="nil"/>
                  </w:tcBorders>
                  <w:noWrap w:val="0"/>
                  <w:vAlign w:val="center"/>
                </w:tcPr>
                <w:p w14:paraId="69E71D37">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高度m</w:t>
                  </w:r>
                </w:p>
              </w:tc>
              <w:tc>
                <w:tcPr>
                  <w:tcW w:w="373" w:type="dxa"/>
                  <w:vMerge w:val="restart"/>
                  <w:tcBorders>
                    <w:tl2br w:val="nil"/>
                    <w:tr2bl w:val="nil"/>
                  </w:tcBorders>
                  <w:noWrap w:val="0"/>
                  <w:vAlign w:val="center"/>
                </w:tcPr>
                <w:p w14:paraId="6C49AE6C">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内径</w:t>
                  </w:r>
                </w:p>
                <w:p w14:paraId="4AA52807">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m</w:t>
                  </w:r>
                </w:p>
              </w:tc>
              <w:tc>
                <w:tcPr>
                  <w:tcW w:w="472" w:type="dxa"/>
                  <w:vMerge w:val="restart"/>
                  <w:tcBorders>
                    <w:tl2br w:val="nil"/>
                    <w:tr2bl w:val="nil"/>
                  </w:tcBorders>
                  <w:noWrap w:val="0"/>
                  <w:vAlign w:val="center"/>
                </w:tcPr>
                <w:p w14:paraId="53338346">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温度℃</w:t>
                  </w:r>
                </w:p>
              </w:tc>
              <w:tc>
                <w:tcPr>
                  <w:tcW w:w="558" w:type="dxa"/>
                  <w:vMerge w:val="restart"/>
                  <w:tcBorders>
                    <w:tl2br w:val="nil"/>
                    <w:tr2bl w:val="nil"/>
                  </w:tcBorders>
                  <w:noWrap w:val="0"/>
                  <w:vAlign w:val="center"/>
                </w:tcPr>
                <w:p w14:paraId="79D24B3B">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浓度mg/m</w:t>
                  </w:r>
                  <w:r>
                    <w:rPr>
                      <w:rFonts w:hint="default" w:ascii="Times New Roman" w:hAnsi="Times New Roman" w:cs="Times New Roman"/>
                      <w:bCs/>
                      <w:spacing w:val="-10"/>
                      <w:kern w:val="2"/>
                      <w:sz w:val="21"/>
                      <w:szCs w:val="21"/>
                      <w:vertAlign w:val="superscript"/>
                      <w:lang w:val="en-US" w:eastAsia="zh-CN" w:bidi="ar-SA"/>
                    </w:rPr>
                    <w:t>3</w:t>
                  </w:r>
                </w:p>
              </w:tc>
              <w:tc>
                <w:tcPr>
                  <w:tcW w:w="441" w:type="dxa"/>
                  <w:vMerge w:val="restart"/>
                  <w:tcBorders>
                    <w:tl2br w:val="nil"/>
                    <w:tr2bl w:val="nil"/>
                  </w:tcBorders>
                  <w:noWrap w:val="0"/>
                  <w:vAlign w:val="center"/>
                </w:tcPr>
                <w:p w14:paraId="4498F185">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速率kg/h</w:t>
                  </w:r>
                </w:p>
              </w:tc>
            </w:tr>
            <w:tr w14:paraId="00F963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3" w:type="dxa"/>
                  <w:vMerge w:val="continue"/>
                  <w:tcBorders>
                    <w:tl2br w:val="nil"/>
                    <w:tr2bl w:val="nil"/>
                  </w:tcBorders>
                  <w:noWrap w:val="0"/>
                  <w:vAlign w:val="center"/>
                </w:tcPr>
                <w:p w14:paraId="46961248">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343" w:type="dxa"/>
                  <w:vMerge w:val="continue"/>
                  <w:tcBorders>
                    <w:tl2br w:val="nil"/>
                    <w:tr2bl w:val="nil"/>
                  </w:tcBorders>
                  <w:noWrap w:val="0"/>
                  <w:vAlign w:val="center"/>
                </w:tcPr>
                <w:p w14:paraId="1FF86200">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707" w:type="dxa"/>
                  <w:vMerge w:val="continue"/>
                  <w:tcBorders>
                    <w:tl2br w:val="nil"/>
                    <w:tr2bl w:val="nil"/>
                  </w:tcBorders>
                  <w:noWrap w:val="0"/>
                  <w:vAlign w:val="center"/>
                </w:tcPr>
                <w:p w14:paraId="00B660BA">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500" w:type="dxa"/>
                  <w:vMerge w:val="continue"/>
                  <w:tcBorders>
                    <w:tl2br w:val="nil"/>
                    <w:tr2bl w:val="nil"/>
                  </w:tcBorders>
                  <w:noWrap w:val="0"/>
                  <w:vAlign w:val="center"/>
                </w:tcPr>
                <w:p w14:paraId="04585647">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598" w:type="dxa"/>
                  <w:vMerge w:val="continue"/>
                  <w:tcBorders>
                    <w:tl2br w:val="nil"/>
                    <w:tr2bl w:val="nil"/>
                  </w:tcBorders>
                  <w:noWrap w:val="0"/>
                  <w:vAlign w:val="center"/>
                </w:tcPr>
                <w:p w14:paraId="33A5C376">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754" w:type="dxa"/>
                  <w:vMerge w:val="continue"/>
                  <w:tcBorders>
                    <w:tl2br w:val="nil"/>
                    <w:tr2bl w:val="nil"/>
                  </w:tcBorders>
                  <w:noWrap w:val="0"/>
                  <w:vAlign w:val="center"/>
                </w:tcPr>
                <w:p w14:paraId="127EE82C">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343" w:type="dxa"/>
                  <w:vMerge w:val="continue"/>
                  <w:tcBorders>
                    <w:tl2br w:val="nil"/>
                    <w:tr2bl w:val="nil"/>
                  </w:tcBorders>
                  <w:noWrap w:val="0"/>
                  <w:vAlign w:val="center"/>
                </w:tcPr>
                <w:p w14:paraId="63D152B7">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471" w:type="dxa"/>
                  <w:vMerge w:val="continue"/>
                  <w:tcBorders>
                    <w:tl2br w:val="nil"/>
                    <w:tr2bl w:val="nil"/>
                  </w:tcBorders>
                  <w:noWrap w:val="0"/>
                  <w:vAlign w:val="center"/>
                </w:tcPr>
                <w:p w14:paraId="51A8ACF8">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1232" w:type="dxa"/>
                  <w:vMerge w:val="continue"/>
                  <w:tcBorders>
                    <w:tl2br w:val="nil"/>
                    <w:tr2bl w:val="nil"/>
                  </w:tcBorders>
                  <w:noWrap w:val="0"/>
                  <w:vAlign w:val="center"/>
                </w:tcPr>
                <w:p w14:paraId="7FD2F45E">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343" w:type="dxa"/>
                  <w:vMerge w:val="continue"/>
                  <w:tcBorders>
                    <w:tl2br w:val="nil"/>
                    <w:tr2bl w:val="nil"/>
                  </w:tcBorders>
                  <w:noWrap w:val="0"/>
                  <w:vAlign w:val="center"/>
                </w:tcPr>
                <w:p w14:paraId="20145DF8">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563" w:type="dxa"/>
                  <w:vMerge w:val="continue"/>
                  <w:tcBorders>
                    <w:tl2br w:val="nil"/>
                    <w:tr2bl w:val="nil"/>
                  </w:tcBorders>
                  <w:noWrap w:val="0"/>
                  <w:vAlign w:val="center"/>
                </w:tcPr>
                <w:p w14:paraId="319326A1">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500" w:type="dxa"/>
                  <w:vMerge w:val="continue"/>
                  <w:tcBorders>
                    <w:tl2br w:val="nil"/>
                    <w:tr2bl w:val="nil"/>
                  </w:tcBorders>
                  <w:noWrap w:val="0"/>
                  <w:vAlign w:val="center"/>
                </w:tcPr>
                <w:p w14:paraId="349B790D">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557" w:type="dxa"/>
                  <w:vMerge w:val="continue"/>
                  <w:tcBorders>
                    <w:tl2br w:val="nil"/>
                    <w:tr2bl w:val="nil"/>
                  </w:tcBorders>
                  <w:noWrap w:val="0"/>
                  <w:vAlign w:val="center"/>
                </w:tcPr>
                <w:p w14:paraId="291E2B63">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943" w:type="dxa"/>
                  <w:tcBorders>
                    <w:tl2br w:val="nil"/>
                    <w:tr2bl w:val="nil"/>
                  </w:tcBorders>
                  <w:noWrap w:val="0"/>
                  <w:vAlign w:val="center"/>
                </w:tcPr>
                <w:p w14:paraId="0CD1A70C">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经度</w:t>
                  </w:r>
                </w:p>
              </w:tc>
              <w:tc>
                <w:tcPr>
                  <w:tcW w:w="943" w:type="dxa"/>
                  <w:tcBorders>
                    <w:tl2br w:val="nil"/>
                    <w:tr2bl w:val="nil"/>
                  </w:tcBorders>
                  <w:noWrap w:val="0"/>
                  <w:vAlign w:val="center"/>
                </w:tcPr>
                <w:p w14:paraId="0294F9A6">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纬度</w:t>
                  </w:r>
                </w:p>
              </w:tc>
              <w:tc>
                <w:tcPr>
                  <w:tcW w:w="597" w:type="dxa"/>
                  <w:vMerge w:val="continue"/>
                  <w:tcBorders>
                    <w:tl2br w:val="nil"/>
                    <w:tr2bl w:val="nil"/>
                  </w:tcBorders>
                  <w:noWrap w:val="0"/>
                  <w:vAlign w:val="center"/>
                </w:tcPr>
                <w:p w14:paraId="106B176B">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343" w:type="dxa"/>
                  <w:vMerge w:val="continue"/>
                  <w:tcBorders>
                    <w:tl2br w:val="nil"/>
                    <w:tr2bl w:val="nil"/>
                  </w:tcBorders>
                  <w:noWrap w:val="0"/>
                  <w:vAlign w:val="center"/>
                </w:tcPr>
                <w:p w14:paraId="5F1C1BC3">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343" w:type="dxa"/>
                  <w:vMerge w:val="continue"/>
                  <w:tcBorders>
                    <w:tl2br w:val="nil"/>
                    <w:tr2bl w:val="nil"/>
                  </w:tcBorders>
                  <w:noWrap w:val="0"/>
                  <w:vAlign w:val="center"/>
                </w:tcPr>
                <w:p w14:paraId="0D7ED349">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343" w:type="dxa"/>
                  <w:vMerge w:val="continue"/>
                  <w:tcBorders>
                    <w:tl2br w:val="nil"/>
                    <w:tr2bl w:val="nil"/>
                  </w:tcBorders>
                  <w:noWrap w:val="0"/>
                  <w:vAlign w:val="center"/>
                </w:tcPr>
                <w:p w14:paraId="535200B2">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373" w:type="dxa"/>
                  <w:vMerge w:val="continue"/>
                  <w:tcBorders>
                    <w:tl2br w:val="nil"/>
                    <w:tr2bl w:val="nil"/>
                  </w:tcBorders>
                  <w:noWrap w:val="0"/>
                  <w:vAlign w:val="center"/>
                </w:tcPr>
                <w:p w14:paraId="16D8E4AA">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472" w:type="dxa"/>
                  <w:vMerge w:val="continue"/>
                  <w:tcBorders>
                    <w:tl2br w:val="nil"/>
                    <w:tr2bl w:val="nil"/>
                  </w:tcBorders>
                  <w:noWrap w:val="0"/>
                  <w:vAlign w:val="center"/>
                </w:tcPr>
                <w:p w14:paraId="64832CEA">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558" w:type="dxa"/>
                  <w:vMerge w:val="continue"/>
                  <w:tcBorders>
                    <w:tl2br w:val="nil"/>
                    <w:tr2bl w:val="nil"/>
                  </w:tcBorders>
                  <w:noWrap w:val="0"/>
                  <w:vAlign w:val="center"/>
                </w:tcPr>
                <w:p w14:paraId="1684A831">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441" w:type="dxa"/>
                  <w:vMerge w:val="continue"/>
                  <w:tcBorders>
                    <w:tl2br w:val="nil"/>
                    <w:tr2bl w:val="nil"/>
                  </w:tcBorders>
                  <w:noWrap w:val="0"/>
                  <w:vAlign w:val="center"/>
                </w:tcPr>
                <w:p w14:paraId="577F23C8">
                  <w:pPr>
                    <w:adjustRightInd w:val="0"/>
                    <w:snapToGrid w:val="0"/>
                    <w:jc w:val="center"/>
                    <w:rPr>
                      <w:rFonts w:hint="default" w:ascii="Times New Roman" w:hAnsi="Times New Roman" w:cs="Times New Roman"/>
                      <w:bCs/>
                      <w:spacing w:val="-10"/>
                      <w:kern w:val="2"/>
                      <w:sz w:val="21"/>
                      <w:szCs w:val="21"/>
                      <w:lang w:val="en-US" w:eastAsia="zh-CN" w:bidi="ar-SA"/>
                    </w:rPr>
                  </w:pPr>
                </w:p>
              </w:tc>
            </w:tr>
            <w:tr w14:paraId="040363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3" w:type="dxa"/>
                  <w:tcBorders>
                    <w:tl2br w:val="nil"/>
                    <w:tr2bl w:val="nil"/>
                  </w:tcBorders>
                  <w:noWrap w:val="0"/>
                  <w:vAlign w:val="center"/>
                </w:tcPr>
                <w:p w14:paraId="3D8B9176">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贮存粉尘</w:t>
                  </w:r>
                </w:p>
              </w:tc>
              <w:tc>
                <w:tcPr>
                  <w:tcW w:w="343" w:type="dxa"/>
                  <w:tcBorders>
                    <w:tl2br w:val="nil"/>
                    <w:tr2bl w:val="nil"/>
                  </w:tcBorders>
                  <w:noWrap w:val="0"/>
                  <w:vAlign w:val="center"/>
                </w:tcPr>
                <w:p w14:paraId="6A7BC49F">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颗粒物</w:t>
                  </w:r>
                </w:p>
              </w:tc>
              <w:tc>
                <w:tcPr>
                  <w:tcW w:w="707" w:type="dxa"/>
                  <w:tcBorders>
                    <w:tl2br w:val="nil"/>
                    <w:tr2bl w:val="nil"/>
                  </w:tcBorders>
                  <w:noWrap w:val="0"/>
                  <w:vAlign w:val="center"/>
                </w:tcPr>
                <w:p w14:paraId="40492297">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500" w:type="dxa"/>
                  <w:tcBorders>
                    <w:tl2br w:val="nil"/>
                    <w:tr2bl w:val="nil"/>
                  </w:tcBorders>
                  <w:noWrap w:val="0"/>
                  <w:vAlign w:val="center"/>
                </w:tcPr>
                <w:p w14:paraId="38D3AF0A">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363</w:t>
                  </w:r>
                </w:p>
              </w:tc>
              <w:tc>
                <w:tcPr>
                  <w:tcW w:w="598" w:type="dxa"/>
                  <w:tcBorders>
                    <w:tl2br w:val="nil"/>
                    <w:tr2bl w:val="nil"/>
                  </w:tcBorders>
                  <w:noWrap w:val="0"/>
                  <w:vAlign w:val="center"/>
                </w:tcPr>
                <w:p w14:paraId="29CCFBDB">
                  <w:pPr>
                    <w:adjustRightInd w:val="0"/>
                    <w:snapToGrid w:val="0"/>
                    <w:jc w:val="center"/>
                    <w:rPr>
                      <w:rFonts w:hint="default" w:ascii="Times New Roman" w:hAnsi="Times New Roman" w:cs="Times New Roman"/>
                      <w:bCs/>
                      <w:spacing w:val="-10"/>
                      <w:kern w:val="2"/>
                      <w:sz w:val="21"/>
                      <w:szCs w:val="21"/>
                      <w:lang w:eastAsia="zh-CN" w:bidi="ar-SA"/>
                    </w:rPr>
                  </w:pPr>
                  <w:r>
                    <w:rPr>
                      <w:rFonts w:hint="default" w:cs="Times New Roman"/>
                      <w:bCs/>
                      <w:spacing w:val="-10"/>
                      <w:kern w:val="2"/>
                      <w:sz w:val="21"/>
                      <w:szCs w:val="21"/>
                      <w:lang w:eastAsia="zh-CN" w:bidi="ar-SA"/>
                    </w:rPr>
                    <w:t>41.438</w:t>
                  </w:r>
                </w:p>
              </w:tc>
              <w:tc>
                <w:tcPr>
                  <w:tcW w:w="754" w:type="dxa"/>
                  <w:tcBorders>
                    <w:tl2br w:val="nil"/>
                    <w:tr2bl w:val="nil"/>
                  </w:tcBorders>
                  <w:noWrap w:val="0"/>
                  <w:vAlign w:val="center"/>
                </w:tcPr>
                <w:p w14:paraId="0FBAC1D6">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43" w:type="dxa"/>
                  <w:tcBorders>
                    <w:tl2br w:val="nil"/>
                    <w:tr2bl w:val="nil"/>
                  </w:tcBorders>
                  <w:noWrap w:val="0"/>
                  <w:vAlign w:val="center"/>
                </w:tcPr>
                <w:p w14:paraId="45D23ECA">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无组织</w:t>
                  </w:r>
                </w:p>
              </w:tc>
              <w:tc>
                <w:tcPr>
                  <w:tcW w:w="471" w:type="dxa"/>
                  <w:tcBorders>
                    <w:tl2br w:val="nil"/>
                    <w:tr2bl w:val="nil"/>
                  </w:tcBorders>
                  <w:noWrap w:val="0"/>
                  <w:vAlign w:val="center"/>
                </w:tcPr>
                <w:p w14:paraId="48DD5850">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半封闭堆场、防尘网苫盖</w:t>
                  </w:r>
                </w:p>
              </w:tc>
              <w:tc>
                <w:tcPr>
                  <w:tcW w:w="1232" w:type="dxa"/>
                  <w:tcBorders>
                    <w:tl2br w:val="nil"/>
                    <w:tr2bl w:val="nil"/>
                  </w:tcBorders>
                  <w:noWrap w:val="0"/>
                  <w:vAlign w:val="center"/>
                </w:tcPr>
                <w:p w14:paraId="1CCC7D34">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60%+86%</w:t>
                  </w:r>
                </w:p>
              </w:tc>
              <w:tc>
                <w:tcPr>
                  <w:tcW w:w="343" w:type="dxa"/>
                  <w:tcBorders>
                    <w:tl2br w:val="nil"/>
                    <w:tr2bl w:val="nil"/>
                  </w:tcBorders>
                  <w:noWrap w:val="0"/>
                  <w:vAlign w:val="center"/>
                </w:tcPr>
                <w:p w14:paraId="5D2E1D25">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ascii="Times New Roman" w:hAnsi="Times New Roman" w:cs="Times New Roman"/>
                      <w:bCs/>
                      <w:spacing w:val="-10"/>
                      <w:kern w:val="2"/>
                      <w:sz w:val="21"/>
                      <w:szCs w:val="21"/>
                      <w:lang w:val="en-US" w:eastAsia="zh-CN" w:bidi="ar-SA"/>
                    </w:rPr>
                    <w:t>/</w:t>
                  </w:r>
                </w:p>
              </w:tc>
              <w:tc>
                <w:tcPr>
                  <w:tcW w:w="563" w:type="dxa"/>
                  <w:tcBorders>
                    <w:tl2br w:val="nil"/>
                    <w:tr2bl w:val="nil"/>
                  </w:tcBorders>
                  <w:noWrap w:val="0"/>
                  <w:vAlign w:val="center"/>
                </w:tcPr>
                <w:p w14:paraId="1D410EA4">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20.328</w:t>
                  </w:r>
                </w:p>
              </w:tc>
              <w:tc>
                <w:tcPr>
                  <w:tcW w:w="500" w:type="dxa"/>
                  <w:tcBorders>
                    <w:tl2br w:val="nil"/>
                    <w:tr2bl w:val="nil"/>
                  </w:tcBorders>
                  <w:noWrap w:val="0"/>
                  <w:vAlign w:val="center"/>
                </w:tcPr>
                <w:p w14:paraId="158CC2CE">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ascii="Times New Roman" w:hAnsi="Times New Roman" w:cs="Times New Roman"/>
                      <w:bCs/>
                      <w:spacing w:val="-10"/>
                      <w:kern w:val="2"/>
                      <w:sz w:val="21"/>
                      <w:szCs w:val="21"/>
                      <w:lang w:val="en-US" w:eastAsia="zh-CN" w:bidi="ar-SA"/>
                    </w:rPr>
                    <w:t>2.321</w:t>
                  </w:r>
                </w:p>
              </w:tc>
              <w:tc>
                <w:tcPr>
                  <w:tcW w:w="557" w:type="dxa"/>
                  <w:tcBorders>
                    <w:tl2br w:val="nil"/>
                    <w:tr2bl w:val="nil"/>
                  </w:tcBorders>
                  <w:noWrap w:val="0"/>
                  <w:vAlign w:val="center"/>
                </w:tcPr>
                <w:p w14:paraId="0C46A493">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943" w:type="dxa"/>
                  <w:tcBorders>
                    <w:tl2br w:val="nil"/>
                    <w:tr2bl w:val="nil"/>
                  </w:tcBorders>
                  <w:noWrap w:val="0"/>
                  <w:vAlign w:val="center"/>
                </w:tcPr>
                <w:p w14:paraId="0C80CC58">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943" w:type="dxa"/>
                  <w:tcBorders>
                    <w:tl2br w:val="nil"/>
                    <w:tr2bl w:val="nil"/>
                  </w:tcBorders>
                  <w:noWrap w:val="0"/>
                  <w:vAlign w:val="center"/>
                </w:tcPr>
                <w:p w14:paraId="2F912BA1">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597" w:type="dxa"/>
                  <w:tcBorders>
                    <w:tl2br w:val="nil"/>
                    <w:tr2bl w:val="nil"/>
                  </w:tcBorders>
                  <w:noWrap w:val="0"/>
                  <w:vAlign w:val="center"/>
                </w:tcPr>
                <w:p w14:paraId="39DEB8A9">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43" w:type="dxa"/>
                  <w:tcBorders>
                    <w:tl2br w:val="nil"/>
                    <w:tr2bl w:val="nil"/>
                  </w:tcBorders>
                  <w:noWrap w:val="0"/>
                  <w:vAlign w:val="center"/>
                </w:tcPr>
                <w:p w14:paraId="471A94F3">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43" w:type="dxa"/>
                  <w:tcBorders>
                    <w:tl2br w:val="nil"/>
                    <w:tr2bl w:val="nil"/>
                  </w:tcBorders>
                  <w:noWrap w:val="0"/>
                  <w:vAlign w:val="center"/>
                </w:tcPr>
                <w:p w14:paraId="1578680D">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43" w:type="dxa"/>
                  <w:tcBorders>
                    <w:tl2br w:val="nil"/>
                    <w:tr2bl w:val="nil"/>
                  </w:tcBorders>
                  <w:noWrap w:val="0"/>
                  <w:vAlign w:val="center"/>
                </w:tcPr>
                <w:p w14:paraId="641613EC">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73" w:type="dxa"/>
                  <w:tcBorders>
                    <w:tl2br w:val="nil"/>
                    <w:tr2bl w:val="nil"/>
                  </w:tcBorders>
                  <w:noWrap w:val="0"/>
                  <w:vAlign w:val="center"/>
                </w:tcPr>
                <w:p w14:paraId="29C328AE">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472" w:type="dxa"/>
                  <w:tcBorders>
                    <w:tl2br w:val="nil"/>
                    <w:tr2bl w:val="nil"/>
                  </w:tcBorders>
                  <w:noWrap w:val="0"/>
                  <w:vAlign w:val="center"/>
                </w:tcPr>
                <w:p w14:paraId="52DDA4E2">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w:t>
                  </w:r>
                </w:p>
              </w:tc>
              <w:tc>
                <w:tcPr>
                  <w:tcW w:w="558" w:type="dxa"/>
                  <w:tcBorders>
                    <w:tl2br w:val="nil"/>
                    <w:tr2bl w:val="nil"/>
                  </w:tcBorders>
                  <w:noWrap w:val="0"/>
                  <w:vAlign w:val="center"/>
                </w:tcPr>
                <w:p w14:paraId="32F140F6">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cs="Times New Roman"/>
                      <w:bCs/>
                      <w:spacing w:val="-10"/>
                      <w:kern w:val="2"/>
                      <w:sz w:val="21"/>
                      <w:szCs w:val="21"/>
                      <w:lang w:eastAsia="zh-CN" w:bidi="ar-SA"/>
                    </w:rPr>
                    <w:t>5.</w:t>
                  </w:r>
                  <w:r>
                    <w:rPr>
                      <w:rFonts w:hint="default" w:ascii="Times New Roman" w:hAnsi="Times New Roman" w:cs="Times New Roman"/>
                      <w:bCs/>
                      <w:spacing w:val="-10"/>
                      <w:kern w:val="2"/>
                      <w:sz w:val="21"/>
                      <w:szCs w:val="21"/>
                      <w:lang w:val="en-US" w:eastAsia="zh-CN" w:bidi="ar-SA"/>
                    </w:rPr>
                    <w:t>0</w:t>
                  </w:r>
                </w:p>
              </w:tc>
              <w:tc>
                <w:tcPr>
                  <w:tcW w:w="441" w:type="dxa"/>
                  <w:tcBorders>
                    <w:tl2br w:val="nil"/>
                    <w:tr2bl w:val="nil"/>
                  </w:tcBorders>
                  <w:noWrap w:val="0"/>
                  <w:vAlign w:val="center"/>
                </w:tcPr>
                <w:p w14:paraId="6F83D9C2">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r>
            <w:tr w14:paraId="05E627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3" w:type="dxa"/>
                  <w:tcBorders>
                    <w:tl2br w:val="nil"/>
                    <w:tr2bl w:val="nil"/>
                  </w:tcBorders>
                  <w:noWrap w:val="0"/>
                  <w:vAlign w:val="center"/>
                </w:tcPr>
                <w:p w14:paraId="210173FF">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上料粉尘</w:t>
                  </w:r>
                </w:p>
              </w:tc>
              <w:tc>
                <w:tcPr>
                  <w:tcW w:w="343" w:type="dxa"/>
                  <w:tcBorders>
                    <w:tl2br w:val="nil"/>
                    <w:tr2bl w:val="nil"/>
                  </w:tcBorders>
                  <w:noWrap w:val="0"/>
                  <w:vAlign w:val="center"/>
                </w:tcPr>
                <w:p w14:paraId="75A1E138">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颗粒物</w:t>
                  </w:r>
                </w:p>
              </w:tc>
              <w:tc>
                <w:tcPr>
                  <w:tcW w:w="707" w:type="dxa"/>
                  <w:tcBorders>
                    <w:tl2br w:val="nil"/>
                    <w:tr2bl w:val="nil"/>
                  </w:tcBorders>
                  <w:noWrap w:val="0"/>
                  <w:vAlign w:val="center"/>
                </w:tcPr>
                <w:p w14:paraId="4599A562">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500" w:type="dxa"/>
                  <w:tcBorders>
                    <w:tl2br w:val="nil"/>
                    <w:tr2bl w:val="nil"/>
                  </w:tcBorders>
                  <w:noWrap w:val="0"/>
                  <w:vAlign w:val="center"/>
                </w:tcPr>
                <w:p w14:paraId="68EE7116">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11.8</w:t>
                  </w:r>
                </w:p>
              </w:tc>
              <w:tc>
                <w:tcPr>
                  <w:tcW w:w="598" w:type="dxa"/>
                  <w:tcBorders>
                    <w:tl2br w:val="nil"/>
                    <w:tr2bl w:val="nil"/>
                  </w:tcBorders>
                  <w:noWrap w:val="0"/>
                  <w:vAlign w:val="center"/>
                </w:tcPr>
                <w:p w14:paraId="4045027E">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4.917</w:t>
                  </w:r>
                </w:p>
              </w:tc>
              <w:tc>
                <w:tcPr>
                  <w:tcW w:w="754" w:type="dxa"/>
                  <w:tcBorders>
                    <w:tl2br w:val="nil"/>
                    <w:tr2bl w:val="nil"/>
                  </w:tcBorders>
                  <w:noWrap w:val="0"/>
                  <w:vAlign w:val="center"/>
                </w:tcPr>
                <w:p w14:paraId="6105AF53">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43" w:type="dxa"/>
                  <w:tcBorders>
                    <w:tl2br w:val="nil"/>
                    <w:tr2bl w:val="nil"/>
                  </w:tcBorders>
                  <w:noWrap w:val="0"/>
                  <w:vAlign w:val="center"/>
                </w:tcPr>
                <w:p w14:paraId="22F55E10">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无组织</w:t>
                  </w:r>
                </w:p>
              </w:tc>
              <w:tc>
                <w:tcPr>
                  <w:tcW w:w="471" w:type="dxa"/>
                  <w:tcBorders>
                    <w:tl2br w:val="nil"/>
                    <w:tr2bl w:val="nil"/>
                  </w:tcBorders>
                  <w:noWrap w:val="0"/>
                  <w:vAlign w:val="center"/>
                </w:tcPr>
                <w:p w14:paraId="1243A46C">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三面围挡</w:t>
                  </w:r>
                </w:p>
              </w:tc>
              <w:tc>
                <w:tcPr>
                  <w:tcW w:w="1232" w:type="dxa"/>
                  <w:tcBorders>
                    <w:tl2br w:val="nil"/>
                    <w:tr2bl w:val="nil"/>
                  </w:tcBorders>
                  <w:noWrap w:val="0"/>
                  <w:vAlign w:val="center"/>
                </w:tcPr>
                <w:p w14:paraId="7BA85B20">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60%</w:t>
                  </w:r>
                </w:p>
              </w:tc>
              <w:tc>
                <w:tcPr>
                  <w:tcW w:w="343" w:type="dxa"/>
                  <w:tcBorders>
                    <w:tl2br w:val="nil"/>
                    <w:tr2bl w:val="nil"/>
                  </w:tcBorders>
                  <w:noWrap w:val="0"/>
                  <w:vAlign w:val="center"/>
                </w:tcPr>
                <w:p w14:paraId="689AB2EE">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563" w:type="dxa"/>
                  <w:tcBorders>
                    <w:tl2br w:val="nil"/>
                    <w:tr2bl w:val="nil"/>
                  </w:tcBorders>
                  <w:noWrap w:val="0"/>
                  <w:vAlign w:val="center"/>
                </w:tcPr>
                <w:p w14:paraId="0D7DD3C4">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4.72</w:t>
                  </w:r>
                </w:p>
              </w:tc>
              <w:tc>
                <w:tcPr>
                  <w:tcW w:w="500" w:type="dxa"/>
                  <w:tcBorders>
                    <w:tl2br w:val="nil"/>
                    <w:tr2bl w:val="nil"/>
                  </w:tcBorders>
                  <w:noWrap w:val="0"/>
                  <w:vAlign w:val="center"/>
                </w:tcPr>
                <w:p w14:paraId="2EFCE2FC">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1.967</w:t>
                  </w:r>
                </w:p>
              </w:tc>
              <w:tc>
                <w:tcPr>
                  <w:tcW w:w="557" w:type="dxa"/>
                  <w:tcBorders>
                    <w:tl2br w:val="nil"/>
                    <w:tr2bl w:val="nil"/>
                  </w:tcBorders>
                  <w:noWrap w:val="0"/>
                  <w:vAlign w:val="center"/>
                </w:tcPr>
                <w:p w14:paraId="04DD3D2C">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943" w:type="dxa"/>
                  <w:tcBorders>
                    <w:tl2br w:val="nil"/>
                    <w:tr2bl w:val="nil"/>
                  </w:tcBorders>
                  <w:noWrap w:val="0"/>
                  <w:vAlign w:val="center"/>
                </w:tcPr>
                <w:p w14:paraId="1F40DD33">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943" w:type="dxa"/>
                  <w:tcBorders>
                    <w:tl2br w:val="nil"/>
                    <w:tr2bl w:val="nil"/>
                  </w:tcBorders>
                  <w:noWrap w:val="0"/>
                  <w:vAlign w:val="center"/>
                </w:tcPr>
                <w:p w14:paraId="48929845">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597" w:type="dxa"/>
                  <w:tcBorders>
                    <w:tl2br w:val="nil"/>
                    <w:tr2bl w:val="nil"/>
                  </w:tcBorders>
                  <w:noWrap w:val="0"/>
                  <w:vAlign w:val="center"/>
                </w:tcPr>
                <w:p w14:paraId="08B9027E">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43" w:type="dxa"/>
                  <w:tcBorders>
                    <w:tl2br w:val="nil"/>
                    <w:tr2bl w:val="nil"/>
                  </w:tcBorders>
                  <w:noWrap w:val="0"/>
                  <w:vAlign w:val="center"/>
                </w:tcPr>
                <w:p w14:paraId="3FA70F8D">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43" w:type="dxa"/>
                  <w:tcBorders>
                    <w:tl2br w:val="nil"/>
                    <w:tr2bl w:val="nil"/>
                  </w:tcBorders>
                  <w:noWrap w:val="0"/>
                  <w:vAlign w:val="center"/>
                </w:tcPr>
                <w:p w14:paraId="6276ADC4">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43" w:type="dxa"/>
                  <w:tcBorders>
                    <w:tl2br w:val="nil"/>
                    <w:tr2bl w:val="nil"/>
                  </w:tcBorders>
                  <w:noWrap w:val="0"/>
                  <w:vAlign w:val="center"/>
                </w:tcPr>
                <w:p w14:paraId="6965A92F">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73" w:type="dxa"/>
                  <w:tcBorders>
                    <w:tl2br w:val="nil"/>
                    <w:tr2bl w:val="nil"/>
                  </w:tcBorders>
                  <w:noWrap w:val="0"/>
                  <w:vAlign w:val="center"/>
                </w:tcPr>
                <w:p w14:paraId="03BAE638">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472" w:type="dxa"/>
                  <w:tcBorders>
                    <w:tl2br w:val="nil"/>
                    <w:tr2bl w:val="nil"/>
                  </w:tcBorders>
                  <w:noWrap w:val="0"/>
                  <w:vAlign w:val="center"/>
                </w:tcPr>
                <w:p w14:paraId="7656DD21">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w:t>
                  </w:r>
                </w:p>
              </w:tc>
              <w:tc>
                <w:tcPr>
                  <w:tcW w:w="558" w:type="dxa"/>
                  <w:tcBorders>
                    <w:tl2br w:val="nil"/>
                    <w:tr2bl w:val="nil"/>
                  </w:tcBorders>
                  <w:noWrap w:val="0"/>
                  <w:vAlign w:val="center"/>
                </w:tcPr>
                <w:p w14:paraId="045AD420">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cs="Times New Roman"/>
                      <w:bCs/>
                      <w:spacing w:val="-10"/>
                      <w:kern w:val="2"/>
                      <w:sz w:val="21"/>
                      <w:szCs w:val="21"/>
                      <w:lang w:eastAsia="zh-CN" w:bidi="ar-SA"/>
                    </w:rPr>
                    <w:t>5</w:t>
                  </w:r>
                  <w:r>
                    <w:rPr>
                      <w:rFonts w:hint="default" w:ascii="Times New Roman" w:hAnsi="Times New Roman" w:cs="Times New Roman"/>
                      <w:bCs/>
                      <w:spacing w:val="-10"/>
                      <w:kern w:val="2"/>
                      <w:sz w:val="21"/>
                      <w:szCs w:val="21"/>
                      <w:lang w:val="en-US" w:eastAsia="zh-CN" w:bidi="ar-SA"/>
                    </w:rPr>
                    <w:t>.0</w:t>
                  </w:r>
                </w:p>
              </w:tc>
              <w:tc>
                <w:tcPr>
                  <w:tcW w:w="441" w:type="dxa"/>
                  <w:tcBorders>
                    <w:tl2br w:val="nil"/>
                    <w:tr2bl w:val="nil"/>
                  </w:tcBorders>
                  <w:noWrap w:val="0"/>
                  <w:vAlign w:val="center"/>
                </w:tcPr>
                <w:p w14:paraId="33396089">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r>
            <w:tr w14:paraId="33CF4B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3" w:type="dxa"/>
                  <w:vMerge w:val="restart"/>
                  <w:tcBorders>
                    <w:tl2br w:val="nil"/>
                    <w:tr2bl w:val="nil"/>
                  </w:tcBorders>
                  <w:noWrap w:val="0"/>
                  <w:vAlign w:val="center"/>
                </w:tcPr>
                <w:p w14:paraId="13A99953">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鄂式破碎机粉尘</w:t>
                  </w:r>
                </w:p>
              </w:tc>
              <w:tc>
                <w:tcPr>
                  <w:tcW w:w="343" w:type="dxa"/>
                  <w:tcBorders>
                    <w:tl2br w:val="nil"/>
                    <w:tr2bl w:val="nil"/>
                  </w:tcBorders>
                  <w:noWrap w:val="0"/>
                  <w:vAlign w:val="center"/>
                </w:tcPr>
                <w:p w14:paraId="350DFFCA">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颗粒物</w:t>
                  </w:r>
                </w:p>
              </w:tc>
              <w:tc>
                <w:tcPr>
                  <w:tcW w:w="707" w:type="dxa"/>
                  <w:tcBorders>
                    <w:tl2br w:val="nil"/>
                    <w:tr2bl w:val="nil"/>
                  </w:tcBorders>
                  <w:noWrap w:val="0"/>
                  <w:vAlign w:val="center"/>
                </w:tcPr>
                <w:p w14:paraId="293D19A0">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46656</w:t>
                  </w:r>
                </w:p>
              </w:tc>
              <w:tc>
                <w:tcPr>
                  <w:tcW w:w="500" w:type="dxa"/>
                  <w:tcBorders>
                    <w:tl2br w:val="nil"/>
                    <w:tr2bl w:val="nil"/>
                  </w:tcBorders>
                  <w:noWrap w:val="0"/>
                  <w:vAlign w:val="center"/>
                </w:tcPr>
                <w:p w14:paraId="5270025D">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214.7</w:t>
                  </w:r>
                </w:p>
              </w:tc>
              <w:tc>
                <w:tcPr>
                  <w:tcW w:w="598" w:type="dxa"/>
                  <w:tcBorders>
                    <w:tl2br w:val="nil"/>
                    <w:tr2bl w:val="nil"/>
                  </w:tcBorders>
                  <w:noWrap w:val="0"/>
                  <w:vAlign w:val="center"/>
                </w:tcPr>
                <w:p w14:paraId="3780FE42">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89.46</w:t>
                  </w:r>
                </w:p>
              </w:tc>
              <w:tc>
                <w:tcPr>
                  <w:tcW w:w="754" w:type="dxa"/>
                  <w:tcBorders>
                    <w:tl2br w:val="nil"/>
                    <w:tr2bl w:val="nil"/>
                  </w:tcBorders>
                  <w:noWrap w:val="0"/>
                  <w:vAlign w:val="center"/>
                </w:tcPr>
                <w:p w14:paraId="12A13B3E">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3457</w:t>
                  </w:r>
                </w:p>
              </w:tc>
              <w:tc>
                <w:tcPr>
                  <w:tcW w:w="343" w:type="dxa"/>
                  <w:tcBorders>
                    <w:tl2br w:val="nil"/>
                    <w:tr2bl w:val="nil"/>
                  </w:tcBorders>
                  <w:noWrap w:val="0"/>
                  <w:vAlign w:val="center"/>
                </w:tcPr>
                <w:p w14:paraId="0A5FEA40">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有组织</w:t>
                  </w:r>
                </w:p>
              </w:tc>
              <w:tc>
                <w:tcPr>
                  <w:tcW w:w="471" w:type="dxa"/>
                  <w:tcBorders>
                    <w:tl2br w:val="nil"/>
                    <w:tr2bl w:val="nil"/>
                  </w:tcBorders>
                  <w:noWrap w:val="0"/>
                  <w:vAlign w:val="center"/>
                </w:tcPr>
                <w:p w14:paraId="489E5C2E">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布袋除尘器</w:t>
                  </w:r>
                </w:p>
              </w:tc>
              <w:tc>
                <w:tcPr>
                  <w:tcW w:w="1232" w:type="dxa"/>
                  <w:tcBorders>
                    <w:tl2br w:val="nil"/>
                    <w:tr2bl w:val="nil"/>
                  </w:tcBorders>
                  <w:noWrap w:val="0"/>
                  <w:vAlign w:val="center"/>
                </w:tcPr>
                <w:p w14:paraId="7D90CF69">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99%</w:t>
                  </w:r>
                </w:p>
              </w:tc>
              <w:tc>
                <w:tcPr>
                  <w:tcW w:w="343" w:type="dxa"/>
                  <w:tcBorders>
                    <w:tl2br w:val="nil"/>
                    <w:tr2bl w:val="nil"/>
                  </w:tcBorders>
                  <w:noWrap w:val="0"/>
                  <w:vAlign w:val="center"/>
                </w:tcPr>
                <w:p w14:paraId="06247AC7">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是</w:t>
                  </w:r>
                </w:p>
              </w:tc>
              <w:tc>
                <w:tcPr>
                  <w:tcW w:w="563" w:type="dxa"/>
                  <w:tcBorders>
                    <w:tl2br w:val="nil"/>
                    <w:tr2bl w:val="nil"/>
                  </w:tcBorders>
                  <w:noWrap w:val="0"/>
                  <w:vAlign w:val="center"/>
                </w:tcPr>
                <w:p w14:paraId="563D7489">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2.147</w:t>
                  </w:r>
                </w:p>
              </w:tc>
              <w:tc>
                <w:tcPr>
                  <w:tcW w:w="500" w:type="dxa"/>
                  <w:tcBorders>
                    <w:tl2br w:val="nil"/>
                    <w:tr2bl w:val="nil"/>
                  </w:tcBorders>
                  <w:noWrap w:val="0"/>
                  <w:vAlign w:val="center"/>
                </w:tcPr>
                <w:p w14:paraId="23ED7737">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0.895</w:t>
                  </w:r>
                </w:p>
              </w:tc>
              <w:tc>
                <w:tcPr>
                  <w:tcW w:w="557" w:type="dxa"/>
                  <w:tcBorders>
                    <w:tl2br w:val="nil"/>
                    <w:tr2bl w:val="nil"/>
                  </w:tcBorders>
                  <w:noWrap w:val="0"/>
                  <w:vAlign w:val="center"/>
                </w:tcPr>
                <w:p w14:paraId="669C6D09">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19.2</w:t>
                  </w:r>
                </w:p>
              </w:tc>
              <w:tc>
                <w:tcPr>
                  <w:tcW w:w="943" w:type="dxa"/>
                  <w:tcBorders>
                    <w:tl2br w:val="nil"/>
                    <w:tr2bl w:val="nil"/>
                  </w:tcBorders>
                  <w:noWrap w:val="0"/>
                  <w:vAlign w:val="center"/>
                </w:tcPr>
                <w:p w14:paraId="30F80311">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86°12′26.676″</w:t>
                  </w:r>
                </w:p>
              </w:tc>
              <w:tc>
                <w:tcPr>
                  <w:tcW w:w="943" w:type="dxa"/>
                  <w:tcBorders>
                    <w:tl2br w:val="nil"/>
                    <w:tr2bl w:val="nil"/>
                  </w:tcBorders>
                  <w:noWrap w:val="0"/>
                  <w:vAlign w:val="center"/>
                </w:tcPr>
                <w:p w14:paraId="1EA580AC">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42°25′23.861″</w:t>
                  </w:r>
                </w:p>
              </w:tc>
              <w:tc>
                <w:tcPr>
                  <w:tcW w:w="597" w:type="dxa"/>
                  <w:tcBorders>
                    <w:tl2br w:val="nil"/>
                    <w:tr2bl w:val="nil"/>
                  </w:tcBorders>
                  <w:noWrap w:val="0"/>
                  <w:vAlign w:val="center"/>
                </w:tcPr>
                <w:p w14:paraId="4E14E252">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DA001</w:t>
                  </w:r>
                </w:p>
              </w:tc>
              <w:tc>
                <w:tcPr>
                  <w:tcW w:w="343" w:type="dxa"/>
                  <w:tcBorders>
                    <w:tl2br w:val="nil"/>
                    <w:tr2bl w:val="nil"/>
                  </w:tcBorders>
                  <w:noWrap w:val="0"/>
                  <w:vAlign w:val="center"/>
                </w:tcPr>
                <w:p w14:paraId="523C54AD">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鄂式破碎机废气排放口</w:t>
                  </w:r>
                </w:p>
              </w:tc>
              <w:tc>
                <w:tcPr>
                  <w:tcW w:w="343" w:type="dxa"/>
                  <w:tcBorders>
                    <w:tl2br w:val="nil"/>
                    <w:tr2bl w:val="nil"/>
                  </w:tcBorders>
                  <w:noWrap w:val="0"/>
                  <w:vAlign w:val="center"/>
                </w:tcPr>
                <w:p w14:paraId="4C3B0BA3">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一般排放口</w:t>
                  </w:r>
                </w:p>
              </w:tc>
              <w:tc>
                <w:tcPr>
                  <w:tcW w:w="343" w:type="dxa"/>
                  <w:tcBorders>
                    <w:tl2br w:val="nil"/>
                    <w:tr2bl w:val="nil"/>
                  </w:tcBorders>
                  <w:noWrap w:val="0"/>
                  <w:vAlign w:val="center"/>
                </w:tcPr>
                <w:p w14:paraId="0F82CBE9">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15</w:t>
                  </w:r>
                </w:p>
              </w:tc>
              <w:tc>
                <w:tcPr>
                  <w:tcW w:w="373" w:type="dxa"/>
                  <w:tcBorders>
                    <w:tl2br w:val="nil"/>
                    <w:tr2bl w:val="nil"/>
                  </w:tcBorders>
                  <w:noWrap w:val="0"/>
                  <w:vAlign w:val="center"/>
                </w:tcPr>
                <w:p w14:paraId="632CC20B">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ascii="Times New Roman" w:hAnsi="Times New Roman" w:cs="Times New Roman"/>
                      <w:bCs/>
                      <w:spacing w:val="-10"/>
                      <w:kern w:val="2"/>
                      <w:sz w:val="21"/>
                      <w:szCs w:val="21"/>
                      <w:lang w:val="en-US" w:eastAsia="zh-CN" w:bidi="ar-SA"/>
                    </w:rPr>
                    <w:t>1.0</w:t>
                  </w:r>
                </w:p>
              </w:tc>
              <w:tc>
                <w:tcPr>
                  <w:tcW w:w="472" w:type="dxa"/>
                  <w:tcBorders>
                    <w:tl2br w:val="nil"/>
                    <w:tr2bl w:val="nil"/>
                  </w:tcBorders>
                  <w:noWrap w:val="0"/>
                  <w:vAlign w:val="center"/>
                </w:tcPr>
                <w:p w14:paraId="03964E17">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30</w:t>
                  </w:r>
                </w:p>
              </w:tc>
              <w:tc>
                <w:tcPr>
                  <w:tcW w:w="558" w:type="dxa"/>
                  <w:tcBorders>
                    <w:tl2br w:val="nil"/>
                    <w:tr2bl w:val="nil"/>
                  </w:tcBorders>
                  <w:noWrap w:val="0"/>
                  <w:vAlign w:val="center"/>
                </w:tcPr>
                <w:p w14:paraId="5CFCF8C6">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20</w:t>
                  </w:r>
                </w:p>
              </w:tc>
              <w:tc>
                <w:tcPr>
                  <w:tcW w:w="441" w:type="dxa"/>
                  <w:tcBorders>
                    <w:tl2br w:val="nil"/>
                    <w:tr2bl w:val="nil"/>
                  </w:tcBorders>
                  <w:noWrap w:val="0"/>
                  <w:vAlign w:val="center"/>
                </w:tcPr>
                <w:p w14:paraId="271BB8BF">
                  <w:pPr>
                    <w:adjustRightInd w:val="0"/>
                    <w:snapToGrid w:val="0"/>
                    <w:jc w:val="center"/>
                    <w:rPr>
                      <w:rFonts w:hint="default" w:ascii="Times New Roman" w:hAnsi="Times New Roman" w:cs="Times New Roman"/>
                      <w:bCs/>
                      <w:spacing w:val="-10"/>
                      <w:kern w:val="2"/>
                      <w:sz w:val="21"/>
                      <w:szCs w:val="21"/>
                      <w:lang w:eastAsia="zh-CN" w:bidi="ar-SA"/>
                    </w:rPr>
                  </w:pPr>
                  <w:r>
                    <w:rPr>
                      <w:rFonts w:hint="default" w:cs="Times New Roman"/>
                      <w:bCs/>
                      <w:spacing w:val="-10"/>
                      <w:kern w:val="2"/>
                      <w:sz w:val="21"/>
                      <w:szCs w:val="21"/>
                      <w:lang w:eastAsia="zh-CN" w:bidi="ar-SA"/>
                    </w:rPr>
                    <w:t>/</w:t>
                  </w:r>
                </w:p>
              </w:tc>
            </w:tr>
            <w:tr w14:paraId="7AE16E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3" w:type="dxa"/>
                  <w:vMerge w:val="continue"/>
                  <w:tcBorders>
                    <w:tl2br w:val="nil"/>
                    <w:tr2bl w:val="nil"/>
                  </w:tcBorders>
                  <w:noWrap w:val="0"/>
                  <w:vAlign w:val="center"/>
                </w:tcPr>
                <w:p w14:paraId="046FEEFA">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343" w:type="dxa"/>
                  <w:tcBorders>
                    <w:tl2br w:val="nil"/>
                    <w:tr2bl w:val="nil"/>
                  </w:tcBorders>
                  <w:noWrap w:val="0"/>
                  <w:vAlign w:val="center"/>
                </w:tcPr>
                <w:p w14:paraId="36A59FC5">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颗粒物</w:t>
                  </w:r>
                </w:p>
              </w:tc>
              <w:tc>
                <w:tcPr>
                  <w:tcW w:w="707" w:type="dxa"/>
                  <w:tcBorders>
                    <w:tl2br w:val="nil"/>
                    <w:tr2bl w:val="nil"/>
                  </w:tcBorders>
                  <w:noWrap w:val="0"/>
                  <w:vAlign w:val="center"/>
                </w:tcPr>
                <w:p w14:paraId="68190D38">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500" w:type="dxa"/>
                  <w:tcBorders>
                    <w:tl2br w:val="nil"/>
                    <w:tr2bl w:val="nil"/>
                  </w:tcBorders>
                  <w:noWrap w:val="0"/>
                  <w:vAlign w:val="center"/>
                </w:tcPr>
                <w:p w14:paraId="2BD5BBBF">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11.3</w:t>
                  </w:r>
                </w:p>
              </w:tc>
              <w:tc>
                <w:tcPr>
                  <w:tcW w:w="598" w:type="dxa"/>
                  <w:tcBorders>
                    <w:tl2br w:val="nil"/>
                    <w:tr2bl w:val="nil"/>
                  </w:tcBorders>
                  <w:noWrap w:val="0"/>
                  <w:vAlign w:val="center"/>
                </w:tcPr>
                <w:p w14:paraId="59475EFF">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4.708</w:t>
                  </w:r>
                </w:p>
              </w:tc>
              <w:tc>
                <w:tcPr>
                  <w:tcW w:w="754" w:type="dxa"/>
                  <w:tcBorders>
                    <w:tl2br w:val="nil"/>
                    <w:tr2bl w:val="nil"/>
                  </w:tcBorders>
                  <w:noWrap w:val="0"/>
                  <w:vAlign w:val="center"/>
                </w:tcPr>
                <w:p w14:paraId="61ABE1EC">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43" w:type="dxa"/>
                  <w:tcBorders>
                    <w:tl2br w:val="nil"/>
                    <w:tr2bl w:val="nil"/>
                  </w:tcBorders>
                  <w:noWrap w:val="0"/>
                  <w:vAlign w:val="center"/>
                </w:tcPr>
                <w:p w14:paraId="20525F04">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无组织</w:t>
                  </w:r>
                </w:p>
              </w:tc>
              <w:tc>
                <w:tcPr>
                  <w:tcW w:w="471" w:type="dxa"/>
                  <w:tcBorders>
                    <w:tl2br w:val="nil"/>
                    <w:tr2bl w:val="nil"/>
                  </w:tcBorders>
                  <w:noWrap w:val="0"/>
                  <w:vAlign w:val="center"/>
                </w:tcPr>
                <w:p w14:paraId="6B79DD41">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封闭厂房</w:t>
                  </w:r>
                </w:p>
              </w:tc>
              <w:tc>
                <w:tcPr>
                  <w:tcW w:w="1232" w:type="dxa"/>
                  <w:tcBorders>
                    <w:tl2br w:val="nil"/>
                    <w:tr2bl w:val="nil"/>
                  </w:tcBorders>
                  <w:noWrap w:val="0"/>
                  <w:vAlign w:val="center"/>
                </w:tcPr>
                <w:p w14:paraId="611DD7FE">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60%</w:t>
                  </w:r>
                </w:p>
              </w:tc>
              <w:tc>
                <w:tcPr>
                  <w:tcW w:w="343" w:type="dxa"/>
                  <w:tcBorders>
                    <w:tl2br w:val="nil"/>
                    <w:tr2bl w:val="nil"/>
                  </w:tcBorders>
                  <w:noWrap w:val="0"/>
                  <w:vAlign w:val="center"/>
                </w:tcPr>
                <w:p w14:paraId="3CC1B543">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563" w:type="dxa"/>
                  <w:tcBorders>
                    <w:tl2br w:val="nil"/>
                    <w:tr2bl w:val="nil"/>
                  </w:tcBorders>
                  <w:noWrap w:val="0"/>
                  <w:vAlign w:val="center"/>
                </w:tcPr>
                <w:p w14:paraId="4B8855E6">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4.52</w:t>
                  </w:r>
                </w:p>
              </w:tc>
              <w:tc>
                <w:tcPr>
                  <w:tcW w:w="500" w:type="dxa"/>
                  <w:tcBorders>
                    <w:tl2br w:val="nil"/>
                    <w:tr2bl w:val="nil"/>
                  </w:tcBorders>
                  <w:noWrap w:val="0"/>
                  <w:vAlign w:val="center"/>
                </w:tcPr>
                <w:p w14:paraId="210A8ADE">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1.883</w:t>
                  </w:r>
                </w:p>
              </w:tc>
              <w:tc>
                <w:tcPr>
                  <w:tcW w:w="557" w:type="dxa"/>
                  <w:tcBorders>
                    <w:tl2br w:val="nil"/>
                    <w:tr2bl w:val="nil"/>
                  </w:tcBorders>
                  <w:noWrap w:val="0"/>
                  <w:vAlign w:val="center"/>
                </w:tcPr>
                <w:p w14:paraId="794073D0">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943" w:type="dxa"/>
                  <w:tcBorders>
                    <w:tl2br w:val="nil"/>
                    <w:tr2bl w:val="nil"/>
                  </w:tcBorders>
                  <w:noWrap w:val="0"/>
                  <w:vAlign w:val="center"/>
                </w:tcPr>
                <w:p w14:paraId="46436AEF">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943" w:type="dxa"/>
                  <w:tcBorders>
                    <w:tl2br w:val="nil"/>
                    <w:tr2bl w:val="nil"/>
                  </w:tcBorders>
                  <w:noWrap w:val="0"/>
                  <w:vAlign w:val="center"/>
                </w:tcPr>
                <w:p w14:paraId="3C04439B">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597" w:type="dxa"/>
                  <w:tcBorders>
                    <w:tl2br w:val="nil"/>
                    <w:tr2bl w:val="nil"/>
                  </w:tcBorders>
                  <w:noWrap w:val="0"/>
                  <w:vAlign w:val="center"/>
                </w:tcPr>
                <w:p w14:paraId="26A4C9A7">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43" w:type="dxa"/>
                  <w:tcBorders>
                    <w:tl2br w:val="nil"/>
                    <w:tr2bl w:val="nil"/>
                  </w:tcBorders>
                  <w:noWrap w:val="0"/>
                  <w:vAlign w:val="center"/>
                </w:tcPr>
                <w:p w14:paraId="6134085C">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43" w:type="dxa"/>
                  <w:tcBorders>
                    <w:tl2br w:val="nil"/>
                    <w:tr2bl w:val="nil"/>
                  </w:tcBorders>
                  <w:noWrap w:val="0"/>
                  <w:vAlign w:val="center"/>
                </w:tcPr>
                <w:p w14:paraId="03CE4D37">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43" w:type="dxa"/>
                  <w:tcBorders>
                    <w:tl2br w:val="nil"/>
                    <w:tr2bl w:val="nil"/>
                  </w:tcBorders>
                  <w:noWrap w:val="0"/>
                  <w:vAlign w:val="center"/>
                </w:tcPr>
                <w:p w14:paraId="6B672FDC">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73" w:type="dxa"/>
                  <w:tcBorders>
                    <w:tl2br w:val="nil"/>
                    <w:tr2bl w:val="nil"/>
                  </w:tcBorders>
                  <w:noWrap w:val="0"/>
                  <w:vAlign w:val="center"/>
                </w:tcPr>
                <w:p w14:paraId="446A582D">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472" w:type="dxa"/>
                  <w:tcBorders>
                    <w:tl2br w:val="nil"/>
                    <w:tr2bl w:val="nil"/>
                  </w:tcBorders>
                  <w:noWrap w:val="0"/>
                  <w:vAlign w:val="center"/>
                </w:tcPr>
                <w:p w14:paraId="6C1C3DA5">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w:t>
                  </w:r>
                </w:p>
              </w:tc>
              <w:tc>
                <w:tcPr>
                  <w:tcW w:w="558" w:type="dxa"/>
                  <w:tcBorders>
                    <w:tl2br w:val="nil"/>
                    <w:tr2bl w:val="nil"/>
                  </w:tcBorders>
                  <w:noWrap w:val="0"/>
                  <w:vAlign w:val="center"/>
                </w:tcPr>
                <w:p w14:paraId="710FB9F1">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cs="Times New Roman"/>
                      <w:bCs/>
                      <w:spacing w:val="-10"/>
                      <w:kern w:val="2"/>
                      <w:sz w:val="21"/>
                      <w:szCs w:val="21"/>
                      <w:lang w:eastAsia="zh-CN" w:bidi="ar-SA"/>
                    </w:rPr>
                    <w:t>5</w:t>
                  </w:r>
                  <w:r>
                    <w:rPr>
                      <w:rFonts w:hint="default" w:ascii="Times New Roman" w:hAnsi="Times New Roman" w:cs="Times New Roman"/>
                      <w:bCs/>
                      <w:spacing w:val="-10"/>
                      <w:kern w:val="2"/>
                      <w:sz w:val="21"/>
                      <w:szCs w:val="21"/>
                      <w:lang w:val="en-US" w:eastAsia="zh-CN" w:bidi="ar-SA"/>
                    </w:rPr>
                    <w:t>.0</w:t>
                  </w:r>
                </w:p>
              </w:tc>
              <w:tc>
                <w:tcPr>
                  <w:tcW w:w="441" w:type="dxa"/>
                  <w:tcBorders>
                    <w:tl2br w:val="nil"/>
                    <w:tr2bl w:val="nil"/>
                  </w:tcBorders>
                  <w:noWrap w:val="0"/>
                  <w:vAlign w:val="center"/>
                </w:tcPr>
                <w:p w14:paraId="7F1BCD2B">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r>
            <w:tr w14:paraId="07AA62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3" w:type="dxa"/>
                  <w:tcBorders>
                    <w:tl2br w:val="nil"/>
                    <w:tr2bl w:val="nil"/>
                  </w:tcBorders>
                  <w:noWrap w:val="0"/>
                  <w:vAlign w:val="center"/>
                </w:tcPr>
                <w:p w14:paraId="7B2AD48F">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雷蒙磨</w:t>
                  </w:r>
                </w:p>
              </w:tc>
              <w:tc>
                <w:tcPr>
                  <w:tcW w:w="343" w:type="dxa"/>
                  <w:tcBorders>
                    <w:tl2br w:val="nil"/>
                    <w:tr2bl w:val="nil"/>
                  </w:tcBorders>
                  <w:noWrap w:val="0"/>
                  <w:vAlign w:val="center"/>
                </w:tcPr>
                <w:p w14:paraId="26639623">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颗粒物</w:t>
                  </w:r>
                </w:p>
              </w:tc>
              <w:tc>
                <w:tcPr>
                  <w:tcW w:w="707" w:type="dxa"/>
                  <w:tcBorders>
                    <w:tl2br w:val="nil"/>
                    <w:tr2bl w:val="nil"/>
                  </w:tcBorders>
                  <w:noWrap w:val="0"/>
                  <w:vAlign w:val="center"/>
                </w:tcPr>
                <w:p w14:paraId="7DBBC524">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8</w:t>
                  </w:r>
                  <w:r>
                    <w:rPr>
                      <w:rFonts w:hint="default" w:ascii="Times New Roman" w:hAnsi="Times New Roman" w:cs="Times New Roman"/>
                      <w:bCs/>
                      <w:spacing w:val="-10"/>
                      <w:kern w:val="2"/>
                      <w:sz w:val="21"/>
                      <w:szCs w:val="21"/>
                      <w:lang w:val="en-US" w:eastAsia="zh-CN" w:bidi="ar-SA"/>
                    </w:rPr>
                    <w:t>0000</w:t>
                  </w:r>
                </w:p>
              </w:tc>
              <w:tc>
                <w:tcPr>
                  <w:tcW w:w="500" w:type="dxa"/>
                  <w:tcBorders>
                    <w:tl2br w:val="nil"/>
                    <w:tr2bl w:val="nil"/>
                  </w:tcBorders>
                  <w:noWrap w:val="0"/>
                  <w:vAlign w:val="center"/>
                </w:tcPr>
                <w:p w14:paraId="7A42B305">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39.8万</w:t>
                  </w:r>
                </w:p>
              </w:tc>
              <w:tc>
                <w:tcPr>
                  <w:tcW w:w="598" w:type="dxa"/>
                  <w:tcBorders>
                    <w:tl2br w:val="nil"/>
                    <w:tr2bl w:val="nil"/>
                  </w:tcBorders>
                  <w:noWrap w:val="0"/>
                  <w:vAlign w:val="center"/>
                </w:tcPr>
                <w:p w14:paraId="5D5F253B">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165833</w:t>
                  </w:r>
                </w:p>
              </w:tc>
              <w:tc>
                <w:tcPr>
                  <w:tcW w:w="754" w:type="dxa"/>
                  <w:tcBorders>
                    <w:tl2br w:val="nil"/>
                    <w:tr2bl w:val="nil"/>
                  </w:tcBorders>
                  <w:noWrap w:val="0"/>
                  <w:vAlign w:val="center"/>
                </w:tcPr>
                <w:p w14:paraId="47BB1F02">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2072916.7</w:t>
                  </w:r>
                </w:p>
              </w:tc>
              <w:tc>
                <w:tcPr>
                  <w:tcW w:w="343" w:type="dxa"/>
                  <w:tcBorders>
                    <w:tl2br w:val="nil"/>
                    <w:tr2bl w:val="nil"/>
                  </w:tcBorders>
                  <w:noWrap w:val="0"/>
                  <w:vAlign w:val="center"/>
                </w:tcPr>
                <w:p w14:paraId="02236C4A">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有组织</w:t>
                  </w:r>
                </w:p>
              </w:tc>
              <w:tc>
                <w:tcPr>
                  <w:tcW w:w="471" w:type="dxa"/>
                  <w:tcBorders>
                    <w:tl2br w:val="nil"/>
                    <w:tr2bl w:val="nil"/>
                  </w:tcBorders>
                  <w:noWrap w:val="0"/>
                  <w:vAlign w:val="center"/>
                </w:tcPr>
                <w:p w14:paraId="30A0F047">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旋风除尘器+旋风除尘器+布袋除尘器</w:t>
                  </w:r>
                </w:p>
              </w:tc>
              <w:tc>
                <w:tcPr>
                  <w:tcW w:w="1232" w:type="dxa"/>
                  <w:tcBorders>
                    <w:tl2br w:val="nil"/>
                    <w:tr2bl w:val="nil"/>
                  </w:tcBorders>
                  <w:noWrap w:val="0"/>
                  <w:vAlign w:val="center"/>
                </w:tcPr>
                <w:p w14:paraId="3D3E1F94">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80%+80%+</w:t>
                  </w:r>
                  <w:r>
                    <w:rPr>
                      <w:rFonts w:hint="default" w:ascii="Times New Roman" w:hAnsi="Times New Roman" w:cs="Times New Roman"/>
                      <w:bCs/>
                      <w:spacing w:val="-10"/>
                      <w:kern w:val="2"/>
                      <w:sz w:val="21"/>
                      <w:szCs w:val="21"/>
                      <w:lang w:val="en-US" w:eastAsia="zh-CN" w:bidi="ar-SA"/>
                    </w:rPr>
                    <w:t>99</w:t>
                  </w:r>
                  <w:r>
                    <w:rPr>
                      <w:rFonts w:hint="eastAsia" w:cs="Times New Roman"/>
                      <w:bCs/>
                      <w:spacing w:val="-10"/>
                      <w:kern w:val="2"/>
                      <w:sz w:val="21"/>
                      <w:szCs w:val="21"/>
                      <w:lang w:val="en-US" w:eastAsia="zh-CN" w:bidi="ar-SA"/>
                    </w:rPr>
                    <w:t>.99</w:t>
                  </w:r>
                  <w:r>
                    <w:rPr>
                      <w:rFonts w:hint="default" w:ascii="Times New Roman" w:hAnsi="Times New Roman" w:cs="Times New Roman"/>
                      <w:bCs/>
                      <w:spacing w:val="-10"/>
                      <w:kern w:val="2"/>
                      <w:sz w:val="21"/>
                      <w:szCs w:val="21"/>
                      <w:lang w:val="en-US" w:eastAsia="zh-CN" w:bidi="ar-SA"/>
                    </w:rPr>
                    <w:t>%</w:t>
                  </w:r>
                </w:p>
              </w:tc>
              <w:tc>
                <w:tcPr>
                  <w:tcW w:w="343" w:type="dxa"/>
                  <w:tcBorders>
                    <w:tl2br w:val="nil"/>
                    <w:tr2bl w:val="nil"/>
                  </w:tcBorders>
                  <w:noWrap w:val="0"/>
                  <w:vAlign w:val="center"/>
                </w:tcPr>
                <w:p w14:paraId="51020DD0">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是</w:t>
                  </w:r>
                </w:p>
              </w:tc>
              <w:tc>
                <w:tcPr>
                  <w:tcW w:w="563" w:type="dxa"/>
                  <w:tcBorders>
                    <w:tl2br w:val="nil"/>
                    <w:tr2bl w:val="nil"/>
                  </w:tcBorders>
                  <w:noWrap w:val="0"/>
                  <w:vAlign w:val="center"/>
                </w:tcPr>
                <w:p w14:paraId="355F0BA1">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1.592</w:t>
                  </w:r>
                </w:p>
              </w:tc>
              <w:tc>
                <w:tcPr>
                  <w:tcW w:w="500" w:type="dxa"/>
                  <w:tcBorders>
                    <w:tl2br w:val="nil"/>
                    <w:tr2bl w:val="nil"/>
                  </w:tcBorders>
                  <w:noWrap w:val="0"/>
                  <w:vAlign w:val="center"/>
                </w:tcPr>
                <w:p w14:paraId="235DDCF4">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0.663</w:t>
                  </w:r>
                </w:p>
              </w:tc>
              <w:tc>
                <w:tcPr>
                  <w:tcW w:w="557" w:type="dxa"/>
                  <w:tcBorders>
                    <w:tl2br w:val="nil"/>
                    <w:tr2bl w:val="nil"/>
                  </w:tcBorders>
                  <w:noWrap w:val="0"/>
                  <w:vAlign w:val="center"/>
                </w:tcPr>
                <w:p w14:paraId="6F82D514">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8.3</w:t>
                  </w:r>
                </w:p>
              </w:tc>
              <w:tc>
                <w:tcPr>
                  <w:tcW w:w="943" w:type="dxa"/>
                  <w:tcBorders>
                    <w:tl2br w:val="nil"/>
                    <w:tr2bl w:val="nil"/>
                  </w:tcBorders>
                  <w:noWrap w:val="0"/>
                  <w:vAlign w:val="center"/>
                </w:tcPr>
                <w:p w14:paraId="47F583DE">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86°12′27.352″</w:t>
                  </w:r>
                </w:p>
              </w:tc>
              <w:tc>
                <w:tcPr>
                  <w:tcW w:w="943" w:type="dxa"/>
                  <w:tcBorders>
                    <w:tl2br w:val="nil"/>
                    <w:tr2bl w:val="nil"/>
                  </w:tcBorders>
                  <w:noWrap w:val="0"/>
                  <w:vAlign w:val="center"/>
                </w:tcPr>
                <w:p w14:paraId="530FE446">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42°25′22.471″</w:t>
                  </w:r>
                </w:p>
              </w:tc>
              <w:tc>
                <w:tcPr>
                  <w:tcW w:w="597" w:type="dxa"/>
                  <w:tcBorders>
                    <w:tl2br w:val="nil"/>
                    <w:tr2bl w:val="nil"/>
                  </w:tcBorders>
                  <w:noWrap w:val="0"/>
                  <w:vAlign w:val="center"/>
                </w:tcPr>
                <w:p w14:paraId="1357F230">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DA002</w:t>
                  </w:r>
                </w:p>
              </w:tc>
              <w:tc>
                <w:tcPr>
                  <w:tcW w:w="343" w:type="dxa"/>
                  <w:tcBorders>
                    <w:tl2br w:val="nil"/>
                    <w:tr2bl w:val="nil"/>
                  </w:tcBorders>
                  <w:noWrap w:val="0"/>
                  <w:vAlign w:val="center"/>
                </w:tcPr>
                <w:p w14:paraId="1EA0A31B">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雷蒙磨废气排放口</w:t>
                  </w:r>
                </w:p>
              </w:tc>
              <w:tc>
                <w:tcPr>
                  <w:tcW w:w="343" w:type="dxa"/>
                  <w:tcBorders>
                    <w:tl2br w:val="nil"/>
                    <w:tr2bl w:val="nil"/>
                  </w:tcBorders>
                  <w:noWrap w:val="0"/>
                  <w:vAlign w:val="center"/>
                </w:tcPr>
                <w:p w14:paraId="1539F198">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一般排放口</w:t>
                  </w:r>
                </w:p>
              </w:tc>
              <w:tc>
                <w:tcPr>
                  <w:tcW w:w="343" w:type="dxa"/>
                  <w:tcBorders>
                    <w:tl2br w:val="nil"/>
                    <w:tr2bl w:val="nil"/>
                  </w:tcBorders>
                  <w:noWrap w:val="0"/>
                  <w:vAlign w:val="center"/>
                </w:tcPr>
                <w:p w14:paraId="06D18049">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15</w:t>
                  </w:r>
                </w:p>
              </w:tc>
              <w:tc>
                <w:tcPr>
                  <w:tcW w:w="373" w:type="dxa"/>
                  <w:tcBorders>
                    <w:tl2br w:val="nil"/>
                    <w:tr2bl w:val="nil"/>
                  </w:tcBorders>
                  <w:noWrap w:val="0"/>
                  <w:vAlign w:val="center"/>
                </w:tcPr>
                <w:p w14:paraId="3A670E11">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ascii="Times New Roman" w:hAnsi="Times New Roman" w:cs="Times New Roman"/>
                      <w:bCs/>
                      <w:spacing w:val="-10"/>
                      <w:kern w:val="2"/>
                      <w:sz w:val="21"/>
                      <w:szCs w:val="21"/>
                      <w:lang w:val="en-US" w:eastAsia="zh-CN" w:bidi="ar-SA"/>
                    </w:rPr>
                    <w:t>1.0</w:t>
                  </w:r>
                </w:p>
              </w:tc>
              <w:tc>
                <w:tcPr>
                  <w:tcW w:w="472" w:type="dxa"/>
                  <w:tcBorders>
                    <w:tl2br w:val="nil"/>
                    <w:tr2bl w:val="nil"/>
                  </w:tcBorders>
                  <w:noWrap w:val="0"/>
                  <w:vAlign w:val="center"/>
                </w:tcPr>
                <w:p w14:paraId="237F8672">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30</w:t>
                  </w:r>
                </w:p>
              </w:tc>
              <w:tc>
                <w:tcPr>
                  <w:tcW w:w="558" w:type="dxa"/>
                  <w:tcBorders>
                    <w:tl2br w:val="nil"/>
                    <w:tr2bl w:val="nil"/>
                  </w:tcBorders>
                  <w:noWrap w:val="0"/>
                  <w:vAlign w:val="center"/>
                </w:tcPr>
                <w:p w14:paraId="25713BEF">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20</w:t>
                  </w:r>
                </w:p>
              </w:tc>
              <w:tc>
                <w:tcPr>
                  <w:tcW w:w="441" w:type="dxa"/>
                  <w:tcBorders>
                    <w:tl2br w:val="nil"/>
                    <w:tr2bl w:val="nil"/>
                  </w:tcBorders>
                  <w:noWrap w:val="0"/>
                  <w:vAlign w:val="center"/>
                </w:tcPr>
                <w:p w14:paraId="6281F6A9">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3.5</w:t>
                  </w:r>
                </w:p>
              </w:tc>
            </w:tr>
            <w:tr w14:paraId="00DBD0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3" w:type="dxa"/>
                  <w:vMerge w:val="restart"/>
                  <w:tcBorders>
                    <w:tl2br w:val="nil"/>
                    <w:tr2bl w:val="nil"/>
                  </w:tcBorders>
                  <w:noWrap w:val="0"/>
                  <w:vAlign w:val="center"/>
                </w:tcPr>
                <w:p w14:paraId="7187CAD0">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腻子粉生产</w:t>
                  </w:r>
                </w:p>
              </w:tc>
              <w:tc>
                <w:tcPr>
                  <w:tcW w:w="343" w:type="dxa"/>
                  <w:tcBorders>
                    <w:tl2br w:val="nil"/>
                    <w:tr2bl w:val="nil"/>
                  </w:tcBorders>
                  <w:noWrap w:val="0"/>
                  <w:vAlign w:val="center"/>
                </w:tcPr>
                <w:p w14:paraId="026A6FC4">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颗粒物</w:t>
                  </w:r>
                </w:p>
              </w:tc>
              <w:tc>
                <w:tcPr>
                  <w:tcW w:w="707" w:type="dxa"/>
                  <w:tcBorders>
                    <w:tl2br w:val="nil"/>
                    <w:tr2bl w:val="nil"/>
                  </w:tcBorders>
                  <w:noWrap w:val="0"/>
                  <w:vAlign w:val="center"/>
                </w:tcPr>
                <w:p w14:paraId="6BDCACE6">
                  <w:pPr>
                    <w:adjustRightInd w:val="0"/>
                    <w:snapToGrid w:val="0"/>
                    <w:jc w:val="center"/>
                    <w:rPr>
                      <w:rFonts w:hint="default" w:ascii="Times New Roman" w:hAnsi="Times New Roman" w:cs="Times New Roman"/>
                      <w:bCs/>
                      <w:spacing w:val="-10"/>
                      <w:kern w:val="2"/>
                      <w:sz w:val="21"/>
                      <w:szCs w:val="21"/>
                      <w:lang w:eastAsia="zh-CN" w:bidi="ar-SA"/>
                    </w:rPr>
                  </w:pPr>
                  <w:r>
                    <w:rPr>
                      <w:rFonts w:hint="default" w:cs="Times New Roman"/>
                      <w:bCs/>
                      <w:spacing w:val="-10"/>
                      <w:kern w:val="2"/>
                      <w:sz w:val="21"/>
                      <w:szCs w:val="21"/>
                      <w:lang w:eastAsia="zh-CN" w:bidi="ar-SA"/>
                    </w:rPr>
                    <w:t>5000</w:t>
                  </w:r>
                </w:p>
              </w:tc>
              <w:tc>
                <w:tcPr>
                  <w:tcW w:w="500" w:type="dxa"/>
                  <w:tcBorders>
                    <w:tl2br w:val="nil"/>
                    <w:tr2bl w:val="nil"/>
                  </w:tcBorders>
                  <w:noWrap w:val="0"/>
                  <w:vAlign w:val="center"/>
                </w:tcPr>
                <w:p w14:paraId="674FAB0E">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2.25</w:t>
                  </w:r>
                </w:p>
              </w:tc>
              <w:tc>
                <w:tcPr>
                  <w:tcW w:w="598" w:type="dxa"/>
                  <w:tcBorders>
                    <w:tl2br w:val="nil"/>
                    <w:tr2bl w:val="nil"/>
                  </w:tcBorders>
                  <w:noWrap w:val="0"/>
                  <w:vAlign w:val="center"/>
                </w:tcPr>
                <w:p w14:paraId="5FE9295C">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0.938</w:t>
                  </w:r>
                </w:p>
              </w:tc>
              <w:tc>
                <w:tcPr>
                  <w:tcW w:w="754" w:type="dxa"/>
                  <w:tcBorders>
                    <w:tl2br w:val="nil"/>
                    <w:tr2bl w:val="nil"/>
                  </w:tcBorders>
                  <w:noWrap w:val="0"/>
                  <w:vAlign w:val="center"/>
                </w:tcPr>
                <w:p w14:paraId="307AB163">
                  <w:pPr>
                    <w:adjustRightInd w:val="0"/>
                    <w:snapToGrid w:val="0"/>
                    <w:jc w:val="center"/>
                    <w:rPr>
                      <w:rFonts w:hint="default" w:ascii="Times New Roman" w:hAnsi="Times New Roman" w:cs="Times New Roman"/>
                      <w:bCs/>
                      <w:spacing w:val="-10"/>
                      <w:kern w:val="2"/>
                      <w:sz w:val="21"/>
                      <w:szCs w:val="21"/>
                      <w:lang w:eastAsia="zh-CN" w:bidi="ar-SA"/>
                    </w:rPr>
                  </w:pPr>
                  <w:r>
                    <w:rPr>
                      <w:rFonts w:hint="default" w:cs="Times New Roman"/>
                      <w:bCs/>
                      <w:spacing w:val="-10"/>
                      <w:kern w:val="2"/>
                      <w:sz w:val="21"/>
                      <w:szCs w:val="21"/>
                      <w:lang w:eastAsia="zh-CN" w:bidi="ar-SA"/>
                    </w:rPr>
                    <w:t>187.6</w:t>
                  </w:r>
                </w:p>
              </w:tc>
              <w:tc>
                <w:tcPr>
                  <w:tcW w:w="343" w:type="dxa"/>
                  <w:tcBorders>
                    <w:tl2br w:val="nil"/>
                    <w:tr2bl w:val="nil"/>
                  </w:tcBorders>
                  <w:noWrap w:val="0"/>
                  <w:vAlign w:val="center"/>
                </w:tcPr>
                <w:p w14:paraId="46FD7F53">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有组织</w:t>
                  </w:r>
                </w:p>
              </w:tc>
              <w:tc>
                <w:tcPr>
                  <w:tcW w:w="471" w:type="dxa"/>
                  <w:tcBorders>
                    <w:tl2br w:val="nil"/>
                    <w:tr2bl w:val="nil"/>
                  </w:tcBorders>
                  <w:noWrap w:val="0"/>
                  <w:vAlign w:val="center"/>
                </w:tcPr>
                <w:p w14:paraId="5B446933">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布袋除尘器</w:t>
                  </w:r>
                </w:p>
              </w:tc>
              <w:tc>
                <w:tcPr>
                  <w:tcW w:w="1232" w:type="dxa"/>
                  <w:tcBorders>
                    <w:tl2br w:val="nil"/>
                    <w:tr2bl w:val="nil"/>
                  </w:tcBorders>
                  <w:noWrap w:val="0"/>
                  <w:vAlign w:val="center"/>
                </w:tcPr>
                <w:p w14:paraId="55AF8B47">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99.7%</w:t>
                  </w:r>
                </w:p>
              </w:tc>
              <w:tc>
                <w:tcPr>
                  <w:tcW w:w="343" w:type="dxa"/>
                  <w:tcBorders>
                    <w:tl2br w:val="nil"/>
                    <w:tr2bl w:val="nil"/>
                  </w:tcBorders>
                  <w:noWrap w:val="0"/>
                  <w:vAlign w:val="center"/>
                </w:tcPr>
                <w:p w14:paraId="3A454CDF">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是</w:t>
                  </w:r>
                </w:p>
              </w:tc>
              <w:tc>
                <w:tcPr>
                  <w:tcW w:w="563" w:type="dxa"/>
                  <w:tcBorders>
                    <w:tl2br w:val="nil"/>
                    <w:tr2bl w:val="nil"/>
                  </w:tcBorders>
                  <w:noWrap w:val="0"/>
                  <w:vAlign w:val="center"/>
                </w:tcPr>
                <w:p w14:paraId="62B1B62C">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0.007</w:t>
                  </w:r>
                </w:p>
              </w:tc>
              <w:tc>
                <w:tcPr>
                  <w:tcW w:w="500" w:type="dxa"/>
                  <w:tcBorders>
                    <w:tl2br w:val="nil"/>
                    <w:tr2bl w:val="nil"/>
                  </w:tcBorders>
                  <w:noWrap w:val="0"/>
                  <w:vAlign w:val="center"/>
                </w:tcPr>
                <w:p w14:paraId="10D240F2">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0.003</w:t>
                  </w:r>
                </w:p>
              </w:tc>
              <w:tc>
                <w:tcPr>
                  <w:tcW w:w="557" w:type="dxa"/>
                  <w:tcBorders>
                    <w:tl2br w:val="nil"/>
                    <w:tr2bl w:val="nil"/>
                  </w:tcBorders>
                  <w:noWrap w:val="0"/>
                  <w:vAlign w:val="center"/>
                </w:tcPr>
                <w:p w14:paraId="06042D46">
                  <w:pPr>
                    <w:adjustRightInd w:val="0"/>
                    <w:snapToGrid w:val="0"/>
                    <w:jc w:val="center"/>
                    <w:rPr>
                      <w:rFonts w:hint="default" w:ascii="Times New Roman" w:hAnsi="Times New Roman" w:cs="Times New Roman"/>
                      <w:bCs/>
                      <w:spacing w:val="-10"/>
                      <w:kern w:val="2"/>
                      <w:sz w:val="21"/>
                      <w:szCs w:val="21"/>
                      <w:lang w:eastAsia="zh-CN" w:bidi="ar-SA"/>
                    </w:rPr>
                  </w:pPr>
                  <w:r>
                    <w:rPr>
                      <w:rFonts w:hint="default" w:cs="Times New Roman"/>
                      <w:bCs/>
                      <w:spacing w:val="-10"/>
                      <w:kern w:val="2"/>
                      <w:sz w:val="21"/>
                      <w:szCs w:val="21"/>
                      <w:lang w:eastAsia="zh-CN" w:bidi="ar-SA"/>
                    </w:rPr>
                    <w:t>0.6</w:t>
                  </w:r>
                </w:p>
              </w:tc>
              <w:tc>
                <w:tcPr>
                  <w:tcW w:w="943" w:type="dxa"/>
                  <w:tcBorders>
                    <w:tl2br w:val="nil"/>
                    <w:tr2bl w:val="nil"/>
                  </w:tcBorders>
                  <w:noWrap w:val="0"/>
                  <w:vAlign w:val="center"/>
                </w:tcPr>
                <w:p w14:paraId="1F87EF96">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86°12′27.989″</w:t>
                  </w:r>
                </w:p>
              </w:tc>
              <w:tc>
                <w:tcPr>
                  <w:tcW w:w="943" w:type="dxa"/>
                  <w:tcBorders>
                    <w:tl2br w:val="nil"/>
                    <w:tr2bl w:val="nil"/>
                  </w:tcBorders>
                  <w:noWrap w:val="0"/>
                  <w:vAlign w:val="center"/>
                </w:tcPr>
                <w:p w14:paraId="3726AB44">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42°25′21.428″</w:t>
                  </w:r>
                </w:p>
              </w:tc>
              <w:tc>
                <w:tcPr>
                  <w:tcW w:w="597" w:type="dxa"/>
                  <w:tcBorders>
                    <w:tl2br w:val="nil"/>
                    <w:tr2bl w:val="nil"/>
                  </w:tcBorders>
                  <w:noWrap w:val="0"/>
                  <w:vAlign w:val="center"/>
                </w:tcPr>
                <w:p w14:paraId="0BBE8185">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DA003</w:t>
                  </w:r>
                </w:p>
              </w:tc>
              <w:tc>
                <w:tcPr>
                  <w:tcW w:w="343" w:type="dxa"/>
                  <w:tcBorders>
                    <w:tl2br w:val="nil"/>
                    <w:tr2bl w:val="nil"/>
                  </w:tcBorders>
                  <w:noWrap w:val="0"/>
                  <w:vAlign w:val="center"/>
                </w:tcPr>
                <w:p w14:paraId="0E1529E6">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腻子粉生产废气排放口</w:t>
                  </w:r>
                </w:p>
              </w:tc>
              <w:tc>
                <w:tcPr>
                  <w:tcW w:w="343" w:type="dxa"/>
                  <w:tcBorders>
                    <w:tl2br w:val="nil"/>
                    <w:tr2bl w:val="nil"/>
                  </w:tcBorders>
                  <w:noWrap w:val="0"/>
                  <w:vAlign w:val="center"/>
                </w:tcPr>
                <w:p w14:paraId="1FC4139E">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一般排放口</w:t>
                  </w:r>
                </w:p>
              </w:tc>
              <w:tc>
                <w:tcPr>
                  <w:tcW w:w="343" w:type="dxa"/>
                  <w:tcBorders>
                    <w:tl2br w:val="nil"/>
                    <w:tr2bl w:val="nil"/>
                  </w:tcBorders>
                  <w:noWrap w:val="0"/>
                  <w:vAlign w:val="center"/>
                </w:tcPr>
                <w:p w14:paraId="3DF1946A">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15</w:t>
                  </w:r>
                </w:p>
              </w:tc>
              <w:tc>
                <w:tcPr>
                  <w:tcW w:w="373" w:type="dxa"/>
                  <w:tcBorders>
                    <w:tl2br w:val="nil"/>
                    <w:tr2bl w:val="nil"/>
                  </w:tcBorders>
                  <w:noWrap w:val="0"/>
                  <w:vAlign w:val="center"/>
                </w:tcPr>
                <w:p w14:paraId="3E1139C9">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ascii="Times New Roman" w:hAnsi="Times New Roman" w:cs="Times New Roman"/>
                      <w:bCs/>
                      <w:spacing w:val="-10"/>
                      <w:kern w:val="2"/>
                      <w:sz w:val="21"/>
                      <w:szCs w:val="21"/>
                      <w:lang w:val="en-US" w:eastAsia="zh-CN" w:bidi="ar-SA"/>
                    </w:rPr>
                    <w:t>1.0</w:t>
                  </w:r>
                </w:p>
              </w:tc>
              <w:tc>
                <w:tcPr>
                  <w:tcW w:w="472" w:type="dxa"/>
                  <w:tcBorders>
                    <w:tl2br w:val="nil"/>
                    <w:tr2bl w:val="nil"/>
                  </w:tcBorders>
                  <w:noWrap w:val="0"/>
                  <w:vAlign w:val="center"/>
                </w:tcPr>
                <w:p w14:paraId="25BC5AC2">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30</w:t>
                  </w:r>
                </w:p>
              </w:tc>
              <w:tc>
                <w:tcPr>
                  <w:tcW w:w="558" w:type="dxa"/>
                  <w:tcBorders>
                    <w:tl2br w:val="nil"/>
                    <w:tr2bl w:val="nil"/>
                  </w:tcBorders>
                  <w:noWrap w:val="0"/>
                  <w:vAlign w:val="center"/>
                </w:tcPr>
                <w:p w14:paraId="5E132F48">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120</w:t>
                  </w:r>
                </w:p>
              </w:tc>
              <w:tc>
                <w:tcPr>
                  <w:tcW w:w="441" w:type="dxa"/>
                  <w:tcBorders>
                    <w:tl2br w:val="nil"/>
                    <w:tr2bl w:val="nil"/>
                  </w:tcBorders>
                  <w:noWrap w:val="0"/>
                  <w:vAlign w:val="center"/>
                </w:tcPr>
                <w:p w14:paraId="5C8CB548">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3.5</w:t>
                  </w:r>
                </w:p>
              </w:tc>
            </w:tr>
            <w:tr w14:paraId="3A8DBB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3" w:type="dxa"/>
                  <w:vMerge w:val="continue"/>
                  <w:tcBorders>
                    <w:tl2br w:val="nil"/>
                    <w:tr2bl w:val="nil"/>
                  </w:tcBorders>
                  <w:noWrap w:val="0"/>
                  <w:vAlign w:val="center"/>
                </w:tcPr>
                <w:p w14:paraId="3806A47A">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343" w:type="dxa"/>
                  <w:tcBorders>
                    <w:tl2br w:val="nil"/>
                    <w:tr2bl w:val="nil"/>
                  </w:tcBorders>
                  <w:noWrap w:val="0"/>
                  <w:vAlign w:val="center"/>
                </w:tcPr>
                <w:p w14:paraId="585CA7E5">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颗粒物</w:t>
                  </w:r>
                </w:p>
              </w:tc>
              <w:tc>
                <w:tcPr>
                  <w:tcW w:w="707" w:type="dxa"/>
                  <w:tcBorders>
                    <w:tl2br w:val="nil"/>
                    <w:tr2bl w:val="nil"/>
                  </w:tcBorders>
                  <w:noWrap w:val="0"/>
                  <w:vAlign w:val="center"/>
                </w:tcPr>
                <w:p w14:paraId="404DB512">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500" w:type="dxa"/>
                  <w:tcBorders>
                    <w:tl2br w:val="nil"/>
                    <w:tr2bl w:val="nil"/>
                  </w:tcBorders>
                  <w:noWrap w:val="0"/>
                  <w:vAlign w:val="center"/>
                </w:tcPr>
                <w:p w14:paraId="3410249C">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0.25</w:t>
                  </w:r>
                </w:p>
              </w:tc>
              <w:tc>
                <w:tcPr>
                  <w:tcW w:w="598" w:type="dxa"/>
                  <w:tcBorders>
                    <w:tl2br w:val="nil"/>
                    <w:tr2bl w:val="nil"/>
                  </w:tcBorders>
                  <w:noWrap w:val="0"/>
                  <w:vAlign w:val="center"/>
                </w:tcPr>
                <w:p w14:paraId="7F83B0B1">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0.104</w:t>
                  </w:r>
                </w:p>
              </w:tc>
              <w:tc>
                <w:tcPr>
                  <w:tcW w:w="754" w:type="dxa"/>
                  <w:tcBorders>
                    <w:tl2br w:val="nil"/>
                    <w:tr2bl w:val="nil"/>
                  </w:tcBorders>
                  <w:noWrap w:val="0"/>
                  <w:vAlign w:val="center"/>
                </w:tcPr>
                <w:p w14:paraId="390E7E9B">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43" w:type="dxa"/>
                  <w:tcBorders>
                    <w:tl2br w:val="nil"/>
                    <w:tr2bl w:val="nil"/>
                  </w:tcBorders>
                  <w:noWrap w:val="0"/>
                  <w:vAlign w:val="center"/>
                </w:tcPr>
                <w:p w14:paraId="7646CF88">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无组织</w:t>
                  </w:r>
                </w:p>
              </w:tc>
              <w:tc>
                <w:tcPr>
                  <w:tcW w:w="471" w:type="dxa"/>
                  <w:tcBorders>
                    <w:tl2br w:val="nil"/>
                    <w:tr2bl w:val="nil"/>
                  </w:tcBorders>
                  <w:noWrap w:val="0"/>
                  <w:vAlign w:val="center"/>
                </w:tcPr>
                <w:p w14:paraId="6C785CA1">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封闭厂房</w:t>
                  </w:r>
                </w:p>
              </w:tc>
              <w:tc>
                <w:tcPr>
                  <w:tcW w:w="1232" w:type="dxa"/>
                  <w:tcBorders>
                    <w:tl2br w:val="nil"/>
                    <w:tr2bl w:val="nil"/>
                  </w:tcBorders>
                  <w:noWrap w:val="0"/>
                  <w:vAlign w:val="center"/>
                </w:tcPr>
                <w:p w14:paraId="39DA9884">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60%</w:t>
                  </w:r>
                </w:p>
              </w:tc>
              <w:tc>
                <w:tcPr>
                  <w:tcW w:w="343" w:type="dxa"/>
                  <w:tcBorders>
                    <w:tl2br w:val="nil"/>
                    <w:tr2bl w:val="nil"/>
                  </w:tcBorders>
                  <w:noWrap w:val="0"/>
                  <w:vAlign w:val="center"/>
                </w:tcPr>
                <w:p w14:paraId="02E0AFCE">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563" w:type="dxa"/>
                  <w:tcBorders>
                    <w:tl2br w:val="nil"/>
                    <w:tr2bl w:val="nil"/>
                  </w:tcBorders>
                  <w:noWrap w:val="0"/>
                  <w:vAlign w:val="center"/>
                </w:tcPr>
                <w:p w14:paraId="300F8364">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0.1</w:t>
                  </w:r>
                </w:p>
              </w:tc>
              <w:tc>
                <w:tcPr>
                  <w:tcW w:w="500" w:type="dxa"/>
                  <w:tcBorders>
                    <w:tl2br w:val="nil"/>
                    <w:tr2bl w:val="nil"/>
                  </w:tcBorders>
                  <w:noWrap w:val="0"/>
                  <w:vAlign w:val="center"/>
                </w:tcPr>
                <w:p w14:paraId="0CF6D9AE">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0.042</w:t>
                  </w:r>
                </w:p>
              </w:tc>
              <w:tc>
                <w:tcPr>
                  <w:tcW w:w="557" w:type="dxa"/>
                  <w:tcBorders>
                    <w:tl2br w:val="nil"/>
                    <w:tr2bl w:val="nil"/>
                  </w:tcBorders>
                  <w:noWrap w:val="0"/>
                  <w:vAlign w:val="center"/>
                </w:tcPr>
                <w:p w14:paraId="11937E18">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943" w:type="dxa"/>
                  <w:tcBorders>
                    <w:tl2br w:val="nil"/>
                    <w:tr2bl w:val="nil"/>
                  </w:tcBorders>
                  <w:noWrap w:val="0"/>
                  <w:vAlign w:val="center"/>
                </w:tcPr>
                <w:p w14:paraId="5B223BF4">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943" w:type="dxa"/>
                  <w:tcBorders>
                    <w:tl2br w:val="nil"/>
                    <w:tr2bl w:val="nil"/>
                  </w:tcBorders>
                  <w:noWrap w:val="0"/>
                  <w:vAlign w:val="center"/>
                </w:tcPr>
                <w:p w14:paraId="6A9C40A8">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597" w:type="dxa"/>
                  <w:tcBorders>
                    <w:tl2br w:val="nil"/>
                    <w:tr2bl w:val="nil"/>
                  </w:tcBorders>
                  <w:noWrap w:val="0"/>
                  <w:vAlign w:val="center"/>
                </w:tcPr>
                <w:p w14:paraId="7E80ECEB">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43" w:type="dxa"/>
                  <w:tcBorders>
                    <w:tl2br w:val="nil"/>
                    <w:tr2bl w:val="nil"/>
                  </w:tcBorders>
                  <w:noWrap w:val="0"/>
                  <w:vAlign w:val="center"/>
                </w:tcPr>
                <w:p w14:paraId="610A2E5B">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43" w:type="dxa"/>
                  <w:tcBorders>
                    <w:tl2br w:val="nil"/>
                    <w:tr2bl w:val="nil"/>
                  </w:tcBorders>
                  <w:noWrap w:val="0"/>
                  <w:vAlign w:val="center"/>
                </w:tcPr>
                <w:p w14:paraId="232DD0B9">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43" w:type="dxa"/>
                  <w:tcBorders>
                    <w:tl2br w:val="nil"/>
                    <w:tr2bl w:val="nil"/>
                  </w:tcBorders>
                  <w:noWrap w:val="0"/>
                  <w:vAlign w:val="center"/>
                </w:tcPr>
                <w:p w14:paraId="29D273D1">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73" w:type="dxa"/>
                  <w:tcBorders>
                    <w:tl2br w:val="nil"/>
                    <w:tr2bl w:val="nil"/>
                  </w:tcBorders>
                  <w:noWrap w:val="0"/>
                  <w:vAlign w:val="center"/>
                </w:tcPr>
                <w:p w14:paraId="27500F8D">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472" w:type="dxa"/>
                  <w:tcBorders>
                    <w:tl2br w:val="nil"/>
                    <w:tr2bl w:val="nil"/>
                  </w:tcBorders>
                  <w:noWrap w:val="0"/>
                  <w:vAlign w:val="center"/>
                </w:tcPr>
                <w:p w14:paraId="55E19691">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w:t>
                  </w:r>
                </w:p>
              </w:tc>
              <w:tc>
                <w:tcPr>
                  <w:tcW w:w="558" w:type="dxa"/>
                  <w:tcBorders>
                    <w:tl2br w:val="nil"/>
                    <w:tr2bl w:val="nil"/>
                  </w:tcBorders>
                  <w:noWrap w:val="0"/>
                  <w:vAlign w:val="center"/>
                </w:tcPr>
                <w:p w14:paraId="7411DA19">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1.0</w:t>
                  </w:r>
                </w:p>
              </w:tc>
              <w:tc>
                <w:tcPr>
                  <w:tcW w:w="441" w:type="dxa"/>
                  <w:tcBorders>
                    <w:tl2br w:val="nil"/>
                    <w:tr2bl w:val="nil"/>
                  </w:tcBorders>
                  <w:noWrap w:val="0"/>
                  <w:vAlign w:val="center"/>
                </w:tcPr>
                <w:p w14:paraId="61F44560">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r>
            <w:tr w14:paraId="1DBC16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3" w:type="dxa"/>
                  <w:vMerge w:val="restart"/>
                  <w:tcBorders>
                    <w:tl2br w:val="nil"/>
                    <w:tr2bl w:val="nil"/>
                  </w:tcBorders>
                  <w:noWrap w:val="0"/>
                  <w:vAlign w:val="center"/>
                </w:tcPr>
                <w:p w14:paraId="328009BD">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ascii="Times New Roman" w:hAnsi="Times New Roman" w:cs="Times New Roman"/>
                      <w:bCs/>
                      <w:spacing w:val="-10"/>
                      <w:kern w:val="2"/>
                      <w:sz w:val="21"/>
                      <w:szCs w:val="21"/>
                      <w:lang w:val="en-US" w:eastAsia="zh-CN" w:bidi="ar-SA"/>
                    </w:rPr>
                    <w:t>包装</w:t>
                  </w:r>
                </w:p>
              </w:tc>
              <w:tc>
                <w:tcPr>
                  <w:tcW w:w="343" w:type="dxa"/>
                  <w:vMerge w:val="restart"/>
                  <w:tcBorders>
                    <w:tl2br w:val="nil"/>
                    <w:tr2bl w:val="nil"/>
                  </w:tcBorders>
                  <w:noWrap w:val="0"/>
                  <w:vAlign w:val="center"/>
                </w:tcPr>
                <w:p w14:paraId="7A40571F">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颗粒物</w:t>
                  </w:r>
                </w:p>
              </w:tc>
              <w:tc>
                <w:tcPr>
                  <w:tcW w:w="707" w:type="dxa"/>
                  <w:tcBorders>
                    <w:tl2br w:val="nil"/>
                    <w:tr2bl w:val="nil"/>
                  </w:tcBorders>
                  <w:noWrap w:val="0"/>
                  <w:vAlign w:val="center"/>
                </w:tcPr>
                <w:p w14:paraId="7683227D">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2000</w:t>
                  </w:r>
                </w:p>
              </w:tc>
              <w:tc>
                <w:tcPr>
                  <w:tcW w:w="500" w:type="dxa"/>
                  <w:tcBorders>
                    <w:tl2br w:val="nil"/>
                    <w:tr2bl w:val="nil"/>
                  </w:tcBorders>
                  <w:noWrap w:val="0"/>
                  <w:vAlign w:val="center"/>
                </w:tcPr>
                <w:p w14:paraId="51658613">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2.7</w:t>
                  </w:r>
                </w:p>
              </w:tc>
              <w:tc>
                <w:tcPr>
                  <w:tcW w:w="598" w:type="dxa"/>
                  <w:tcBorders>
                    <w:tl2br w:val="nil"/>
                    <w:tr2bl w:val="nil"/>
                  </w:tcBorders>
                  <w:noWrap w:val="0"/>
                  <w:vAlign w:val="center"/>
                </w:tcPr>
                <w:p w14:paraId="6DDCAF05">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1.125</w:t>
                  </w:r>
                </w:p>
              </w:tc>
              <w:tc>
                <w:tcPr>
                  <w:tcW w:w="754" w:type="dxa"/>
                  <w:tcBorders>
                    <w:tl2br w:val="nil"/>
                    <w:tr2bl w:val="nil"/>
                  </w:tcBorders>
                  <w:noWrap w:val="0"/>
                  <w:vAlign w:val="center"/>
                </w:tcPr>
                <w:p w14:paraId="29BB3457">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562</w:t>
                  </w:r>
                </w:p>
              </w:tc>
              <w:tc>
                <w:tcPr>
                  <w:tcW w:w="343" w:type="dxa"/>
                  <w:tcBorders>
                    <w:tl2br w:val="nil"/>
                    <w:tr2bl w:val="nil"/>
                  </w:tcBorders>
                  <w:noWrap w:val="0"/>
                  <w:vAlign w:val="center"/>
                </w:tcPr>
                <w:p w14:paraId="5D4518F5">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有组织</w:t>
                  </w:r>
                </w:p>
              </w:tc>
              <w:tc>
                <w:tcPr>
                  <w:tcW w:w="471" w:type="dxa"/>
                  <w:tcBorders>
                    <w:tl2br w:val="nil"/>
                    <w:tr2bl w:val="nil"/>
                  </w:tcBorders>
                  <w:noWrap w:val="0"/>
                  <w:vAlign w:val="center"/>
                </w:tcPr>
                <w:p w14:paraId="24B7D32C">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布袋除尘器</w:t>
                  </w:r>
                </w:p>
              </w:tc>
              <w:tc>
                <w:tcPr>
                  <w:tcW w:w="1232" w:type="dxa"/>
                  <w:tcBorders>
                    <w:tl2br w:val="nil"/>
                    <w:tr2bl w:val="nil"/>
                  </w:tcBorders>
                  <w:noWrap w:val="0"/>
                  <w:vAlign w:val="center"/>
                </w:tcPr>
                <w:p w14:paraId="0B03AB1F">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99%</w:t>
                  </w:r>
                </w:p>
              </w:tc>
              <w:tc>
                <w:tcPr>
                  <w:tcW w:w="343" w:type="dxa"/>
                  <w:tcBorders>
                    <w:tl2br w:val="nil"/>
                    <w:tr2bl w:val="nil"/>
                  </w:tcBorders>
                  <w:noWrap w:val="0"/>
                  <w:vAlign w:val="center"/>
                </w:tcPr>
                <w:p w14:paraId="4CEADFD8">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是</w:t>
                  </w:r>
                </w:p>
              </w:tc>
              <w:tc>
                <w:tcPr>
                  <w:tcW w:w="563" w:type="dxa"/>
                  <w:tcBorders>
                    <w:tl2br w:val="nil"/>
                    <w:tr2bl w:val="nil"/>
                  </w:tcBorders>
                  <w:noWrap w:val="0"/>
                  <w:vAlign w:val="center"/>
                </w:tcPr>
                <w:p w14:paraId="7C52DDDD">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0.027</w:t>
                  </w:r>
                </w:p>
              </w:tc>
              <w:tc>
                <w:tcPr>
                  <w:tcW w:w="500" w:type="dxa"/>
                  <w:tcBorders>
                    <w:tl2br w:val="nil"/>
                    <w:tr2bl w:val="nil"/>
                  </w:tcBorders>
                  <w:noWrap w:val="0"/>
                  <w:vAlign w:val="center"/>
                </w:tcPr>
                <w:p w14:paraId="15F1F923">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0.011</w:t>
                  </w:r>
                </w:p>
              </w:tc>
              <w:tc>
                <w:tcPr>
                  <w:tcW w:w="557" w:type="dxa"/>
                  <w:tcBorders>
                    <w:tl2br w:val="nil"/>
                    <w:tr2bl w:val="nil"/>
                  </w:tcBorders>
                  <w:noWrap w:val="0"/>
                  <w:vAlign w:val="center"/>
                </w:tcPr>
                <w:p w14:paraId="54EBC571">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5.6</w:t>
                  </w:r>
                </w:p>
              </w:tc>
              <w:tc>
                <w:tcPr>
                  <w:tcW w:w="943" w:type="dxa"/>
                  <w:tcBorders>
                    <w:tl2br w:val="nil"/>
                    <w:tr2bl w:val="nil"/>
                  </w:tcBorders>
                  <w:noWrap w:val="0"/>
                  <w:vAlign w:val="center"/>
                </w:tcPr>
                <w:p w14:paraId="211DAA7E">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943" w:type="dxa"/>
                  <w:tcBorders>
                    <w:tl2br w:val="nil"/>
                    <w:tr2bl w:val="nil"/>
                  </w:tcBorders>
                  <w:noWrap w:val="0"/>
                  <w:vAlign w:val="center"/>
                </w:tcPr>
                <w:p w14:paraId="2940D235">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597" w:type="dxa"/>
                  <w:tcBorders>
                    <w:tl2br w:val="nil"/>
                    <w:tr2bl w:val="nil"/>
                  </w:tcBorders>
                  <w:noWrap w:val="0"/>
                  <w:vAlign w:val="center"/>
                </w:tcPr>
                <w:p w14:paraId="5AF598FD">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DA004</w:t>
                  </w:r>
                </w:p>
              </w:tc>
              <w:tc>
                <w:tcPr>
                  <w:tcW w:w="343" w:type="dxa"/>
                  <w:tcBorders>
                    <w:tl2br w:val="nil"/>
                    <w:tr2bl w:val="nil"/>
                  </w:tcBorders>
                  <w:noWrap w:val="0"/>
                  <w:vAlign w:val="center"/>
                </w:tcPr>
                <w:p w14:paraId="799B8504">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打包废气排放口</w:t>
                  </w:r>
                </w:p>
              </w:tc>
              <w:tc>
                <w:tcPr>
                  <w:tcW w:w="343" w:type="dxa"/>
                  <w:tcBorders>
                    <w:tl2br w:val="nil"/>
                    <w:tr2bl w:val="nil"/>
                  </w:tcBorders>
                  <w:noWrap w:val="0"/>
                  <w:vAlign w:val="center"/>
                </w:tcPr>
                <w:p w14:paraId="6E41E1A8">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一般排放口</w:t>
                  </w:r>
                </w:p>
              </w:tc>
              <w:tc>
                <w:tcPr>
                  <w:tcW w:w="343" w:type="dxa"/>
                  <w:tcBorders>
                    <w:tl2br w:val="nil"/>
                    <w:tr2bl w:val="nil"/>
                  </w:tcBorders>
                  <w:noWrap w:val="0"/>
                  <w:vAlign w:val="center"/>
                </w:tcPr>
                <w:p w14:paraId="44184007">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15</w:t>
                  </w:r>
                </w:p>
              </w:tc>
              <w:tc>
                <w:tcPr>
                  <w:tcW w:w="373" w:type="dxa"/>
                  <w:tcBorders>
                    <w:tl2br w:val="nil"/>
                    <w:tr2bl w:val="nil"/>
                  </w:tcBorders>
                  <w:noWrap w:val="0"/>
                  <w:vAlign w:val="center"/>
                </w:tcPr>
                <w:p w14:paraId="5CCFB1ED">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472" w:type="dxa"/>
                  <w:tcBorders>
                    <w:tl2br w:val="nil"/>
                    <w:tr2bl w:val="nil"/>
                  </w:tcBorders>
                  <w:noWrap w:val="0"/>
                  <w:vAlign w:val="center"/>
                </w:tcPr>
                <w:p w14:paraId="442EBE86">
                  <w:pPr>
                    <w:adjustRightInd w:val="0"/>
                    <w:snapToGrid w:val="0"/>
                    <w:jc w:val="center"/>
                    <w:rPr>
                      <w:rFonts w:hint="eastAsia" w:cs="Times New Roman"/>
                      <w:bCs/>
                      <w:spacing w:val="-10"/>
                      <w:kern w:val="2"/>
                      <w:sz w:val="21"/>
                      <w:szCs w:val="21"/>
                      <w:lang w:val="en-US" w:eastAsia="zh-CN" w:bidi="ar-SA"/>
                    </w:rPr>
                  </w:pPr>
                </w:p>
              </w:tc>
              <w:tc>
                <w:tcPr>
                  <w:tcW w:w="558" w:type="dxa"/>
                  <w:tcBorders>
                    <w:tl2br w:val="nil"/>
                    <w:tr2bl w:val="nil"/>
                  </w:tcBorders>
                  <w:noWrap w:val="0"/>
                  <w:vAlign w:val="center"/>
                </w:tcPr>
                <w:p w14:paraId="5BBB1872">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441" w:type="dxa"/>
                  <w:tcBorders>
                    <w:tl2br w:val="nil"/>
                    <w:tr2bl w:val="nil"/>
                  </w:tcBorders>
                  <w:noWrap w:val="0"/>
                  <w:vAlign w:val="center"/>
                </w:tcPr>
                <w:p w14:paraId="5FB46D26">
                  <w:pPr>
                    <w:adjustRightInd w:val="0"/>
                    <w:snapToGrid w:val="0"/>
                    <w:jc w:val="center"/>
                    <w:rPr>
                      <w:rFonts w:hint="default" w:ascii="Times New Roman" w:hAnsi="Times New Roman" w:cs="Times New Roman"/>
                      <w:bCs/>
                      <w:spacing w:val="-10"/>
                      <w:kern w:val="2"/>
                      <w:sz w:val="21"/>
                      <w:szCs w:val="21"/>
                      <w:lang w:val="en-US" w:eastAsia="zh-CN" w:bidi="ar-SA"/>
                    </w:rPr>
                  </w:pPr>
                </w:p>
              </w:tc>
            </w:tr>
            <w:tr w14:paraId="30ADFD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3" w:type="dxa"/>
                  <w:vMerge w:val="continue"/>
                  <w:tcBorders>
                    <w:tl2br w:val="nil"/>
                    <w:tr2bl w:val="nil"/>
                  </w:tcBorders>
                  <w:noWrap w:val="0"/>
                  <w:vAlign w:val="center"/>
                </w:tcPr>
                <w:p w14:paraId="742907EF">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343" w:type="dxa"/>
                  <w:vMerge w:val="continue"/>
                  <w:tcBorders>
                    <w:tl2br w:val="nil"/>
                    <w:tr2bl w:val="nil"/>
                  </w:tcBorders>
                  <w:noWrap w:val="0"/>
                  <w:vAlign w:val="center"/>
                </w:tcPr>
                <w:p w14:paraId="1926EB44">
                  <w:pPr>
                    <w:adjustRightInd w:val="0"/>
                    <w:snapToGrid w:val="0"/>
                    <w:jc w:val="center"/>
                    <w:rPr>
                      <w:rFonts w:hint="default" w:ascii="Times New Roman" w:hAnsi="Times New Roman" w:cs="Times New Roman"/>
                      <w:bCs/>
                      <w:spacing w:val="-10"/>
                      <w:kern w:val="2"/>
                      <w:sz w:val="21"/>
                      <w:szCs w:val="21"/>
                      <w:lang w:val="en-US" w:eastAsia="zh-CN" w:bidi="ar-SA"/>
                    </w:rPr>
                  </w:pPr>
                </w:p>
              </w:tc>
              <w:tc>
                <w:tcPr>
                  <w:tcW w:w="707" w:type="dxa"/>
                  <w:tcBorders>
                    <w:tl2br w:val="nil"/>
                    <w:tr2bl w:val="nil"/>
                  </w:tcBorders>
                  <w:noWrap w:val="0"/>
                  <w:vAlign w:val="center"/>
                </w:tcPr>
                <w:p w14:paraId="195BBBC0">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500" w:type="dxa"/>
                  <w:tcBorders>
                    <w:tl2br w:val="nil"/>
                    <w:tr2bl w:val="nil"/>
                  </w:tcBorders>
                  <w:noWrap w:val="0"/>
                  <w:vAlign w:val="center"/>
                </w:tcPr>
                <w:p w14:paraId="5EDE1477">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3.0</w:t>
                  </w:r>
                </w:p>
              </w:tc>
              <w:tc>
                <w:tcPr>
                  <w:tcW w:w="598" w:type="dxa"/>
                  <w:tcBorders>
                    <w:tl2br w:val="nil"/>
                    <w:tr2bl w:val="nil"/>
                  </w:tcBorders>
                  <w:noWrap w:val="0"/>
                  <w:vAlign w:val="center"/>
                </w:tcPr>
                <w:p w14:paraId="06D41024">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1.25</w:t>
                  </w:r>
                </w:p>
              </w:tc>
              <w:tc>
                <w:tcPr>
                  <w:tcW w:w="754" w:type="dxa"/>
                  <w:tcBorders>
                    <w:tl2br w:val="nil"/>
                    <w:tr2bl w:val="nil"/>
                  </w:tcBorders>
                  <w:noWrap w:val="0"/>
                  <w:vAlign w:val="center"/>
                </w:tcPr>
                <w:p w14:paraId="2A70EFE2">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43" w:type="dxa"/>
                  <w:tcBorders>
                    <w:tl2br w:val="nil"/>
                    <w:tr2bl w:val="nil"/>
                  </w:tcBorders>
                  <w:noWrap w:val="0"/>
                  <w:vAlign w:val="center"/>
                </w:tcPr>
                <w:p w14:paraId="7AB361E9">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无组织</w:t>
                  </w:r>
                </w:p>
              </w:tc>
              <w:tc>
                <w:tcPr>
                  <w:tcW w:w="471" w:type="dxa"/>
                  <w:tcBorders>
                    <w:tl2br w:val="nil"/>
                    <w:tr2bl w:val="nil"/>
                  </w:tcBorders>
                  <w:noWrap w:val="0"/>
                  <w:vAlign w:val="center"/>
                </w:tcPr>
                <w:p w14:paraId="75D0D526">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封闭厂房</w:t>
                  </w:r>
                </w:p>
              </w:tc>
              <w:tc>
                <w:tcPr>
                  <w:tcW w:w="1232" w:type="dxa"/>
                  <w:tcBorders>
                    <w:tl2br w:val="nil"/>
                    <w:tr2bl w:val="nil"/>
                  </w:tcBorders>
                  <w:noWrap w:val="0"/>
                  <w:vAlign w:val="center"/>
                </w:tcPr>
                <w:p w14:paraId="592AD5E1">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60%</w:t>
                  </w:r>
                </w:p>
              </w:tc>
              <w:tc>
                <w:tcPr>
                  <w:tcW w:w="343" w:type="dxa"/>
                  <w:tcBorders>
                    <w:tl2br w:val="nil"/>
                    <w:tr2bl w:val="nil"/>
                  </w:tcBorders>
                  <w:noWrap w:val="0"/>
                  <w:vAlign w:val="center"/>
                </w:tcPr>
                <w:p w14:paraId="51FF4176">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563" w:type="dxa"/>
                  <w:tcBorders>
                    <w:tl2br w:val="nil"/>
                    <w:tr2bl w:val="nil"/>
                  </w:tcBorders>
                  <w:noWrap w:val="0"/>
                  <w:vAlign w:val="center"/>
                </w:tcPr>
                <w:p w14:paraId="0AB08EA9">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1.2</w:t>
                  </w:r>
                </w:p>
              </w:tc>
              <w:tc>
                <w:tcPr>
                  <w:tcW w:w="500" w:type="dxa"/>
                  <w:tcBorders>
                    <w:tl2br w:val="nil"/>
                    <w:tr2bl w:val="nil"/>
                  </w:tcBorders>
                  <w:noWrap w:val="0"/>
                  <w:vAlign w:val="center"/>
                </w:tcPr>
                <w:p w14:paraId="5DFE69ED">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0.5</w:t>
                  </w:r>
                </w:p>
              </w:tc>
              <w:tc>
                <w:tcPr>
                  <w:tcW w:w="557" w:type="dxa"/>
                  <w:tcBorders>
                    <w:tl2br w:val="nil"/>
                    <w:tr2bl w:val="nil"/>
                  </w:tcBorders>
                  <w:noWrap w:val="0"/>
                  <w:vAlign w:val="center"/>
                </w:tcPr>
                <w:p w14:paraId="060FACA5">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943" w:type="dxa"/>
                  <w:tcBorders>
                    <w:tl2br w:val="nil"/>
                    <w:tr2bl w:val="nil"/>
                  </w:tcBorders>
                  <w:noWrap w:val="0"/>
                  <w:vAlign w:val="center"/>
                </w:tcPr>
                <w:p w14:paraId="6B34E15C">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943" w:type="dxa"/>
                  <w:tcBorders>
                    <w:tl2br w:val="nil"/>
                    <w:tr2bl w:val="nil"/>
                  </w:tcBorders>
                  <w:noWrap w:val="0"/>
                  <w:vAlign w:val="center"/>
                </w:tcPr>
                <w:p w14:paraId="2849F5BB">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597" w:type="dxa"/>
                  <w:tcBorders>
                    <w:tl2br w:val="nil"/>
                    <w:tr2bl w:val="nil"/>
                  </w:tcBorders>
                  <w:noWrap w:val="0"/>
                  <w:vAlign w:val="center"/>
                </w:tcPr>
                <w:p w14:paraId="73E13FF9">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43" w:type="dxa"/>
                  <w:tcBorders>
                    <w:tl2br w:val="nil"/>
                    <w:tr2bl w:val="nil"/>
                  </w:tcBorders>
                  <w:noWrap w:val="0"/>
                  <w:vAlign w:val="center"/>
                </w:tcPr>
                <w:p w14:paraId="5BFB1AC5">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43" w:type="dxa"/>
                  <w:tcBorders>
                    <w:tl2br w:val="nil"/>
                    <w:tr2bl w:val="nil"/>
                  </w:tcBorders>
                  <w:noWrap w:val="0"/>
                  <w:vAlign w:val="center"/>
                </w:tcPr>
                <w:p w14:paraId="28A1257E">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43" w:type="dxa"/>
                  <w:tcBorders>
                    <w:tl2br w:val="nil"/>
                    <w:tr2bl w:val="nil"/>
                  </w:tcBorders>
                  <w:noWrap w:val="0"/>
                  <w:vAlign w:val="center"/>
                </w:tcPr>
                <w:p w14:paraId="171034F8">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373" w:type="dxa"/>
                  <w:tcBorders>
                    <w:tl2br w:val="nil"/>
                    <w:tr2bl w:val="nil"/>
                  </w:tcBorders>
                  <w:noWrap w:val="0"/>
                  <w:vAlign w:val="center"/>
                </w:tcPr>
                <w:p w14:paraId="7C066C7D">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c>
                <w:tcPr>
                  <w:tcW w:w="472" w:type="dxa"/>
                  <w:tcBorders>
                    <w:tl2br w:val="nil"/>
                    <w:tr2bl w:val="nil"/>
                  </w:tcBorders>
                  <w:noWrap w:val="0"/>
                  <w:vAlign w:val="center"/>
                </w:tcPr>
                <w:p w14:paraId="0C2322F6">
                  <w:pPr>
                    <w:adjustRightInd w:val="0"/>
                    <w:snapToGrid w:val="0"/>
                    <w:jc w:val="center"/>
                    <w:rPr>
                      <w:rFonts w:hint="default" w:ascii="Times New Roman" w:hAnsi="Times New Roman" w:cs="Times New Roman"/>
                      <w:bCs/>
                      <w:spacing w:val="-10"/>
                      <w:kern w:val="2"/>
                      <w:sz w:val="21"/>
                      <w:szCs w:val="21"/>
                      <w:lang w:val="en-US" w:eastAsia="zh-CN" w:bidi="ar-SA"/>
                    </w:rPr>
                  </w:pPr>
                  <w:r>
                    <w:rPr>
                      <w:rFonts w:hint="eastAsia" w:cs="Times New Roman"/>
                      <w:bCs/>
                      <w:spacing w:val="-10"/>
                      <w:kern w:val="2"/>
                      <w:sz w:val="21"/>
                      <w:szCs w:val="21"/>
                      <w:lang w:val="en-US" w:eastAsia="zh-CN" w:bidi="ar-SA"/>
                    </w:rPr>
                    <w:t>/</w:t>
                  </w:r>
                </w:p>
              </w:tc>
              <w:tc>
                <w:tcPr>
                  <w:tcW w:w="558" w:type="dxa"/>
                  <w:tcBorders>
                    <w:tl2br w:val="nil"/>
                    <w:tr2bl w:val="nil"/>
                  </w:tcBorders>
                  <w:noWrap w:val="0"/>
                  <w:vAlign w:val="center"/>
                </w:tcPr>
                <w:p w14:paraId="4781DEA4">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1.0</w:t>
                  </w:r>
                </w:p>
              </w:tc>
              <w:tc>
                <w:tcPr>
                  <w:tcW w:w="441" w:type="dxa"/>
                  <w:tcBorders>
                    <w:tl2br w:val="nil"/>
                    <w:tr2bl w:val="nil"/>
                  </w:tcBorders>
                  <w:noWrap w:val="0"/>
                  <w:vAlign w:val="center"/>
                </w:tcPr>
                <w:p w14:paraId="650D299D">
                  <w:pPr>
                    <w:adjustRightInd w:val="0"/>
                    <w:snapToGrid w:val="0"/>
                    <w:jc w:val="center"/>
                    <w:rPr>
                      <w:rFonts w:hint="default" w:ascii="Times New Roman" w:hAnsi="Times New Roman" w:cs="Times New Roman"/>
                      <w:bCs/>
                      <w:spacing w:val="-10"/>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w:t>
                  </w:r>
                </w:p>
              </w:tc>
            </w:tr>
          </w:tbl>
          <w:p w14:paraId="44DE9834">
            <w:pPr>
              <w:adjustRightInd w:val="0"/>
              <w:snapToGrid w:val="0"/>
              <w:rPr>
                <w:rFonts w:ascii="宋体" w:hAnsi="宋体" w:cs="宋体"/>
                <w:bCs/>
                <w:spacing w:val="-10"/>
                <w:kern w:val="2"/>
                <w:sz w:val="21"/>
                <w:szCs w:val="21"/>
                <w:lang w:val="en-US" w:eastAsia="zh-CN" w:bidi="ar-SA"/>
              </w:rPr>
            </w:pPr>
          </w:p>
        </w:tc>
      </w:tr>
    </w:tbl>
    <w:p w14:paraId="282F1E84">
      <w:pPr>
        <w:pStyle w:val="19"/>
        <w:jc w:val="center"/>
        <w:outlineLvl w:val="0"/>
        <w:rPr>
          <w:rFonts w:ascii="黑体" w:hAnsi="黑体" w:eastAsia="黑体"/>
          <w:snapToGrid w:val="0"/>
          <w:sz w:val="30"/>
          <w:szCs w:val="30"/>
        </w:rPr>
        <w:sectPr>
          <w:pgSz w:w="16840" w:h="11907" w:orient="landscape"/>
          <w:pgMar w:top="1531" w:right="1701" w:bottom="1531" w:left="2127"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3"/>
        <w:tblW w:w="890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fixed"/>
        <w:tblCellMar>
          <w:top w:w="0" w:type="dxa"/>
          <w:left w:w="108" w:type="dxa"/>
          <w:bottom w:w="0" w:type="dxa"/>
          <w:right w:w="108" w:type="dxa"/>
        </w:tblCellMar>
      </w:tblPr>
      <w:tblGrid>
        <w:gridCol w:w="533"/>
        <w:gridCol w:w="8375"/>
      </w:tblGrid>
      <w:tr w14:paraId="08CE1569">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rPr>
          <w:trHeight w:val="4749" w:hRule="atLeast"/>
          <w:jc w:val="center"/>
        </w:trPr>
        <w:tc>
          <w:tcPr>
            <w:tcW w:w="533" w:type="dxa"/>
            <w:tcBorders>
              <w:tl2br w:val="nil"/>
              <w:tr2bl w:val="nil"/>
            </w:tcBorders>
            <w:noWrap w:val="0"/>
            <w:tcMar>
              <w:left w:w="28" w:type="dxa"/>
              <w:right w:w="28" w:type="dxa"/>
            </w:tcMar>
            <w:vAlign w:val="center"/>
          </w:tcPr>
          <w:p w14:paraId="373FB7F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rPr>
                <w:rFonts w:hint="eastAsia" w:cs="宋体"/>
                <w:bCs/>
                <w:kern w:val="2"/>
                <w:sz w:val="21"/>
                <w:szCs w:val="21"/>
                <w:highlight w:val="none"/>
              </w:rPr>
            </w:pPr>
            <w:r>
              <w:rPr>
                <w:rFonts w:hint="eastAsia" w:ascii="宋体" w:hAnsi="宋体" w:cs="宋体"/>
                <w:b/>
                <w:bCs w:val="0"/>
                <w:sz w:val="24"/>
                <w:szCs w:val="24"/>
                <w:highlight w:val="none"/>
              </w:rPr>
              <w:t>运营期环境影响和保护措施</w:t>
            </w:r>
          </w:p>
        </w:tc>
        <w:tc>
          <w:tcPr>
            <w:tcW w:w="8375" w:type="dxa"/>
            <w:tcBorders>
              <w:tl2br w:val="nil"/>
              <w:tr2bl w:val="nil"/>
            </w:tcBorders>
            <w:noWrap w:val="0"/>
            <w:vAlign w:val="center"/>
          </w:tcPr>
          <w:p w14:paraId="1F38D98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b/>
                <w:bCs w:val="0"/>
                <w:spacing w:val="0"/>
                <w:sz w:val="24"/>
                <w:szCs w:val="24"/>
                <w:highlight w:val="none"/>
                <w:lang w:val="en-US" w:eastAsia="zh-CN"/>
              </w:rPr>
            </w:pPr>
            <w:r>
              <w:rPr>
                <w:rFonts w:hint="default" w:ascii="Times New Roman" w:hAnsi="Times New Roman" w:cs="Times New Roman"/>
                <w:b/>
                <w:bCs w:val="0"/>
                <w:spacing w:val="0"/>
                <w:sz w:val="24"/>
                <w:szCs w:val="24"/>
                <w:highlight w:val="none"/>
                <w:lang w:val="en-US" w:eastAsia="zh-CN"/>
              </w:rPr>
              <w:t>1、废气</w:t>
            </w:r>
          </w:p>
          <w:p w14:paraId="3F1A494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val="0"/>
                <w:spacing w:val="0"/>
                <w:sz w:val="24"/>
                <w:szCs w:val="24"/>
                <w:highlight w:val="none"/>
                <w:lang w:val="en-US" w:eastAsia="zh-CN"/>
              </w:rPr>
            </w:pPr>
            <w:r>
              <w:rPr>
                <w:rFonts w:hint="default" w:ascii="Times New Roman" w:hAnsi="Times New Roman" w:cs="Times New Roman"/>
                <w:b/>
                <w:bCs w:val="0"/>
                <w:spacing w:val="0"/>
                <w:sz w:val="24"/>
                <w:szCs w:val="24"/>
                <w:highlight w:val="none"/>
                <w:lang w:val="en-US" w:eastAsia="zh-CN"/>
              </w:rPr>
              <w:t>1.1、废气源强核算</w:t>
            </w:r>
          </w:p>
          <w:p w14:paraId="7A1A7E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spacing w:val="0"/>
                <w:sz w:val="24"/>
                <w:szCs w:val="24"/>
                <w:highlight w:val="none"/>
                <w:lang w:val="en-US" w:eastAsia="zh-CN"/>
              </w:rPr>
            </w:pPr>
            <w:r>
              <w:rPr>
                <w:rFonts w:hint="default" w:ascii="Times New Roman" w:hAnsi="Times New Roman" w:cs="Times New Roman"/>
                <w:bCs/>
                <w:spacing w:val="0"/>
                <w:sz w:val="24"/>
                <w:szCs w:val="24"/>
                <w:highlight w:val="none"/>
                <w:lang w:val="en-US" w:eastAsia="zh-CN"/>
              </w:rPr>
              <w:t>本项目产生的废气主要为原料矿石贮存过程产生的粉尘、上料粉尘、鄂式破碎粉尘、雷蒙磨粉尘、腻子粉生产粉尘、</w:t>
            </w:r>
            <w:r>
              <w:rPr>
                <w:rFonts w:hint="eastAsia" w:ascii="Times New Roman" w:hAnsi="Times New Roman" w:cs="Times New Roman"/>
                <w:bCs/>
                <w:spacing w:val="0"/>
                <w:sz w:val="24"/>
                <w:szCs w:val="24"/>
                <w:highlight w:val="none"/>
                <w:lang w:val="en-US" w:eastAsia="zh-CN"/>
              </w:rPr>
              <w:t>包装</w:t>
            </w:r>
            <w:r>
              <w:rPr>
                <w:rFonts w:hint="default" w:ascii="Times New Roman" w:hAnsi="Times New Roman" w:cs="Times New Roman"/>
                <w:bCs/>
                <w:spacing w:val="0"/>
                <w:sz w:val="24"/>
                <w:szCs w:val="24"/>
                <w:highlight w:val="none"/>
                <w:lang w:val="en-US" w:eastAsia="zh-CN"/>
              </w:rPr>
              <w:t>粉尘等。</w:t>
            </w:r>
          </w:p>
          <w:p w14:paraId="5D31DC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spacing w:val="0"/>
                <w:sz w:val="24"/>
                <w:szCs w:val="24"/>
                <w:highlight w:val="none"/>
                <w:lang w:val="en-US" w:eastAsia="zh-CN"/>
              </w:rPr>
            </w:pPr>
            <w:r>
              <w:rPr>
                <w:rFonts w:hint="default" w:ascii="Times New Roman" w:hAnsi="Times New Roman" w:cs="Times New Roman"/>
                <w:bCs/>
                <w:spacing w:val="0"/>
                <w:sz w:val="24"/>
                <w:szCs w:val="24"/>
                <w:highlight w:val="none"/>
                <w:lang w:val="en-US" w:eastAsia="zh-CN"/>
              </w:rPr>
              <w:t>（1）原料矿石贮存过</w:t>
            </w:r>
            <w:r>
              <w:rPr>
                <w:rFonts w:hint="eastAsia" w:cs="Times New Roman"/>
                <w:bCs/>
                <w:spacing w:val="0"/>
                <w:sz w:val="24"/>
                <w:szCs w:val="24"/>
                <w:highlight w:val="none"/>
                <w:lang w:val="en-US" w:eastAsia="zh-CN"/>
              </w:rPr>
              <w:t>程中</w:t>
            </w:r>
            <w:r>
              <w:rPr>
                <w:rFonts w:hint="default" w:ascii="Times New Roman" w:hAnsi="Times New Roman" w:cs="Times New Roman"/>
                <w:bCs/>
                <w:spacing w:val="0"/>
                <w:sz w:val="24"/>
                <w:szCs w:val="24"/>
                <w:highlight w:val="none"/>
                <w:lang w:val="en-US" w:eastAsia="zh-CN"/>
              </w:rPr>
              <w:t>产生的粉尘</w:t>
            </w:r>
          </w:p>
          <w:p w14:paraId="1987D6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spacing w:val="0"/>
                <w:sz w:val="24"/>
                <w:szCs w:val="24"/>
                <w:highlight w:val="none"/>
                <w:lang w:val="en-US" w:eastAsia="zh-CN"/>
              </w:rPr>
            </w:pPr>
            <w:r>
              <w:rPr>
                <w:rFonts w:hint="default" w:ascii="Times New Roman" w:hAnsi="Times New Roman" w:cs="Times New Roman"/>
                <w:bCs/>
                <w:spacing w:val="0"/>
                <w:sz w:val="24"/>
                <w:szCs w:val="24"/>
                <w:highlight w:val="none"/>
                <w:lang w:val="en-US" w:eastAsia="zh-CN"/>
              </w:rPr>
              <w:t>本项目原料矿石为已破碎后粒径为5-8cm的</w:t>
            </w:r>
            <w:r>
              <w:rPr>
                <w:rFonts w:hint="eastAsia" w:ascii="Times New Roman" w:hAnsi="Times New Roman" w:cs="Times New Roman"/>
                <w:bCs/>
                <w:spacing w:val="0"/>
                <w:sz w:val="24"/>
                <w:szCs w:val="24"/>
                <w:highlight w:val="none"/>
                <w:lang w:val="en-US" w:eastAsia="zh-CN"/>
              </w:rPr>
              <w:t>石灰石</w:t>
            </w:r>
            <w:r>
              <w:rPr>
                <w:rFonts w:hint="default" w:ascii="Times New Roman" w:hAnsi="Times New Roman" w:cs="Times New Roman"/>
                <w:bCs/>
                <w:spacing w:val="0"/>
                <w:sz w:val="24"/>
                <w:szCs w:val="24"/>
                <w:highlight w:val="none"/>
                <w:lang w:val="en-US" w:eastAsia="zh-CN"/>
              </w:rPr>
              <w:t>，参考《逸散性工业粉尘控制技术》中</w:t>
            </w:r>
            <w:r>
              <w:rPr>
                <w:rFonts w:hint="eastAsia" w:cs="Times New Roman"/>
                <w:bCs/>
                <w:spacing w:val="0"/>
                <w:sz w:val="24"/>
                <w:szCs w:val="24"/>
                <w:highlight w:val="none"/>
                <w:lang w:val="en-US" w:eastAsia="zh-CN"/>
              </w:rPr>
              <w:t>表3-1石灰生产的逸散尘排放因子，石灰石贮存排放因子（积堆0.02kg/t（装料）、汽车运输0.06kg/t（储料）、卸堆0.025kg/t（装料）、风蚀0.05kg/t（储料））。综上所述，本项目石灰石在贮存过程中产生的粉尘量为363t/a</w:t>
            </w:r>
            <w:r>
              <w:rPr>
                <w:rFonts w:hint="default" w:ascii="Times New Roman" w:hAnsi="Times New Roman" w:cs="Times New Roman"/>
                <w:bCs/>
                <w:spacing w:val="0"/>
                <w:sz w:val="24"/>
                <w:szCs w:val="24"/>
                <w:highlight w:val="none"/>
                <w:lang w:val="en-US" w:eastAsia="zh-CN"/>
              </w:rPr>
              <w:t>。参考《固体物料堆存颗粒物产排污核算系数手册》</w:t>
            </w:r>
            <w:r>
              <w:rPr>
                <w:rFonts w:hint="eastAsia" w:cs="Times New Roman"/>
                <w:bCs/>
                <w:spacing w:val="0"/>
                <w:sz w:val="24"/>
                <w:szCs w:val="24"/>
                <w:highlight w:val="none"/>
                <w:lang w:val="en-US" w:eastAsia="zh-CN"/>
              </w:rPr>
              <w:t>中半封闭堆场抑尘效果60%、</w:t>
            </w:r>
            <w:r>
              <w:rPr>
                <w:rFonts w:hint="default" w:ascii="Times New Roman" w:hAnsi="Times New Roman" w:cs="Times New Roman"/>
                <w:bCs/>
                <w:spacing w:val="0"/>
                <w:sz w:val="24"/>
                <w:szCs w:val="24"/>
                <w:highlight w:val="none"/>
                <w:lang w:val="en-US" w:eastAsia="zh-CN"/>
              </w:rPr>
              <w:t>本项目需保持原料干燥，故不能进行洒水抑尘，对矿石采用防尘网苫盖，抑尘系数取86%。</w:t>
            </w:r>
          </w:p>
          <w:p w14:paraId="1ED681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spacing w:val="0"/>
                <w:sz w:val="24"/>
                <w:szCs w:val="24"/>
                <w:highlight w:val="none"/>
                <w:lang w:val="en-US" w:eastAsia="zh-CN"/>
              </w:rPr>
            </w:pPr>
            <w:r>
              <w:rPr>
                <w:rFonts w:hint="default" w:ascii="Times New Roman" w:hAnsi="Times New Roman" w:cs="Times New Roman"/>
                <w:bCs/>
                <w:spacing w:val="0"/>
                <w:sz w:val="24"/>
                <w:szCs w:val="24"/>
                <w:highlight w:val="none"/>
                <w:lang w:val="en-US" w:eastAsia="zh-CN"/>
              </w:rPr>
              <w:t>计算可知，本项目颗粒物无组织排放量为</w:t>
            </w:r>
            <w:r>
              <w:rPr>
                <w:rFonts w:hint="eastAsia" w:cs="Times New Roman"/>
                <w:bCs/>
                <w:spacing w:val="0"/>
                <w:sz w:val="24"/>
                <w:szCs w:val="24"/>
                <w:highlight w:val="none"/>
                <w:lang w:val="en-US" w:eastAsia="zh-CN"/>
              </w:rPr>
              <w:t>20.328</w:t>
            </w:r>
            <w:r>
              <w:rPr>
                <w:rFonts w:hint="default" w:ascii="Times New Roman" w:hAnsi="Times New Roman" w:cs="Times New Roman"/>
                <w:bCs/>
                <w:spacing w:val="0"/>
                <w:sz w:val="24"/>
                <w:szCs w:val="24"/>
                <w:highlight w:val="none"/>
                <w:lang w:val="en-US" w:eastAsia="zh-CN"/>
              </w:rPr>
              <w:t>t/a，</w:t>
            </w:r>
            <w:r>
              <w:rPr>
                <w:rFonts w:hint="eastAsia" w:cs="Times New Roman"/>
                <w:bCs/>
                <w:spacing w:val="0"/>
                <w:sz w:val="24"/>
                <w:szCs w:val="24"/>
                <w:highlight w:val="none"/>
                <w:lang w:val="en-US" w:eastAsia="zh-CN"/>
              </w:rPr>
              <w:t>2.321</w:t>
            </w:r>
            <w:r>
              <w:rPr>
                <w:rFonts w:hint="default" w:ascii="Times New Roman" w:hAnsi="Times New Roman" w:cs="Times New Roman"/>
                <w:bCs/>
                <w:spacing w:val="0"/>
                <w:sz w:val="24"/>
                <w:szCs w:val="24"/>
                <w:highlight w:val="none"/>
                <w:lang w:val="en-US" w:eastAsia="zh-CN"/>
              </w:rPr>
              <w:t>kg/h。</w:t>
            </w:r>
          </w:p>
          <w:p w14:paraId="6AC65E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spacing w:val="0"/>
                <w:sz w:val="24"/>
                <w:szCs w:val="24"/>
                <w:highlight w:val="none"/>
                <w:lang w:val="en-US" w:eastAsia="zh-CN"/>
              </w:rPr>
            </w:pPr>
            <w:r>
              <w:rPr>
                <w:rFonts w:hint="default" w:ascii="Times New Roman" w:hAnsi="Times New Roman" w:eastAsia="宋体" w:cs="Times New Roman"/>
                <w:bCs/>
                <w:spacing w:val="0"/>
                <w:sz w:val="24"/>
                <w:szCs w:val="24"/>
                <w:highlight w:val="none"/>
                <w:lang w:val="en-US" w:eastAsia="zh-CN"/>
              </w:rPr>
              <w:t>（2）上料粉尘</w:t>
            </w:r>
          </w:p>
          <w:p w14:paraId="44499DE7">
            <w:pPr>
              <w:pStyle w:val="5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b w:val="0"/>
                <w:bCs w:val="0"/>
                <w:spacing w:val="0"/>
                <w:sz w:val="24"/>
                <w:szCs w:val="24"/>
                <w:highlight w:val="none"/>
                <w:lang w:val="en-US" w:eastAsia="zh-CN"/>
              </w:rPr>
            </w:pPr>
            <w:r>
              <w:rPr>
                <w:rFonts w:hint="default" w:ascii="Times New Roman" w:hAnsi="Times New Roman" w:cs="Times New Roman"/>
                <w:b w:val="0"/>
                <w:bCs w:val="0"/>
                <w:spacing w:val="0"/>
                <w:sz w:val="24"/>
                <w:szCs w:val="24"/>
                <w:highlight w:val="none"/>
                <w:lang w:val="en-US" w:eastAsia="zh-CN"/>
              </w:rPr>
              <w:t>本项目共设置2个上料口，使用铲车将原料矿石上料至上料口后通过传送带输送至雷蒙磨及鄂式破碎机。参考《逸散性工业粉尘控制技术》中表18-1粒料加工厂逸散性的排放因子中卸料系数0.02kg/t（卸料），本项目雷蒙磨上料量约为39万吨、鄂式破碎机上料量约为20万吨，上料口采用三面围挡，参考《固体物料堆存颗粒物产排污核算系数手册》中半敞开式堆场控制效率60%，项目年运行时间为2400h，则本项目上料粉尘产生量为11.8t/a，产生速率为4.917kg/h，上料粉尘排放量为4.72t/a，排放速率为1.967kg/h。</w:t>
            </w:r>
          </w:p>
          <w:p w14:paraId="547550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spacing w:val="0"/>
                <w:sz w:val="24"/>
                <w:szCs w:val="24"/>
                <w:highlight w:val="none"/>
                <w:lang w:val="en-US" w:eastAsia="zh-CN"/>
              </w:rPr>
            </w:pPr>
            <w:r>
              <w:rPr>
                <w:rFonts w:hint="default" w:ascii="Times New Roman" w:hAnsi="Times New Roman" w:eastAsia="宋体" w:cs="Times New Roman"/>
                <w:bCs/>
                <w:spacing w:val="0"/>
                <w:sz w:val="24"/>
                <w:szCs w:val="24"/>
                <w:highlight w:val="none"/>
                <w:lang w:val="en-US" w:eastAsia="zh-CN"/>
              </w:rPr>
              <w:t>（3）鄂式破碎机粉尘</w:t>
            </w:r>
          </w:p>
          <w:p w14:paraId="09FF240A">
            <w:pPr>
              <w:pStyle w:val="5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b w:val="0"/>
                <w:bCs w:val="0"/>
                <w:spacing w:val="0"/>
                <w:sz w:val="24"/>
                <w:szCs w:val="24"/>
                <w:highlight w:val="none"/>
                <w:lang w:val="en-US" w:eastAsia="zh-CN"/>
              </w:rPr>
            </w:pPr>
            <w:r>
              <w:rPr>
                <w:rFonts w:hint="default" w:ascii="Times New Roman" w:hAnsi="Times New Roman" w:cs="Times New Roman"/>
                <w:b w:val="0"/>
                <w:bCs w:val="0"/>
                <w:spacing w:val="0"/>
                <w:sz w:val="24"/>
                <w:szCs w:val="24"/>
                <w:highlight w:val="none"/>
                <w:lang w:val="en-US" w:eastAsia="zh-CN"/>
              </w:rPr>
              <w:t>本项目生产的60-80目的产品使用鄂式破碎机进行破碎，60-80目的产品为20万吨，破碎过程通过集气罩</w:t>
            </w:r>
            <w:r>
              <w:rPr>
                <w:rFonts w:hint="eastAsia" w:ascii="Times New Roman" w:hAnsi="Times New Roman" w:cs="Times New Roman"/>
                <w:b w:val="0"/>
                <w:bCs w:val="0"/>
                <w:spacing w:val="0"/>
                <w:sz w:val="24"/>
                <w:szCs w:val="24"/>
                <w:highlight w:val="none"/>
                <w:lang w:val="en-US" w:eastAsia="zh-CN"/>
              </w:rPr>
              <w:t>+软帘</w:t>
            </w:r>
            <w:r>
              <w:rPr>
                <w:rFonts w:hint="default" w:ascii="Times New Roman" w:hAnsi="Times New Roman" w:cs="Times New Roman"/>
                <w:b w:val="0"/>
                <w:bCs w:val="0"/>
                <w:spacing w:val="0"/>
                <w:sz w:val="24"/>
                <w:szCs w:val="24"/>
                <w:highlight w:val="none"/>
                <w:lang w:val="en-US" w:eastAsia="zh-CN"/>
              </w:rPr>
              <w:t>进行收集废气，收集效率为9</w:t>
            </w:r>
            <w:r>
              <w:rPr>
                <w:rFonts w:hint="eastAsia" w:ascii="Times New Roman" w:hAnsi="Times New Roman" w:cs="Times New Roman"/>
                <w:b w:val="0"/>
                <w:bCs w:val="0"/>
                <w:spacing w:val="0"/>
                <w:sz w:val="24"/>
                <w:szCs w:val="24"/>
                <w:highlight w:val="none"/>
                <w:lang w:val="en-US" w:eastAsia="zh-CN"/>
              </w:rPr>
              <w:t>5</w:t>
            </w:r>
            <w:r>
              <w:rPr>
                <w:rFonts w:hint="default" w:ascii="Times New Roman" w:hAnsi="Times New Roman" w:cs="Times New Roman"/>
                <w:b w:val="0"/>
                <w:bCs w:val="0"/>
                <w:spacing w:val="0"/>
                <w:sz w:val="24"/>
                <w:szCs w:val="24"/>
                <w:highlight w:val="none"/>
                <w:lang w:val="en-US" w:eastAsia="zh-CN"/>
              </w:rPr>
              <w:t>%，收集后的废气进入布袋除尘器进行处理，处理效率为9</w:t>
            </w:r>
            <w:r>
              <w:rPr>
                <w:rFonts w:hint="eastAsia" w:ascii="Times New Roman" w:hAnsi="Times New Roman" w:cs="Times New Roman"/>
                <w:b w:val="0"/>
                <w:bCs w:val="0"/>
                <w:spacing w:val="0"/>
                <w:sz w:val="24"/>
                <w:szCs w:val="24"/>
                <w:highlight w:val="none"/>
                <w:lang w:val="en-US" w:eastAsia="zh-CN"/>
              </w:rPr>
              <w:t>9</w:t>
            </w:r>
            <w:r>
              <w:rPr>
                <w:rFonts w:hint="default" w:ascii="Times New Roman" w:hAnsi="Times New Roman" w:cs="Times New Roman"/>
                <w:b w:val="0"/>
                <w:bCs w:val="0"/>
                <w:spacing w:val="0"/>
                <w:sz w:val="24"/>
                <w:szCs w:val="24"/>
                <w:highlight w:val="none"/>
                <w:lang w:val="en-US" w:eastAsia="zh-CN"/>
              </w:rPr>
              <w:t>%，布袋除尘器配套的风机风量为46656m</w:t>
            </w:r>
            <w:r>
              <w:rPr>
                <w:rFonts w:hint="default" w:ascii="Times New Roman" w:hAnsi="Times New Roman" w:cs="Times New Roman"/>
                <w:b w:val="0"/>
                <w:bCs w:val="0"/>
                <w:spacing w:val="0"/>
                <w:sz w:val="24"/>
                <w:szCs w:val="24"/>
                <w:highlight w:val="none"/>
                <w:vertAlign w:val="superscript"/>
                <w:lang w:val="en-US" w:eastAsia="zh-CN"/>
              </w:rPr>
              <w:t>3</w:t>
            </w:r>
            <w:r>
              <w:rPr>
                <w:rFonts w:hint="default" w:ascii="Times New Roman" w:hAnsi="Times New Roman" w:cs="Times New Roman"/>
                <w:b w:val="0"/>
                <w:bCs w:val="0"/>
                <w:spacing w:val="0"/>
                <w:sz w:val="24"/>
                <w:szCs w:val="24"/>
                <w:highlight w:val="none"/>
                <w:lang w:val="en-US" w:eastAsia="zh-CN"/>
              </w:rPr>
              <w:t>/h。生产设备均位于厂房内</w:t>
            </w:r>
            <w:r>
              <w:rPr>
                <w:rFonts w:hint="eastAsia" w:ascii="Times New Roman" w:hAnsi="Times New Roman" w:cs="Times New Roman"/>
                <w:b w:val="0"/>
                <w:bCs w:val="0"/>
                <w:spacing w:val="0"/>
                <w:sz w:val="24"/>
                <w:szCs w:val="24"/>
                <w:highlight w:val="none"/>
                <w:lang w:val="en-US" w:eastAsia="zh-CN"/>
              </w:rPr>
              <w:t>，厂房</w:t>
            </w:r>
            <w:r>
              <w:rPr>
                <w:rFonts w:hint="default" w:ascii="Times New Roman" w:hAnsi="Times New Roman" w:cs="Times New Roman"/>
                <w:b w:val="0"/>
                <w:bCs w:val="0"/>
                <w:spacing w:val="0"/>
                <w:sz w:val="24"/>
                <w:szCs w:val="24"/>
                <w:highlight w:val="none"/>
                <w:lang w:val="en-US" w:eastAsia="zh-CN"/>
              </w:rPr>
              <w:t>控制效率60%。参考《排放源统计调查产排污核算方法和系数手册》中“3099其他非金属矿物制品制造行业系数表”中破碎颗粒物产生系数为1.13kg/t-产品，则粉尘产生量为226t/a，有组织废气产生量为</w:t>
            </w:r>
            <w:r>
              <w:rPr>
                <w:rFonts w:hint="eastAsia" w:ascii="Times New Roman" w:hAnsi="Times New Roman" w:cs="Times New Roman"/>
                <w:b w:val="0"/>
                <w:bCs w:val="0"/>
                <w:spacing w:val="0"/>
                <w:sz w:val="24"/>
                <w:szCs w:val="24"/>
                <w:highlight w:val="none"/>
                <w:lang w:val="en-US" w:eastAsia="zh-CN"/>
              </w:rPr>
              <w:t>214.7</w:t>
            </w:r>
            <w:r>
              <w:rPr>
                <w:rFonts w:hint="default" w:ascii="Times New Roman" w:hAnsi="Times New Roman" w:cs="Times New Roman"/>
                <w:b w:val="0"/>
                <w:bCs w:val="0"/>
                <w:spacing w:val="0"/>
                <w:sz w:val="24"/>
                <w:szCs w:val="24"/>
                <w:highlight w:val="none"/>
                <w:lang w:val="en-US" w:eastAsia="zh-CN"/>
              </w:rPr>
              <w:t>t/a，产生速率为</w:t>
            </w:r>
            <w:r>
              <w:rPr>
                <w:rFonts w:hint="eastAsia" w:ascii="Times New Roman" w:hAnsi="Times New Roman" w:cs="Times New Roman"/>
                <w:b w:val="0"/>
                <w:bCs w:val="0"/>
                <w:spacing w:val="0"/>
                <w:sz w:val="24"/>
                <w:szCs w:val="24"/>
                <w:highlight w:val="none"/>
                <w:lang w:val="en-US" w:eastAsia="zh-CN"/>
              </w:rPr>
              <w:t>89.46</w:t>
            </w:r>
            <w:r>
              <w:rPr>
                <w:rFonts w:hint="default" w:ascii="Times New Roman" w:hAnsi="Times New Roman" w:cs="Times New Roman"/>
                <w:b w:val="0"/>
                <w:bCs w:val="0"/>
                <w:spacing w:val="0"/>
                <w:sz w:val="24"/>
                <w:szCs w:val="24"/>
                <w:highlight w:val="none"/>
                <w:lang w:val="en-US" w:eastAsia="zh-CN"/>
              </w:rPr>
              <w:t>kg/h，产生浓度为</w:t>
            </w:r>
            <w:r>
              <w:rPr>
                <w:rFonts w:hint="eastAsia" w:ascii="Times New Roman" w:hAnsi="Times New Roman" w:cs="Times New Roman"/>
                <w:b w:val="0"/>
                <w:bCs w:val="0"/>
                <w:spacing w:val="0"/>
                <w:sz w:val="24"/>
                <w:szCs w:val="24"/>
                <w:highlight w:val="none"/>
                <w:lang w:val="en-US" w:eastAsia="zh-CN"/>
              </w:rPr>
              <w:t>3457</w:t>
            </w:r>
            <w:r>
              <w:rPr>
                <w:rFonts w:hint="default" w:ascii="Times New Roman" w:hAnsi="Times New Roman" w:cs="Times New Roman"/>
                <w:b w:val="0"/>
                <w:bCs w:val="0"/>
                <w:spacing w:val="0"/>
                <w:sz w:val="24"/>
                <w:szCs w:val="24"/>
                <w:highlight w:val="none"/>
                <w:lang w:val="en-US" w:eastAsia="zh-CN"/>
              </w:rPr>
              <w:t>mg/m</w:t>
            </w:r>
            <w:r>
              <w:rPr>
                <w:rFonts w:hint="default" w:ascii="Times New Roman" w:hAnsi="Times New Roman" w:cs="Times New Roman"/>
                <w:b w:val="0"/>
                <w:bCs w:val="0"/>
                <w:spacing w:val="0"/>
                <w:sz w:val="24"/>
                <w:szCs w:val="24"/>
                <w:highlight w:val="none"/>
                <w:vertAlign w:val="superscript"/>
                <w:lang w:val="en-US" w:eastAsia="zh-CN"/>
              </w:rPr>
              <w:t>3</w:t>
            </w:r>
            <w:r>
              <w:rPr>
                <w:rFonts w:hint="default" w:ascii="Times New Roman" w:hAnsi="Times New Roman" w:cs="Times New Roman"/>
                <w:b w:val="0"/>
                <w:bCs w:val="0"/>
                <w:spacing w:val="0"/>
                <w:sz w:val="24"/>
                <w:szCs w:val="24"/>
                <w:highlight w:val="none"/>
                <w:lang w:val="en-US" w:eastAsia="zh-CN"/>
              </w:rPr>
              <w:t>；排放量为</w:t>
            </w:r>
            <w:r>
              <w:rPr>
                <w:rFonts w:hint="eastAsia" w:ascii="Times New Roman" w:hAnsi="Times New Roman" w:cs="Times New Roman"/>
                <w:b w:val="0"/>
                <w:bCs w:val="0"/>
                <w:spacing w:val="0"/>
                <w:sz w:val="24"/>
                <w:szCs w:val="24"/>
                <w:highlight w:val="none"/>
                <w:lang w:val="en-US" w:eastAsia="zh-CN"/>
              </w:rPr>
              <w:t>2.147</w:t>
            </w:r>
            <w:r>
              <w:rPr>
                <w:rFonts w:hint="default" w:ascii="Times New Roman" w:hAnsi="Times New Roman" w:cs="Times New Roman"/>
                <w:b w:val="0"/>
                <w:bCs w:val="0"/>
                <w:spacing w:val="0"/>
                <w:sz w:val="24"/>
                <w:szCs w:val="24"/>
                <w:highlight w:val="none"/>
                <w:lang w:val="en-US" w:eastAsia="zh-CN"/>
              </w:rPr>
              <w:t>t/a，排放速率为0.8</w:t>
            </w:r>
            <w:r>
              <w:rPr>
                <w:rFonts w:hint="eastAsia" w:ascii="Times New Roman" w:hAnsi="Times New Roman" w:cs="Times New Roman"/>
                <w:b w:val="0"/>
                <w:bCs w:val="0"/>
                <w:spacing w:val="0"/>
                <w:sz w:val="24"/>
                <w:szCs w:val="24"/>
                <w:highlight w:val="none"/>
                <w:lang w:val="en-US" w:eastAsia="zh-CN"/>
              </w:rPr>
              <w:t>95</w:t>
            </w:r>
            <w:r>
              <w:rPr>
                <w:rFonts w:hint="default" w:ascii="Times New Roman" w:hAnsi="Times New Roman" w:cs="Times New Roman"/>
                <w:b w:val="0"/>
                <w:bCs w:val="0"/>
                <w:spacing w:val="0"/>
                <w:sz w:val="24"/>
                <w:szCs w:val="24"/>
                <w:highlight w:val="none"/>
                <w:lang w:val="en-US" w:eastAsia="zh-CN"/>
              </w:rPr>
              <w:t>kg/h，排放浓度为</w:t>
            </w:r>
            <w:r>
              <w:rPr>
                <w:rFonts w:hint="eastAsia" w:ascii="Times New Roman" w:hAnsi="Times New Roman" w:cs="Times New Roman"/>
                <w:b w:val="0"/>
                <w:bCs w:val="0"/>
                <w:spacing w:val="0"/>
                <w:sz w:val="24"/>
                <w:szCs w:val="24"/>
                <w:highlight w:val="none"/>
                <w:lang w:val="en-US" w:eastAsia="zh-CN"/>
              </w:rPr>
              <w:t>19.2</w:t>
            </w:r>
            <w:r>
              <w:rPr>
                <w:rFonts w:hint="default" w:ascii="Times New Roman" w:hAnsi="Times New Roman" w:cs="Times New Roman"/>
                <w:b w:val="0"/>
                <w:bCs w:val="0"/>
                <w:spacing w:val="0"/>
                <w:sz w:val="24"/>
                <w:szCs w:val="24"/>
                <w:highlight w:val="none"/>
                <w:lang w:val="en-US" w:eastAsia="zh-CN"/>
              </w:rPr>
              <w:t>mg/m</w:t>
            </w:r>
            <w:r>
              <w:rPr>
                <w:rFonts w:hint="default" w:ascii="Times New Roman" w:hAnsi="Times New Roman" w:cs="Times New Roman"/>
                <w:b w:val="0"/>
                <w:bCs w:val="0"/>
                <w:spacing w:val="0"/>
                <w:sz w:val="24"/>
                <w:szCs w:val="24"/>
                <w:highlight w:val="none"/>
                <w:vertAlign w:val="superscript"/>
                <w:lang w:val="en-US" w:eastAsia="zh-CN"/>
              </w:rPr>
              <w:t>3</w:t>
            </w:r>
            <w:r>
              <w:rPr>
                <w:rFonts w:hint="default" w:ascii="Times New Roman" w:hAnsi="Times New Roman" w:cs="Times New Roman"/>
                <w:b w:val="0"/>
                <w:bCs w:val="0"/>
                <w:spacing w:val="0"/>
                <w:sz w:val="24"/>
                <w:szCs w:val="24"/>
                <w:highlight w:val="none"/>
                <w:lang w:val="en-US" w:eastAsia="zh-CN"/>
              </w:rPr>
              <w:t>。</w:t>
            </w:r>
          </w:p>
          <w:p w14:paraId="10712798">
            <w:pPr>
              <w:pStyle w:val="5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b w:val="0"/>
                <w:bCs w:val="0"/>
                <w:spacing w:val="0"/>
                <w:sz w:val="24"/>
                <w:szCs w:val="24"/>
                <w:highlight w:val="none"/>
                <w:lang w:val="en-US" w:eastAsia="zh-CN"/>
              </w:rPr>
            </w:pPr>
            <w:r>
              <w:rPr>
                <w:rFonts w:hint="default" w:ascii="Times New Roman" w:hAnsi="Times New Roman" w:cs="Times New Roman"/>
                <w:b w:val="0"/>
                <w:bCs w:val="0"/>
                <w:spacing w:val="0"/>
                <w:sz w:val="24"/>
                <w:szCs w:val="24"/>
                <w:highlight w:val="none"/>
                <w:lang w:val="en-US" w:eastAsia="zh-CN"/>
              </w:rPr>
              <w:t>无组织产生量为</w:t>
            </w:r>
            <w:r>
              <w:rPr>
                <w:rFonts w:hint="eastAsia" w:ascii="Times New Roman" w:hAnsi="Times New Roman" w:cs="Times New Roman"/>
                <w:b w:val="0"/>
                <w:bCs w:val="0"/>
                <w:spacing w:val="0"/>
                <w:sz w:val="24"/>
                <w:szCs w:val="24"/>
                <w:highlight w:val="none"/>
                <w:lang w:val="en-US" w:eastAsia="zh-CN"/>
              </w:rPr>
              <w:t>11.3</w:t>
            </w:r>
            <w:r>
              <w:rPr>
                <w:rFonts w:hint="default" w:ascii="Times New Roman" w:hAnsi="Times New Roman" w:cs="Times New Roman"/>
                <w:b w:val="0"/>
                <w:bCs w:val="0"/>
                <w:spacing w:val="0"/>
                <w:sz w:val="24"/>
                <w:szCs w:val="24"/>
                <w:highlight w:val="none"/>
                <w:lang w:val="en-US" w:eastAsia="zh-CN"/>
              </w:rPr>
              <w:t>t/a，产生速率为</w:t>
            </w:r>
            <w:r>
              <w:rPr>
                <w:rFonts w:hint="eastAsia" w:ascii="Times New Roman" w:hAnsi="Times New Roman" w:cs="Times New Roman"/>
                <w:b w:val="0"/>
                <w:bCs w:val="0"/>
                <w:spacing w:val="0"/>
                <w:sz w:val="24"/>
                <w:szCs w:val="24"/>
                <w:highlight w:val="none"/>
                <w:lang w:val="en-US" w:eastAsia="zh-CN"/>
              </w:rPr>
              <w:t>4.708</w:t>
            </w:r>
            <w:r>
              <w:rPr>
                <w:rFonts w:hint="default" w:ascii="Times New Roman" w:hAnsi="Times New Roman" w:cs="Times New Roman"/>
                <w:b w:val="0"/>
                <w:bCs w:val="0"/>
                <w:spacing w:val="0"/>
                <w:sz w:val="24"/>
                <w:szCs w:val="24"/>
                <w:highlight w:val="none"/>
                <w:lang w:val="en-US" w:eastAsia="zh-CN"/>
              </w:rPr>
              <w:t>kg/h；无组织排放量为</w:t>
            </w:r>
            <w:r>
              <w:rPr>
                <w:rFonts w:hint="eastAsia" w:ascii="Times New Roman" w:hAnsi="Times New Roman" w:cs="Times New Roman"/>
                <w:b w:val="0"/>
                <w:bCs w:val="0"/>
                <w:spacing w:val="0"/>
                <w:sz w:val="24"/>
                <w:szCs w:val="24"/>
                <w:highlight w:val="none"/>
                <w:lang w:val="en-US" w:eastAsia="zh-CN"/>
              </w:rPr>
              <w:t>4.52</w:t>
            </w:r>
            <w:r>
              <w:rPr>
                <w:rFonts w:hint="default" w:ascii="Times New Roman" w:hAnsi="Times New Roman" w:cs="Times New Roman"/>
                <w:b w:val="0"/>
                <w:bCs w:val="0"/>
                <w:spacing w:val="0"/>
                <w:sz w:val="24"/>
                <w:szCs w:val="24"/>
                <w:highlight w:val="none"/>
                <w:lang w:val="en-US" w:eastAsia="zh-CN"/>
              </w:rPr>
              <w:t>t/a，排放速率为</w:t>
            </w:r>
            <w:r>
              <w:rPr>
                <w:rFonts w:hint="eastAsia" w:ascii="Times New Roman" w:hAnsi="Times New Roman" w:cs="Times New Roman"/>
                <w:b w:val="0"/>
                <w:bCs w:val="0"/>
                <w:spacing w:val="0"/>
                <w:sz w:val="24"/>
                <w:szCs w:val="24"/>
                <w:highlight w:val="none"/>
                <w:lang w:val="en-US" w:eastAsia="zh-CN"/>
              </w:rPr>
              <w:t>1.883</w:t>
            </w:r>
            <w:r>
              <w:rPr>
                <w:rFonts w:hint="default" w:ascii="Times New Roman" w:hAnsi="Times New Roman" w:cs="Times New Roman"/>
                <w:b w:val="0"/>
                <w:bCs w:val="0"/>
                <w:spacing w:val="0"/>
                <w:sz w:val="24"/>
                <w:szCs w:val="24"/>
                <w:highlight w:val="none"/>
                <w:lang w:val="en-US" w:eastAsia="zh-CN"/>
              </w:rPr>
              <w:t>kg/h。</w:t>
            </w:r>
          </w:p>
          <w:p w14:paraId="60C5C659">
            <w:pPr>
              <w:keepNext w:val="0"/>
              <w:keepLines w:val="0"/>
              <w:pageBreakBefore w:val="0"/>
              <w:widowControl/>
              <w:kinsoku/>
              <w:wordWrap/>
              <w:overflowPunct/>
              <w:topLinePunct w:val="0"/>
              <w:autoSpaceDE/>
              <w:autoSpaceDN/>
              <w:bidi w:val="0"/>
              <w:adjustRightInd w:val="0"/>
              <w:snapToGrid w:val="0"/>
              <w:spacing w:before="0" w:after="0" w:line="360" w:lineRule="auto"/>
              <w:ind w:right="0" w:firstLine="468" w:firstLineChars="200"/>
              <w:jc w:val="both"/>
              <w:textAlignment w:val="auto"/>
              <w:rPr>
                <w:rFonts w:hint="eastAsia" w:ascii="Times New Roman" w:hAnsi="Times New Roman" w:eastAsia="宋体" w:cs="Times New Roman"/>
                <w:spacing w:val="-3"/>
                <w:kern w:val="2"/>
                <w:sz w:val="24"/>
                <w:szCs w:val="24"/>
                <w:lang w:val="en-US" w:eastAsia="zh-CN" w:bidi="ar-SA"/>
              </w:rPr>
            </w:pPr>
            <w:r>
              <w:rPr>
                <w:rFonts w:hint="eastAsia" w:ascii="Times New Roman" w:hAnsi="Times New Roman" w:eastAsia="宋体" w:cs="Times New Roman"/>
                <w:spacing w:val="-3"/>
                <w:kern w:val="2"/>
                <w:sz w:val="24"/>
                <w:szCs w:val="24"/>
                <w:lang w:val="en-US" w:eastAsia="zh-CN" w:bidi="ar-SA"/>
              </w:rPr>
              <w:t>风量的合理性分析：</w:t>
            </w:r>
          </w:p>
          <w:p w14:paraId="6C8C1BED">
            <w:pPr>
              <w:keepNext w:val="0"/>
              <w:keepLines w:val="0"/>
              <w:pageBreakBefore w:val="0"/>
              <w:widowControl/>
              <w:kinsoku/>
              <w:wordWrap/>
              <w:overflowPunct/>
              <w:topLinePunct w:val="0"/>
              <w:autoSpaceDE/>
              <w:autoSpaceDN/>
              <w:bidi w:val="0"/>
              <w:adjustRightInd w:val="0"/>
              <w:snapToGrid w:val="0"/>
              <w:spacing w:before="0" w:after="0" w:line="360" w:lineRule="auto"/>
              <w:ind w:right="0" w:firstLine="468" w:firstLineChars="200"/>
              <w:jc w:val="both"/>
              <w:textAlignment w:val="auto"/>
              <w:rPr>
                <w:rFonts w:hint="default" w:ascii="Times New Roman" w:hAnsi="Times New Roman" w:eastAsia="宋体" w:cs="Times New Roman"/>
                <w:spacing w:val="-3"/>
                <w:kern w:val="2"/>
                <w:sz w:val="24"/>
                <w:szCs w:val="24"/>
                <w:lang w:val="en-US" w:eastAsia="zh-CN" w:bidi="ar-SA"/>
              </w:rPr>
            </w:pPr>
            <w:r>
              <w:rPr>
                <w:rFonts w:hint="eastAsia" w:ascii="Times New Roman" w:hAnsi="Times New Roman" w:eastAsia="宋体" w:cs="Times New Roman"/>
                <w:spacing w:val="-3"/>
                <w:kern w:val="2"/>
                <w:sz w:val="24"/>
                <w:szCs w:val="24"/>
                <w:lang w:val="en-US" w:eastAsia="zh-CN" w:bidi="ar-SA"/>
              </w:rPr>
              <w:t>（1）</w:t>
            </w:r>
            <w:r>
              <w:rPr>
                <w:rFonts w:hint="default" w:ascii="Times New Roman" w:hAnsi="Times New Roman" w:eastAsia="宋体" w:cs="Times New Roman"/>
                <w:spacing w:val="-3"/>
                <w:kern w:val="2"/>
                <w:sz w:val="24"/>
                <w:szCs w:val="24"/>
                <w:lang w:val="en-US" w:eastAsia="zh-CN" w:bidi="ar-SA"/>
              </w:rPr>
              <w:t>集气罩尺寸与数量</w:t>
            </w:r>
          </w:p>
          <w:p w14:paraId="5C6C4370">
            <w:pPr>
              <w:keepNext w:val="0"/>
              <w:keepLines w:val="0"/>
              <w:pageBreakBefore w:val="0"/>
              <w:widowControl/>
              <w:kinsoku/>
              <w:wordWrap/>
              <w:overflowPunct/>
              <w:topLinePunct w:val="0"/>
              <w:autoSpaceDE/>
              <w:autoSpaceDN/>
              <w:bidi w:val="0"/>
              <w:adjustRightInd w:val="0"/>
              <w:snapToGrid w:val="0"/>
              <w:spacing w:before="0" w:after="0" w:line="360" w:lineRule="auto"/>
              <w:ind w:right="0" w:firstLine="468" w:firstLineChars="200"/>
              <w:jc w:val="both"/>
              <w:textAlignment w:val="auto"/>
              <w:rPr>
                <w:rFonts w:hint="default" w:ascii="Times New Roman" w:hAnsi="Times New Roman" w:eastAsia="宋体" w:cs="Times New Roman"/>
                <w:spacing w:val="-3"/>
                <w:kern w:val="2"/>
                <w:sz w:val="24"/>
                <w:szCs w:val="24"/>
                <w:lang w:val="en-US" w:eastAsia="zh-CN" w:bidi="ar-SA"/>
              </w:rPr>
            </w:pPr>
            <w:r>
              <w:rPr>
                <w:rFonts w:hint="default" w:ascii="Times New Roman" w:hAnsi="Times New Roman" w:eastAsia="宋体" w:cs="Times New Roman"/>
                <w:spacing w:val="-3"/>
                <w:kern w:val="2"/>
                <w:sz w:val="24"/>
                <w:szCs w:val="24"/>
                <w:lang w:val="en-US" w:eastAsia="zh-CN" w:bidi="ar-SA"/>
              </w:rPr>
              <w:t>单个集气罩尺寸：</w:t>
            </w:r>
            <w:r>
              <w:rPr>
                <w:rFonts w:hint="eastAsia" w:ascii="Times New Roman" w:hAnsi="Times New Roman" w:eastAsia="宋体" w:cs="Times New Roman"/>
                <w:spacing w:val="-3"/>
                <w:kern w:val="2"/>
                <w:sz w:val="24"/>
                <w:szCs w:val="24"/>
                <w:lang w:val="en-US" w:eastAsia="zh-CN" w:bidi="ar-SA"/>
              </w:rPr>
              <w:t>3</w:t>
            </w:r>
            <w:r>
              <w:rPr>
                <w:rFonts w:hint="default" w:ascii="Times New Roman" w:hAnsi="Times New Roman" w:eastAsia="宋体" w:cs="Times New Roman"/>
                <w:spacing w:val="-3"/>
                <w:kern w:val="2"/>
                <w:sz w:val="24"/>
                <w:szCs w:val="24"/>
                <w:lang w:val="en-US" w:eastAsia="zh-CN" w:bidi="ar-SA"/>
              </w:rPr>
              <w:t>m（长）×</w:t>
            </w:r>
            <w:r>
              <w:rPr>
                <w:rFonts w:hint="eastAsia" w:ascii="Times New Roman" w:hAnsi="Times New Roman" w:eastAsia="宋体" w:cs="Times New Roman"/>
                <w:spacing w:val="-3"/>
                <w:kern w:val="2"/>
                <w:sz w:val="24"/>
                <w:szCs w:val="24"/>
                <w:lang w:val="en-US" w:eastAsia="zh-CN" w:bidi="ar-SA"/>
              </w:rPr>
              <w:t>3</w:t>
            </w:r>
            <w:r>
              <w:rPr>
                <w:rFonts w:hint="default" w:ascii="Times New Roman" w:hAnsi="Times New Roman" w:eastAsia="宋体" w:cs="Times New Roman"/>
                <w:spacing w:val="-3"/>
                <w:kern w:val="2"/>
                <w:sz w:val="24"/>
                <w:szCs w:val="24"/>
                <w:lang w:val="en-US" w:eastAsia="zh-CN" w:bidi="ar-SA"/>
              </w:rPr>
              <w:t>m（宽），则单个罩口面积为：S=</w:t>
            </w:r>
            <w:r>
              <w:rPr>
                <w:rFonts w:hint="eastAsia" w:ascii="Times New Roman" w:hAnsi="Times New Roman" w:eastAsia="宋体" w:cs="Times New Roman"/>
                <w:spacing w:val="-3"/>
                <w:kern w:val="2"/>
                <w:sz w:val="24"/>
                <w:szCs w:val="24"/>
                <w:lang w:val="en-US" w:eastAsia="zh-CN" w:bidi="ar-SA"/>
              </w:rPr>
              <w:t>3</w:t>
            </w:r>
            <w:r>
              <w:rPr>
                <w:rFonts w:hint="default" w:ascii="Times New Roman" w:hAnsi="Times New Roman" w:eastAsia="宋体" w:cs="Times New Roman"/>
                <w:spacing w:val="-3"/>
                <w:kern w:val="2"/>
                <w:sz w:val="24"/>
                <w:szCs w:val="24"/>
                <w:lang w:val="en-US" w:eastAsia="zh-CN" w:bidi="ar-SA"/>
              </w:rPr>
              <w:t>m×</w:t>
            </w:r>
            <w:r>
              <w:rPr>
                <w:rFonts w:hint="eastAsia" w:ascii="Times New Roman" w:hAnsi="Times New Roman" w:eastAsia="宋体" w:cs="Times New Roman"/>
                <w:spacing w:val="-3"/>
                <w:kern w:val="2"/>
                <w:sz w:val="24"/>
                <w:szCs w:val="24"/>
                <w:lang w:val="en-US" w:eastAsia="zh-CN" w:bidi="ar-SA"/>
              </w:rPr>
              <w:t>3</w:t>
            </w:r>
            <w:r>
              <w:rPr>
                <w:rFonts w:hint="default" w:ascii="Times New Roman" w:hAnsi="Times New Roman" w:eastAsia="宋体" w:cs="Times New Roman"/>
                <w:spacing w:val="-3"/>
                <w:kern w:val="2"/>
                <w:sz w:val="24"/>
                <w:szCs w:val="24"/>
                <w:lang w:val="en-US" w:eastAsia="zh-CN" w:bidi="ar-SA"/>
              </w:rPr>
              <w:t>m=</w:t>
            </w:r>
            <w:r>
              <w:rPr>
                <w:rFonts w:hint="eastAsia" w:ascii="Times New Roman" w:hAnsi="Times New Roman" w:eastAsia="宋体" w:cs="Times New Roman"/>
                <w:spacing w:val="-3"/>
                <w:kern w:val="2"/>
                <w:sz w:val="24"/>
                <w:szCs w:val="24"/>
                <w:lang w:val="en-US" w:eastAsia="zh-CN" w:bidi="ar-SA"/>
              </w:rPr>
              <w:t>9</w:t>
            </w:r>
            <w:r>
              <w:rPr>
                <w:rFonts w:hint="default" w:ascii="Times New Roman" w:hAnsi="Times New Roman" w:eastAsia="宋体" w:cs="Times New Roman"/>
                <w:spacing w:val="-3"/>
                <w:kern w:val="2"/>
                <w:sz w:val="24"/>
                <w:szCs w:val="24"/>
                <w:lang w:val="en-US" w:eastAsia="zh-CN" w:bidi="ar-SA"/>
              </w:rPr>
              <w:t>m</w:t>
            </w:r>
            <w:r>
              <w:rPr>
                <w:rFonts w:hint="default" w:ascii="Times New Roman" w:hAnsi="Times New Roman" w:eastAsia="宋体" w:cs="Times New Roman"/>
                <w:spacing w:val="-3"/>
                <w:kern w:val="2"/>
                <w:sz w:val="24"/>
                <w:szCs w:val="24"/>
                <w:vertAlign w:val="superscript"/>
                <w:lang w:val="en-US" w:eastAsia="zh-CN" w:bidi="ar-SA"/>
              </w:rPr>
              <w:t>2</w:t>
            </w:r>
          </w:p>
          <w:p w14:paraId="44DBA934">
            <w:pPr>
              <w:keepNext w:val="0"/>
              <w:keepLines w:val="0"/>
              <w:pageBreakBefore w:val="0"/>
              <w:widowControl/>
              <w:kinsoku/>
              <w:wordWrap/>
              <w:overflowPunct/>
              <w:topLinePunct w:val="0"/>
              <w:autoSpaceDE/>
              <w:autoSpaceDN/>
              <w:bidi w:val="0"/>
              <w:adjustRightInd w:val="0"/>
              <w:snapToGrid w:val="0"/>
              <w:spacing w:before="0" w:after="0" w:line="360" w:lineRule="auto"/>
              <w:ind w:right="0" w:firstLine="468" w:firstLineChars="200"/>
              <w:jc w:val="both"/>
              <w:textAlignment w:val="auto"/>
              <w:rPr>
                <w:rFonts w:hint="default" w:ascii="Times New Roman" w:hAnsi="Times New Roman" w:eastAsia="宋体" w:cs="Times New Roman"/>
                <w:spacing w:val="-3"/>
                <w:kern w:val="2"/>
                <w:sz w:val="24"/>
                <w:szCs w:val="24"/>
                <w:lang w:val="en-US" w:eastAsia="zh-CN" w:bidi="ar-SA"/>
              </w:rPr>
            </w:pPr>
            <w:r>
              <w:rPr>
                <w:rFonts w:hint="eastAsia" w:ascii="Times New Roman" w:hAnsi="Times New Roman" w:eastAsia="宋体" w:cs="Times New Roman"/>
                <w:spacing w:val="-3"/>
                <w:kern w:val="2"/>
                <w:sz w:val="24"/>
                <w:szCs w:val="24"/>
                <w:lang w:val="en-US" w:eastAsia="zh-CN" w:bidi="ar-SA"/>
              </w:rPr>
              <w:t>（2）</w:t>
            </w:r>
            <w:r>
              <w:rPr>
                <w:rFonts w:hint="default" w:ascii="Times New Roman" w:hAnsi="Times New Roman" w:eastAsia="宋体" w:cs="Times New Roman"/>
                <w:spacing w:val="-3"/>
                <w:kern w:val="2"/>
                <w:sz w:val="24"/>
                <w:szCs w:val="24"/>
                <w:lang w:val="en-US" w:eastAsia="zh-CN" w:bidi="ar-SA"/>
              </w:rPr>
              <w:t>控制风速的选择</w:t>
            </w:r>
          </w:p>
          <w:p w14:paraId="12F03F03">
            <w:pPr>
              <w:keepNext w:val="0"/>
              <w:keepLines w:val="0"/>
              <w:pageBreakBefore w:val="0"/>
              <w:widowControl/>
              <w:kinsoku/>
              <w:wordWrap/>
              <w:overflowPunct/>
              <w:topLinePunct w:val="0"/>
              <w:autoSpaceDE/>
              <w:autoSpaceDN/>
              <w:bidi w:val="0"/>
              <w:adjustRightInd w:val="0"/>
              <w:snapToGrid w:val="0"/>
              <w:spacing w:before="0" w:after="0" w:line="360" w:lineRule="auto"/>
              <w:ind w:right="0" w:firstLine="468" w:firstLineChars="200"/>
              <w:jc w:val="both"/>
              <w:textAlignment w:val="auto"/>
              <w:rPr>
                <w:rFonts w:hint="default" w:ascii="Times New Roman" w:hAnsi="Times New Roman" w:eastAsia="宋体" w:cs="Times New Roman"/>
                <w:spacing w:val="-3"/>
                <w:kern w:val="2"/>
                <w:sz w:val="24"/>
                <w:szCs w:val="24"/>
                <w:lang w:val="en-US" w:eastAsia="zh-CN" w:bidi="ar-SA"/>
              </w:rPr>
            </w:pPr>
            <w:r>
              <w:rPr>
                <w:rFonts w:hint="default" w:ascii="Times New Roman" w:hAnsi="Times New Roman" w:eastAsia="宋体" w:cs="Times New Roman"/>
                <w:spacing w:val="-3"/>
                <w:kern w:val="2"/>
                <w:sz w:val="24"/>
                <w:szCs w:val="24"/>
                <w:lang w:val="en-US" w:eastAsia="zh-CN" w:bidi="ar-SA"/>
              </w:rPr>
              <w:t>根据《大气污染治理工程技术导则》（HJ 2000-2010），不同场景下的控制风速建议如下：</w:t>
            </w:r>
          </w:p>
          <w:p w14:paraId="58612637">
            <w:pPr>
              <w:keepNext w:val="0"/>
              <w:keepLines w:val="0"/>
              <w:pageBreakBefore w:val="0"/>
              <w:widowControl/>
              <w:kinsoku/>
              <w:wordWrap/>
              <w:overflowPunct/>
              <w:topLinePunct w:val="0"/>
              <w:autoSpaceDE/>
              <w:autoSpaceDN/>
              <w:bidi w:val="0"/>
              <w:adjustRightInd w:val="0"/>
              <w:snapToGrid w:val="0"/>
              <w:spacing w:before="0" w:after="0" w:line="360" w:lineRule="auto"/>
              <w:ind w:right="0" w:firstLine="468" w:firstLineChars="200"/>
              <w:jc w:val="both"/>
              <w:textAlignment w:val="auto"/>
              <w:rPr>
                <w:rFonts w:hint="default" w:ascii="Times New Roman" w:hAnsi="Times New Roman" w:eastAsia="宋体" w:cs="Times New Roman"/>
                <w:spacing w:val="-3"/>
                <w:kern w:val="2"/>
                <w:sz w:val="24"/>
                <w:szCs w:val="24"/>
                <w:lang w:val="en-US" w:eastAsia="zh-CN" w:bidi="ar-SA"/>
              </w:rPr>
            </w:pPr>
            <w:r>
              <w:rPr>
                <w:rFonts w:hint="default" w:ascii="Times New Roman" w:hAnsi="Times New Roman" w:eastAsia="宋体" w:cs="Times New Roman"/>
                <w:spacing w:val="-3"/>
                <w:kern w:val="2"/>
                <w:sz w:val="24"/>
                <w:szCs w:val="24"/>
                <w:lang w:val="en-US" w:eastAsia="zh-CN" w:bidi="ar-SA"/>
              </w:rPr>
              <w:t>敞口式集气罩（无围挡）：通常取0.5</w:t>
            </w:r>
            <w:r>
              <w:rPr>
                <w:rFonts w:hint="eastAsia" w:ascii="Times New Roman" w:hAnsi="Times New Roman" w:eastAsia="宋体" w:cs="Times New Roman"/>
                <w:spacing w:val="-3"/>
                <w:kern w:val="2"/>
                <w:sz w:val="24"/>
                <w:szCs w:val="24"/>
                <w:lang w:val="en-US" w:eastAsia="zh-CN" w:bidi="ar-SA"/>
              </w:rPr>
              <w:t>~</w:t>
            </w:r>
            <w:r>
              <w:rPr>
                <w:rFonts w:hint="default" w:ascii="Times New Roman" w:hAnsi="Times New Roman" w:eastAsia="宋体" w:cs="Times New Roman"/>
                <w:spacing w:val="-3"/>
                <w:kern w:val="2"/>
                <w:sz w:val="24"/>
                <w:szCs w:val="24"/>
                <w:lang w:val="en-US" w:eastAsia="zh-CN" w:bidi="ar-SA"/>
              </w:rPr>
              <w:t>1.0m/s；</w:t>
            </w:r>
          </w:p>
          <w:p w14:paraId="46754E60">
            <w:pPr>
              <w:keepNext w:val="0"/>
              <w:keepLines w:val="0"/>
              <w:pageBreakBefore w:val="0"/>
              <w:widowControl/>
              <w:kinsoku/>
              <w:wordWrap/>
              <w:overflowPunct/>
              <w:topLinePunct w:val="0"/>
              <w:autoSpaceDE/>
              <w:autoSpaceDN/>
              <w:bidi w:val="0"/>
              <w:adjustRightInd w:val="0"/>
              <w:snapToGrid w:val="0"/>
              <w:spacing w:before="0" w:after="0" w:line="360" w:lineRule="auto"/>
              <w:ind w:right="0" w:firstLine="468" w:firstLineChars="200"/>
              <w:jc w:val="both"/>
              <w:textAlignment w:val="auto"/>
              <w:rPr>
                <w:rFonts w:hint="default" w:ascii="Times New Roman" w:hAnsi="Times New Roman" w:eastAsia="宋体" w:cs="Times New Roman"/>
                <w:spacing w:val="-3"/>
                <w:kern w:val="2"/>
                <w:sz w:val="24"/>
                <w:szCs w:val="24"/>
                <w:lang w:val="en-US" w:eastAsia="zh-CN" w:bidi="ar-SA"/>
              </w:rPr>
            </w:pPr>
            <w:r>
              <w:rPr>
                <w:rFonts w:hint="default" w:ascii="Times New Roman" w:hAnsi="Times New Roman" w:eastAsia="宋体" w:cs="Times New Roman"/>
                <w:spacing w:val="-3"/>
                <w:kern w:val="2"/>
                <w:sz w:val="24"/>
                <w:szCs w:val="24"/>
                <w:lang w:val="en-US" w:eastAsia="zh-CN" w:bidi="ar-SA"/>
              </w:rPr>
              <w:t>半密闭或有围挡集气罩：可提高至0.8</w:t>
            </w:r>
            <w:r>
              <w:rPr>
                <w:rFonts w:hint="eastAsia" w:ascii="Times New Roman" w:hAnsi="Times New Roman" w:eastAsia="宋体" w:cs="Times New Roman"/>
                <w:spacing w:val="-3"/>
                <w:kern w:val="2"/>
                <w:sz w:val="24"/>
                <w:szCs w:val="24"/>
                <w:lang w:val="en-US" w:eastAsia="zh-CN" w:bidi="ar-SA"/>
              </w:rPr>
              <w:t>~</w:t>
            </w:r>
            <w:r>
              <w:rPr>
                <w:rFonts w:hint="default" w:ascii="Times New Roman" w:hAnsi="Times New Roman" w:eastAsia="宋体" w:cs="Times New Roman"/>
                <w:spacing w:val="-3"/>
                <w:kern w:val="2"/>
                <w:sz w:val="24"/>
                <w:szCs w:val="24"/>
                <w:lang w:val="en-US" w:eastAsia="zh-CN" w:bidi="ar-SA"/>
              </w:rPr>
              <w:t>1.2m/s。</w:t>
            </w:r>
          </w:p>
          <w:p w14:paraId="32629E32">
            <w:pPr>
              <w:keepNext w:val="0"/>
              <w:keepLines w:val="0"/>
              <w:pageBreakBefore w:val="0"/>
              <w:widowControl/>
              <w:kinsoku/>
              <w:wordWrap/>
              <w:overflowPunct/>
              <w:topLinePunct w:val="0"/>
              <w:autoSpaceDE/>
              <w:autoSpaceDN/>
              <w:bidi w:val="0"/>
              <w:adjustRightInd w:val="0"/>
              <w:snapToGrid w:val="0"/>
              <w:spacing w:before="0" w:after="0" w:line="360" w:lineRule="auto"/>
              <w:ind w:right="0" w:firstLine="468" w:firstLineChars="200"/>
              <w:jc w:val="both"/>
              <w:textAlignment w:val="auto"/>
              <w:rPr>
                <w:rFonts w:hint="default" w:ascii="Times New Roman" w:hAnsi="Times New Roman" w:eastAsia="宋体" w:cs="Times New Roman"/>
                <w:spacing w:val="-3"/>
                <w:kern w:val="2"/>
                <w:sz w:val="24"/>
                <w:szCs w:val="24"/>
                <w:lang w:val="en-US" w:eastAsia="zh-CN" w:bidi="ar-SA"/>
              </w:rPr>
            </w:pPr>
            <w:r>
              <w:rPr>
                <w:rFonts w:hint="eastAsia" w:ascii="Times New Roman" w:hAnsi="Times New Roman" w:eastAsia="宋体" w:cs="Times New Roman"/>
                <w:spacing w:val="-3"/>
                <w:kern w:val="2"/>
                <w:sz w:val="24"/>
                <w:szCs w:val="24"/>
                <w:lang w:val="en-US" w:eastAsia="zh-CN" w:bidi="ar-SA"/>
              </w:rPr>
              <w:t>本项目</w:t>
            </w:r>
            <w:r>
              <w:rPr>
                <w:rFonts w:hint="default" w:ascii="Times New Roman" w:hAnsi="Times New Roman" w:eastAsia="宋体" w:cs="Times New Roman"/>
                <w:spacing w:val="-3"/>
                <w:kern w:val="2"/>
                <w:sz w:val="24"/>
                <w:szCs w:val="24"/>
                <w:lang w:val="en-US" w:eastAsia="zh-CN" w:bidi="ar-SA"/>
              </w:rPr>
              <w:t>取控制风速v=</w:t>
            </w:r>
            <w:r>
              <w:rPr>
                <w:rFonts w:hint="eastAsia" w:ascii="Times New Roman" w:hAnsi="Times New Roman" w:eastAsia="宋体" w:cs="Times New Roman"/>
                <w:spacing w:val="-3"/>
                <w:kern w:val="2"/>
                <w:sz w:val="24"/>
                <w:szCs w:val="24"/>
                <w:lang w:val="en-US" w:eastAsia="zh-CN" w:bidi="ar-SA"/>
              </w:rPr>
              <w:t>1.2</w:t>
            </w:r>
            <w:r>
              <w:rPr>
                <w:rFonts w:hint="default" w:ascii="Times New Roman" w:hAnsi="Times New Roman" w:eastAsia="宋体" w:cs="Times New Roman"/>
                <w:spacing w:val="-3"/>
                <w:kern w:val="2"/>
                <w:sz w:val="24"/>
                <w:szCs w:val="24"/>
                <w:lang w:val="en-US" w:eastAsia="zh-CN" w:bidi="ar-SA"/>
              </w:rPr>
              <w:t>m/s作为计算依据。</w:t>
            </w:r>
          </w:p>
          <w:p w14:paraId="75B0AE92">
            <w:pPr>
              <w:keepNext w:val="0"/>
              <w:keepLines w:val="0"/>
              <w:pageBreakBefore w:val="0"/>
              <w:widowControl/>
              <w:kinsoku/>
              <w:wordWrap/>
              <w:overflowPunct/>
              <w:topLinePunct w:val="0"/>
              <w:autoSpaceDE/>
              <w:autoSpaceDN/>
              <w:bidi w:val="0"/>
              <w:adjustRightInd w:val="0"/>
              <w:snapToGrid w:val="0"/>
              <w:spacing w:before="0" w:after="0" w:line="360" w:lineRule="auto"/>
              <w:ind w:right="0" w:firstLine="468" w:firstLineChars="200"/>
              <w:jc w:val="both"/>
              <w:textAlignment w:val="auto"/>
              <w:rPr>
                <w:rFonts w:hint="default" w:ascii="Times New Roman" w:hAnsi="Times New Roman" w:eastAsia="宋体" w:cs="Times New Roman"/>
                <w:spacing w:val="-3"/>
                <w:kern w:val="2"/>
                <w:sz w:val="24"/>
                <w:szCs w:val="24"/>
                <w:lang w:val="en-US" w:eastAsia="zh-CN" w:bidi="ar-SA"/>
              </w:rPr>
            </w:pPr>
            <w:r>
              <w:rPr>
                <w:rFonts w:hint="default" w:ascii="Times New Roman" w:hAnsi="Times New Roman" w:eastAsia="宋体" w:cs="Times New Roman"/>
                <w:spacing w:val="-3"/>
                <w:kern w:val="2"/>
                <w:sz w:val="24"/>
                <w:szCs w:val="24"/>
                <w:lang w:val="en-US" w:eastAsia="zh-CN" w:bidi="ar-SA"/>
              </w:rPr>
              <w:t>风量的基础计算</w:t>
            </w:r>
          </w:p>
          <w:p w14:paraId="728007A0">
            <w:pPr>
              <w:keepNext w:val="0"/>
              <w:keepLines w:val="0"/>
              <w:pageBreakBefore w:val="0"/>
              <w:widowControl/>
              <w:kinsoku/>
              <w:wordWrap/>
              <w:overflowPunct/>
              <w:topLinePunct w:val="0"/>
              <w:autoSpaceDE/>
              <w:autoSpaceDN/>
              <w:bidi w:val="0"/>
              <w:adjustRightInd w:val="0"/>
              <w:snapToGrid w:val="0"/>
              <w:spacing w:before="0" w:after="0" w:line="360" w:lineRule="auto"/>
              <w:ind w:right="0" w:firstLine="468" w:firstLineChars="200"/>
              <w:jc w:val="both"/>
              <w:textAlignment w:val="auto"/>
              <w:rPr>
                <w:rFonts w:hint="default" w:ascii="Times New Roman" w:hAnsi="Times New Roman" w:eastAsia="宋体" w:cs="Times New Roman"/>
                <w:spacing w:val="-3"/>
                <w:kern w:val="2"/>
                <w:sz w:val="24"/>
                <w:szCs w:val="24"/>
                <w:lang w:val="en-US" w:eastAsia="zh-CN" w:bidi="ar-SA"/>
              </w:rPr>
            </w:pPr>
            <w:r>
              <w:rPr>
                <w:rFonts w:hint="eastAsia" w:ascii="Times New Roman" w:hAnsi="Times New Roman" w:eastAsia="宋体" w:cs="Times New Roman"/>
                <w:spacing w:val="-3"/>
                <w:kern w:val="2"/>
                <w:sz w:val="24"/>
                <w:szCs w:val="24"/>
                <w:lang w:val="en-US" w:eastAsia="zh-CN" w:bidi="ar-SA"/>
              </w:rPr>
              <w:t>（1）</w:t>
            </w:r>
            <w:r>
              <w:rPr>
                <w:rFonts w:hint="default" w:ascii="Times New Roman" w:hAnsi="Times New Roman" w:eastAsia="宋体" w:cs="Times New Roman"/>
                <w:spacing w:val="-3"/>
                <w:kern w:val="2"/>
                <w:sz w:val="24"/>
                <w:szCs w:val="24"/>
                <w:lang w:val="en-US" w:eastAsia="zh-CN" w:bidi="ar-SA"/>
              </w:rPr>
              <w:t>理论风量（基于罩口面积与风速）</w:t>
            </w:r>
          </w:p>
          <w:p w14:paraId="1434FB86">
            <w:pPr>
              <w:keepNext w:val="0"/>
              <w:keepLines w:val="0"/>
              <w:pageBreakBefore w:val="0"/>
              <w:widowControl/>
              <w:kinsoku/>
              <w:wordWrap/>
              <w:overflowPunct/>
              <w:topLinePunct w:val="0"/>
              <w:autoSpaceDE/>
              <w:autoSpaceDN/>
              <w:bidi w:val="0"/>
              <w:adjustRightInd w:val="0"/>
              <w:snapToGrid w:val="0"/>
              <w:spacing w:before="0" w:after="0" w:line="360" w:lineRule="auto"/>
              <w:ind w:right="0" w:firstLine="468" w:firstLineChars="200"/>
              <w:jc w:val="both"/>
              <w:textAlignment w:val="auto"/>
              <w:rPr>
                <w:rFonts w:hint="default" w:ascii="Times New Roman" w:hAnsi="Times New Roman" w:eastAsia="宋体" w:cs="Times New Roman"/>
                <w:spacing w:val="-3"/>
                <w:kern w:val="2"/>
                <w:sz w:val="24"/>
                <w:szCs w:val="24"/>
                <w:lang w:val="en-US" w:eastAsia="zh-CN" w:bidi="ar-SA"/>
              </w:rPr>
            </w:pPr>
            <w:r>
              <w:rPr>
                <w:rFonts w:hint="default" w:ascii="Times New Roman" w:hAnsi="Times New Roman" w:eastAsia="宋体" w:cs="Times New Roman"/>
                <w:spacing w:val="-3"/>
                <w:kern w:val="2"/>
                <w:sz w:val="24"/>
                <w:szCs w:val="24"/>
                <w:lang w:val="en-US" w:eastAsia="zh-CN" w:bidi="ar-SA"/>
              </w:rPr>
              <w:t>Q1=S总×v×3600其中，3600为单位换算系数（将秒换算为小时）。代入数据：Q1=</w:t>
            </w:r>
            <w:r>
              <w:rPr>
                <w:rFonts w:hint="eastAsia" w:ascii="Times New Roman" w:hAnsi="Times New Roman" w:eastAsia="宋体" w:cs="Times New Roman"/>
                <w:spacing w:val="-3"/>
                <w:kern w:val="2"/>
                <w:sz w:val="24"/>
                <w:szCs w:val="24"/>
                <w:lang w:val="en-US" w:eastAsia="zh-CN" w:bidi="ar-SA"/>
              </w:rPr>
              <w:t>9</w:t>
            </w:r>
            <w:r>
              <w:rPr>
                <w:rFonts w:hint="default" w:ascii="Times New Roman" w:hAnsi="Times New Roman" w:eastAsia="宋体" w:cs="Times New Roman"/>
                <w:spacing w:val="-3"/>
                <w:kern w:val="2"/>
                <w:sz w:val="24"/>
                <w:szCs w:val="24"/>
                <w:lang w:val="en-US" w:eastAsia="zh-CN" w:bidi="ar-SA"/>
              </w:rPr>
              <w:t>m</w:t>
            </w:r>
            <w:r>
              <w:rPr>
                <w:rFonts w:hint="default" w:ascii="Times New Roman" w:hAnsi="Times New Roman" w:eastAsia="宋体" w:cs="Times New Roman"/>
                <w:spacing w:val="-3"/>
                <w:kern w:val="2"/>
                <w:sz w:val="24"/>
                <w:szCs w:val="24"/>
                <w:vertAlign w:val="superscript"/>
                <w:lang w:val="en-US" w:eastAsia="zh-CN" w:bidi="ar-SA"/>
              </w:rPr>
              <w:t>2</w:t>
            </w:r>
            <w:r>
              <w:rPr>
                <w:rFonts w:hint="default" w:ascii="Times New Roman" w:hAnsi="Times New Roman" w:eastAsia="宋体" w:cs="Times New Roman"/>
                <w:spacing w:val="-3"/>
                <w:kern w:val="2"/>
                <w:sz w:val="24"/>
                <w:szCs w:val="24"/>
                <w:lang w:val="en-US" w:eastAsia="zh-CN" w:bidi="ar-SA"/>
              </w:rPr>
              <w:t>×</w:t>
            </w:r>
            <w:r>
              <w:rPr>
                <w:rFonts w:hint="eastAsia" w:ascii="Times New Roman" w:hAnsi="Times New Roman" w:eastAsia="宋体" w:cs="Times New Roman"/>
                <w:spacing w:val="-3"/>
                <w:kern w:val="2"/>
                <w:sz w:val="24"/>
                <w:szCs w:val="24"/>
                <w:lang w:val="en-US" w:eastAsia="zh-CN" w:bidi="ar-SA"/>
              </w:rPr>
              <w:t>1.2</w:t>
            </w:r>
            <w:r>
              <w:rPr>
                <w:rFonts w:hint="default" w:ascii="Times New Roman" w:hAnsi="Times New Roman" w:eastAsia="宋体" w:cs="Times New Roman"/>
                <w:spacing w:val="-3"/>
                <w:kern w:val="2"/>
                <w:sz w:val="24"/>
                <w:szCs w:val="24"/>
                <w:lang w:val="en-US" w:eastAsia="zh-CN" w:bidi="ar-SA"/>
              </w:rPr>
              <w:t>m/s×3600=</w:t>
            </w:r>
            <w:r>
              <w:rPr>
                <w:rFonts w:hint="eastAsia" w:ascii="Times New Roman" w:hAnsi="Times New Roman" w:eastAsia="宋体" w:cs="Times New Roman"/>
                <w:spacing w:val="-3"/>
                <w:kern w:val="2"/>
                <w:sz w:val="24"/>
                <w:szCs w:val="24"/>
                <w:lang w:val="en-US" w:eastAsia="zh-CN" w:bidi="ar-SA"/>
              </w:rPr>
              <w:t>38880</w:t>
            </w:r>
            <w:r>
              <w:rPr>
                <w:rFonts w:hint="default" w:ascii="Times New Roman" w:hAnsi="Times New Roman" w:eastAsia="宋体" w:cs="Times New Roman"/>
                <w:spacing w:val="-3"/>
                <w:kern w:val="2"/>
                <w:sz w:val="24"/>
                <w:szCs w:val="24"/>
                <w:lang w:val="en-US" w:eastAsia="zh-CN" w:bidi="ar-SA"/>
              </w:rPr>
              <w:t>m</w:t>
            </w:r>
            <w:r>
              <w:rPr>
                <w:rFonts w:hint="default" w:ascii="Times New Roman" w:hAnsi="Times New Roman" w:eastAsia="宋体" w:cs="Times New Roman"/>
                <w:spacing w:val="-3"/>
                <w:kern w:val="2"/>
                <w:sz w:val="24"/>
                <w:szCs w:val="24"/>
                <w:vertAlign w:val="superscript"/>
                <w:lang w:val="en-US" w:eastAsia="zh-CN" w:bidi="ar-SA"/>
              </w:rPr>
              <w:t>3</w:t>
            </w:r>
            <w:r>
              <w:rPr>
                <w:rFonts w:hint="default" w:ascii="Times New Roman" w:hAnsi="Times New Roman" w:eastAsia="宋体" w:cs="Times New Roman"/>
                <w:spacing w:val="-3"/>
                <w:kern w:val="2"/>
                <w:sz w:val="24"/>
                <w:szCs w:val="24"/>
                <w:lang w:val="en-US" w:eastAsia="zh-CN" w:bidi="ar-SA"/>
              </w:rPr>
              <w:t>/</w:t>
            </w:r>
            <w:r>
              <w:rPr>
                <w:rFonts w:hint="eastAsia" w:ascii="Times New Roman" w:hAnsi="Times New Roman" w:eastAsia="宋体" w:cs="Times New Roman"/>
                <w:spacing w:val="-3"/>
                <w:kern w:val="2"/>
                <w:sz w:val="24"/>
                <w:szCs w:val="24"/>
                <w:lang w:val="en-US" w:eastAsia="zh-CN" w:bidi="ar-SA"/>
              </w:rPr>
              <w:t>h</w:t>
            </w:r>
          </w:p>
          <w:p w14:paraId="5A7C2D14">
            <w:pPr>
              <w:keepNext w:val="0"/>
              <w:keepLines w:val="0"/>
              <w:pageBreakBefore w:val="0"/>
              <w:widowControl/>
              <w:kinsoku/>
              <w:wordWrap/>
              <w:overflowPunct/>
              <w:topLinePunct w:val="0"/>
              <w:autoSpaceDE/>
              <w:autoSpaceDN/>
              <w:bidi w:val="0"/>
              <w:adjustRightInd w:val="0"/>
              <w:snapToGrid w:val="0"/>
              <w:spacing w:before="0" w:after="0" w:line="360" w:lineRule="auto"/>
              <w:ind w:right="0" w:firstLine="468" w:firstLineChars="200"/>
              <w:jc w:val="both"/>
              <w:textAlignment w:val="auto"/>
              <w:rPr>
                <w:rFonts w:hint="default" w:ascii="Times New Roman" w:hAnsi="Times New Roman" w:eastAsia="宋体" w:cs="Times New Roman"/>
                <w:spacing w:val="-3"/>
                <w:kern w:val="2"/>
                <w:sz w:val="24"/>
                <w:szCs w:val="24"/>
                <w:lang w:val="en-US" w:eastAsia="zh-CN" w:bidi="ar-SA"/>
              </w:rPr>
            </w:pPr>
            <w:r>
              <w:rPr>
                <w:rFonts w:hint="eastAsia" w:ascii="Times New Roman" w:hAnsi="Times New Roman" w:eastAsia="宋体" w:cs="Times New Roman"/>
                <w:spacing w:val="-3"/>
                <w:kern w:val="2"/>
                <w:sz w:val="24"/>
                <w:szCs w:val="24"/>
                <w:lang w:val="en-US" w:eastAsia="zh-CN" w:bidi="ar-SA"/>
              </w:rPr>
              <w:t>（2）</w:t>
            </w:r>
            <w:r>
              <w:rPr>
                <w:rFonts w:hint="default" w:ascii="Times New Roman" w:hAnsi="Times New Roman" w:eastAsia="宋体" w:cs="Times New Roman"/>
                <w:spacing w:val="-3"/>
                <w:kern w:val="2"/>
                <w:sz w:val="24"/>
                <w:szCs w:val="24"/>
                <w:lang w:val="en-US" w:eastAsia="zh-CN" w:bidi="ar-SA"/>
              </w:rPr>
              <w:t>考虑系统漏风与安全系数</w:t>
            </w:r>
          </w:p>
          <w:p w14:paraId="01CCFD19">
            <w:pPr>
              <w:keepNext w:val="0"/>
              <w:keepLines w:val="0"/>
              <w:pageBreakBefore w:val="0"/>
              <w:widowControl/>
              <w:kinsoku/>
              <w:wordWrap/>
              <w:overflowPunct/>
              <w:topLinePunct w:val="0"/>
              <w:autoSpaceDE/>
              <w:autoSpaceDN/>
              <w:bidi w:val="0"/>
              <w:adjustRightInd w:val="0"/>
              <w:snapToGrid w:val="0"/>
              <w:spacing w:before="0" w:after="0" w:line="360" w:lineRule="auto"/>
              <w:ind w:right="0" w:firstLine="468" w:firstLineChars="200"/>
              <w:jc w:val="both"/>
              <w:textAlignment w:val="auto"/>
              <w:rPr>
                <w:rFonts w:hint="default" w:ascii="Times New Roman" w:hAnsi="Times New Roman" w:eastAsia="宋体" w:cs="Times New Roman"/>
                <w:spacing w:val="-3"/>
                <w:kern w:val="2"/>
                <w:sz w:val="24"/>
                <w:szCs w:val="24"/>
                <w:lang w:val="en-US" w:eastAsia="zh-CN" w:bidi="ar-SA"/>
              </w:rPr>
            </w:pPr>
            <w:r>
              <w:rPr>
                <w:rFonts w:hint="default" w:ascii="Times New Roman" w:hAnsi="Times New Roman" w:eastAsia="宋体" w:cs="Times New Roman"/>
                <w:spacing w:val="-3"/>
                <w:kern w:val="2"/>
                <w:sz w:val="24"/>
                <w:szCs w:val="24"/>
                <w:lang w:val="en-US" w:eastAsia="zh-CN" w:bidi="ar-SA"/>
              </w:rPr>
              <w:t>实际工程中需考虑管道漏风、设备阻力等因素，通常引入安全系数K（一般取1.1</w:t>
            </w:r>
            <w:r>
              <w:rPr>
                <w:rFonts w:hint="eastAsia" w:ascii="Times New Roman" w:hAnsi="Times New Roman" w:eastAsia="宋体" w:cs="Times New Roman"/>
                <w:spacing w:val="-3"/>
                <w:kern w:val="2"/>
                <w:sz w:val="24"/>
                <w:szCs w:val="24"/>
                <w:lang w:val="en-US" w:eastAsia="zh-CN" w:bidi="ar-SA"/>
              </w:rPr>
              <w:t>~</w:t>
            </w:r>
            <w:r>
              <w:rPr>
                <w:rFonts w:hint="default" w:ascii="Times New Roman" w:hAnsi="Times New Roman" w:eastAsia="宋体" w:cs="Times New Roman"/>
                <w:spacing w:val="-3"/>
                <w:kern w:val="2"/>
                <w:sz w:val="24"/>
                <w:szCs w:val="24"/>
                <w:lang w:val="en-US" w:eastAsia="zh-CN" w:bidi="ar-SA"/>
              </w:rPr>
              <w:t>1.2）。取K=1.</w:t>
            </w:r>
            <w:r>
              <w:rPr>
                <w:rFonts w:hint="eastAsia" w:ascii="Times New Roman" w:hAnsi="Times New Roman" w:eastAsia="宋体" w:cs="Times New Roman"/>
                <w:spacing w:val="-3"/>
                <w:kern w:val="2"/>
                <w:sz w:val="24"/>
                <w:szCs w:val="24"/>
                <w:lang w:val="en-US" w:eastAsia="zh-CN" w:bidi="ar-SA"/>
              </w:rPr>
              <w:t>2</w:t>
            </w:r>
            <w:r>
              <w:rPr>
                <w:rFonts w:hint="default" w:ascii="Times New Roman" w:hAnsi="Times New Roman" w:eastAsia="宋体" w:cs="Times New Roman"/>
                <w:spacing w:val="-3"/>
                <w:kern w:val="2"/>
                <w:sz w:val="24"/>
                <w:szCs w:val="24"/>
                <w:lang w:val="en-US" w:eastAsia="zh-CN" w:bidi="ar-SA"/>
              </w:rPr>
              <w:t>，则最终风机风量为：Q=Q1×K=</w:t>
            </w:r>
            <w:r>
              <w:rPr>
                <w:rFonts w:hint="eastAsia" w:ascii="Times New Roman" w:hAnsi="Times New Roman" w:eastAsia="宋体" w:cs="Times New Roman"/>
                <w:spacing w:val="-3"/>
                <w:kern w:val="2"/>
                <w:sz w:val="24"/>
                <w:szCs w:val="24"/>
                <w:lang w:val="en-US" w:eastAsia="zh-CN" w:bidi="ar-SA"/>
              </w:rPr>
              <w:t>38880</w:t>
            </w:r>
            <w:r>
              <w:rPr>
                <w:rFonts w:hint="default" w:ascii="Times New Roman" w:hAnsi="Times New Roman" w:eastAsia="宋体" w:cs="Times New Roman"/>
                <w:spacing w:val="-3"/>
                <w:kern w:val="2"/>
                <w:sz w:val="24"/>
                <w:szCs w:val="24"/>
                <w:lang w:val="en-US" w:eastAsia="zh-CN" w:bidi="ar-SA"/>
              </w:rPr>
              <w:t>m</w:t>
            </w:r>
            <w:r>
              <w:rPr>
                <w:rFonts w:hint="default" w:ascii="Times New Roman" w:hAnsi="Times New Roman" w:eastAsia="宋体" w:cs="Times New Roman"/>
                <w:spacing w:val="-3"/>
                <w:kern w:val="2"/>
                <w:sz w:val="24"/>
                <w:szCs w:val="24"/>
                <w:vertAlign w:val="superscript"/>
                <w:lang w:val="en-US" w:eastAsia="zh-CN" w:bidi="ar-SA"/>
              </w:rPr>
              <w:t>3</w:t>
            </w:r>
            <w:r>
              <w:rPr>
                <w:rFonts w:hint="default" w:ascii="Times New Roman" w:hAnsi="Times New Roman" w:eastAsia="宋体" w:cs="Times New Roman"/>
                <w:spacing w:val="-3"/>
                <w:kern w:val="2"/>
                <w:sz w:val="24"/>
                <w:szCs w:val="24"/>
                <w:lang w:val="en-US" w:eastAsia="zh-CN" w:bidi="ar-SA"/>
              </w:rPr>
              <w:t>/h×1.</w:t>
            </w:r>
            <w:r>
              <w:rPr>
                <w:rFonts w:hint="eastAsia" w:ascii="Times New Roman" w:hAnsi="Times New Roman" w:eastAsia="宋体" w:cs="Times New Roman"/>
                <w:spacing w:val="-3"/>
                <w:kern w:val="2"/>
                <w:sz w:val="24"/>
                <w:szCs w:val="24"/>
                <w:lang w:val="en-US" w:eastAsia="zh-CN" w:bidi="ar-SA"/>
              </w:rPr>
              <w:t>2</w:t>
            </w:r>
            <w:r>
              <w:rPr>
                <w:rFonts w:hint="default" w:ascii="Times New Roman" w:hAnsi="Times New Roman" w:eastAsia="宋体" w:cs="Times New Roman"/>
                <w:spacing w:val="-3"/>
                <w:kern w:val="2"/>
                <w:sz w:val="24"/>
                <w:szCs w:val="24"/>
                <w:lang w:val="en-US" w:eastAsia="zh-CN" w:bidi="ar-SA"/>
              </w:rPr>
              <w:t>=</w:t>
            </w:r>
            <w:r>
              <w:rPr>
                <w:rFonts w:hint="eastAsia" w:ascii="Times New Roman" w:hAnsi="Times New Roman" w:eastAsia="宋体" w:cs="Times New Roman"/>
                <w:spacing w:val="-3"/>
                <w:kern w:val="2"/>
                <w:sz w:val="24"/>
                <w:szCs w:val="24"/>
                <w:lang w:val="en-US" w:eastAsia="zh-CN" w:bidi="ar-SA"/>
              </w:rPr>
              <w:t>46656</w:t>
            </w:r>
            <w:r>
              <w:rPr>
                <w:rFonts w:hint="default" w:ascii="Times New Roman" w:hAnsi="Times New Roman" w:eastAsia="宋体" w:cs="Times New Roman"/>
                <w:spacing w:val="-3"/>
                <w:kern w:val="2"/>
                <w:sz w:val="24"/>
                <w:szCs w:val="24"/>
                <w:lang w:val="en-US" w:eastAsia="zh-CN" w:bidi="ar-SA"/>
              </w:rPr>
              <w:t>m</w:t>
            </w:r>
            <w:r>
              <w:rPr>
                <w:rFonts w:hint="default" w:ascii="Times New Roman" w:hAnsi="Times New Roman" w:eastAsia="宋体" w:cs="Times New Roman"/>
                <w:spacing w:val="-3"/>
                <w:kern w:val="2"/>
                <w:sz w:val="24"/>
                <w:szCs w:val="24"/>
                <w:vertAlign w:val="superscript"/>
                <w:lang w:val="en-US" w:eastAsia="zh-CN" w:bidi="ar-SA"/>
              </w:rPr>
              <w:t>3</w:t>
            </w:r>
            <w:r>
              <w:rPr>
                <w:rFonts w:hint="default" w:ascii="Times New Roman" w:hAnsi="Times New Roman" w:eastAsia="宋体" w:cs="Times New Roman"/>
                <w:spacing w:val="-3"/>
                <w:kern w:val="2"/>
                <w:sz w:val="24"/>
                <w:szCs w:val="24"/>
                <w:lang w:val="en-US" w:eastAsia="zh-CN" w:bidi="ar-SA"/>
              </w:rPr>
              <w:t>/h</w:t>
            </w:r>
          </w:p>
          <w:p w14:paraId="5D4923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spacing w:val="0"/>
                <w:sz w:val="24"/>
                <w:szCs w:val="24"/>
                <w:highlight w:val="none"/>
                <w:lang w:val="en-US" w:eastAsia="zh-CN"/>
              </w:rPr>
            </w:pPr>
            <w:r>
              <w:rPr>
                <w:rFonts w:hint="default" w:ascii="Times New Roman" w:hAnsi="Times New Roman" w:eastAsia="宋体" w:cs="Times New Roman"/>
                <w:bCs/>
                <w:spacing w:val="0"/>
                <w:sz w:val="24"/>
                <w:szCs w:val="24"/>
                <w:highlight w:val="none"/>
                <w:lang w:val="en-US" w:eastAsia="zh-CN"/>
              </w:rPr>
              <w:t>（4）雷蒙磨粉尘</w:t>
            </w:r>
          </w:p>
          <w:p w14:paraId="1CF972B5">
            <w:pPr>
              <w:pStyle w:val="5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b w:val="0"/>
                <w:bCs w:val="0"/>
                <w:spacing w:val="0"/>
                <w:sz w:val="24"/>
                <w:szCs w:val="24"/>
                <w:highlight w:val="none"/>
                <w:lang w:val="en-US" w:eastAsia="zh-CN"/>
              </w:rPr>
            </w:pPr>
            <w:r>
              <w:rPr>
                <w:rFonts w:hint="default" w:ascii="Times New Roman" w:hAnsi="Times New Roman" w:cs="Times New Roman"/>
                <w:b w:val="0"/>
                <w:bCs w:val="0"/>
                <w:spacing w:val="0"/>
                <w:sz w:val="24"/>
                <w:szCs w:val="24"/>
                <w:highlight w:val="none"/>
                <w:lang w:val="en-US" w:eastAsia="zh-CN"/>
              </w:rPr>
              <w:t>磨粉后通过气力输送至</w:t>
            </w:r>
            <w:r>
              <w:rPr>
                <w:rFonts w:hint="eastAsia" w:ascii="Times New Roman" w:hAnsi="Times New Roman" w:eastAsia="宋体" w:cs="Times New Roman"/>
                <w:b w:val="0"/>
                <w:bCs w:val="0"/>
                <w:color w:val="000000"/>
                <w:spacing w:val="0"/>
                <w:sz w:val="24"/>
                <w:szCs w:val="24"/>
                <w:highlight w:val="none"/>
                <w:lang w:val="en-US" w:eastAsia="zh-CN"/>
              </w:rPr>
              <w:t>旋风除尘器+旋风除尘器+布袋除尘器进行收集产品。旋风除尘器去除效率为80%</w:t>
            </w:r>
            <w:r>
              <w:rPr>
                <w:rFonts w:hint="default" w:ascii="Times New Roman" w:hAnsi="Times New Roman" w:cs="Times New Roman"/>
                <w:b w:val="0"/>
                <w:bCs w:val="0"/>
                <w:spacing w:val="0"/>
                <w:sz w:val="24"/>
                <w:szCs w:val="24"/>
                <w:highlight w:val="none"/>
                <w:lang w:val="en-US" w:eastAsia="zh-CN"/>
              </w:rPr>
              <w:t>，布袋除尘器处理效率为99</w:t>
            </w:r>
            <w:r>
              <w:rPr>
                <w:rFonts w:hint="eastAsia" w:ascii="Times New Roman" w:hAnsi="Times New Roman" w:cs="Times New Roman"/>
                <w:b w:val="0"/>
                <w:bCs w:val="0"/>
                <w:spacing w:val="0"/>
                <w:sz w:val="24"/>
                <w:szCs w:val="24"/>
                <w:highlight w:val="none"/>
                <w:lang w:val="en-US" w:eastAsia="zh-CN"/>
              </w:rPr>
              <w:t>.99</w:t>
            </w:r>
            <w:r>
              <w:rPr>
                <w:rFonts w:hint="default" w:ascii="Times New Roman" w:hAnsi="Times New Roman" w:cs="Times New Roman"/>
                <w:b w:val="0"/>
                <w:bCs w:val="0"/>
                <w:spacing w:val="0"/>
                <w:sz w:val="24"/>
                <w:szCs w:val="24"/>
                <w:highlight w:val="none"/>
                <w:lang w:val="en-US" w:eastAsia="zh-CN"/>
              </w:rPr>
              <w:t>%，风机风量为</w:t>
            </w:r>
            <w:r>
              <w:rPr>
                <w:rFonts w:hint="eastAsia" w:ascii="Times New Roman" w:hAnsi="Times New Roman" w:cs="Times New Roman"/>
                <w:b w:val="0"/>
                <w:bCs w:val="0"/>
                <w:spacing w:val="0"/>
                <w:sz w:val="24"/>
                <w:szCs w:val="24"/>
                <w:highlight w:val="none"/>
                <w:lang w:val="en-US" w:eastAsia="zh-CN"/>
              </w:rPr>
              <w:t>8</w:t>
            </w:r>
            <w:r>
              <w:rPr>
                <w:rFonts w:hint="default" w:ascii="Times New Roman" w:hAnsi="Times New Roman" w:cs="Times New Roman"/>
                <w:b w:val="0"/>
                <w:bCs w:val="0"/>
                <w:spacing w:val="0"/>
                <w:sz w:val="24"/>
                <w:szCs w:val="24"/>
                <w:highlight w:val="none"/>
                <w:lang w:val="en-US" w:eastAsia="zh-CN"/>
              </w:rPr>
              <w:t>0000m</w:t>
            </w:r>
            <w:r>
              <w:rPr>
                <w:rFonts w:hint="default" w:ascii="Times New Roman" w:hAnsi="Times New Roman" w:cs="Times New Roman"/>
                <w:b w:val="0"/>
                <w:bCs w:val="0"/>
                <w:spacing w:val="0"/>
                <w:sz w:val="24"/>
                <w:szCs w:val="24"/>
                <w:highlight w:val="none"/>
                <w:vertAlign w:val="superscript"/>
                <w:lang w:val="en-US" w:eastAsia="zh-CN"/>
              </w:rPr>
              <w:t>3</w:t>
            </w:r>
            <w:r>
              <w:rPr>
                <w:rFonts w:hint="default" w:ascii="Times New Roman" w:hAnsi="Times New Roman" w:cs="Times New Roman"/>
                <w:b w:val="0"/>
                <w:bCs w:val="0"/>
                <w:spacing w:val="0"/>
                <w:sz w:val="24"/>
                <w:szCs w:val="24"/>
                <w:highlight w:val="none"/>
                <w:lang w:val="en-US" w:eastAsia="zh-CN"/>
              </w:rPr>
              <w:t>/d，此过程均为管道连接，</w:t>
            </w:r>
            <w:r>
              <w:rPr>
                <w:rFonts w:hint="eastAsia" w:ascii="Times New Roman" w:hAnsi="Times New Roman" w:cs="Times New Roman"/>
                <w:b w:val="0"/>
                <w:bCs w:val="0"/>
                <w:spacing w:val="0"/>
                <w:sz w:val="24"/>
                <w:szCs w:val="24"/>
                <w:highlight w:val="none"/>
                <w:lang w:val="en-US" w:eastAsia="zh-CN"/>
              </w:rPr>
              <w:t>少量废气无组织排放，排放量忽略不计</w:t>
            </w:r>
            <w:r>
              <w:rPr>
                <w:rFonts w:hint="default" w:ascii="Times New Roman" w:hAnsi="Times New Roman" w:cs="Times New Roman"/>
                <w:b w:val="0"/>
                <w:bCs w:val="0"/>
                <w:spacing w:val="0"/>
                <w:sz w:val="24"/>
                <w:szCs w:val="24"/>
                <w:highlight w:val="none"/>
                <w:lang w:val="en-US" w:eastAsia="zh-CN"/>
              </w:rPr>
              <w:t>，磨粉的产品量为39</w:t>
            </w:r>
            <w:r>
              <w:rPr>
                <w:rFonts w:hint="eastAsia" w:ascii="Times New Roman" w:hAnsi="Times New Roman" w:cs="Times New Roman"/>
                <w:b w:val="0"/>
                <w:bCs w:val="0"/>
                <w:spacing w:val="0"/>
                <w:sz w:val="24"/>
                <w:szCs w:val="24"/>
                <w:highlight w:val="none"/>
                <w:lang w:val="en-US" w:eastAsia="zh-CN"/>
              </w:rPr>
              <w:t>.8</w:t>
            </w:r>
            <w:r>
              <w:rPr>
                <w:rFonts w:hint="default" w:ascii="Times New Roman" w:hAnsi="Times New Roman" w:cs="Times New Roman"/>
                <w:b w:val="0"/>
                <w:bCs w:val="0"/>
                <w:spacing w:val="0"/>
                <w:sz w:val="24"/>
                <w:szCs w:val="24"/>
                <w:highlight w:val="none"/>
                <w:lang w:val="en-US" w:eastAsia="zh-CN"/>
              </w:rPr>
              <w:t>万吨</w:t>
            </w:r>
            <w:r>
              <w:rPr>
                <w:rFonts w:hint="eastAsia" w:ascii="Times New Roman" w:hAnsi="Times New Roman" w:cs="Times New Roman"/>
                <w:b w:val="0"/>
                <w:bCs w:val="0"/>
                <w:spacing w:val="0"/>
                <w:sz w:val="24"/>
                <w:szCs w:val="24"/>
                <w:highlight w:val="none"/>
                <w:lang w:val="en-US" w:eastAsia="zh-CN"/>
              </w:rPr>
              <w:t>，共设置2台雷蒙磨，产生的废气进入1套收尘装置进行处理</w:t>
            </w:r>
            <w:r>
              <w:rPr>
                <w:rFonts w:hint="default" w:ascii="Times New Roman" w:hAnsi="Times New Roman" w:cs="Times New Roman"/>
                <w:b w:val="0"/>
                <w:bCs w:val="0"/>
                <w:spacing w:val="0"/>
                <w:sz w:val="24"/>
                <w:szCs w:val="24"/>
                <w:highlight w:val="none"/>
                <w:lang w:val="en-US" w:eastAsia="zh-CN"/>
              </w:rPr>
              <w:t>。有组织废气产生量为</w:t>
            </w:r>
            <w:r>
              <w:rPr>
                <w:rFonts w:hint="eastAsia" w:ascii="Times New Roman" w:hAnsi="Times New Roman" w:cs="Times New Roman"/>
                <w:b w:val="0"/>
                <w:bCs w:val="0"/>
                <w:spacing w:val="0"/>
                <w:sz w:val="24"/>
                <w:szCs w:val="24"/>
                <w:highlight w:val="none"/>
                <w:lang w:val="en-US" w:eastAsia="zh-CN"/>
              </w:rPr>
              <w:t>39.8万</w:t>
            </w:r>
            <w:r>
              <w:rPr>
                <w:rFonts w:hint="default" w:ascii="Times New Roman" w:hAnsi="Times New Roman" w:cs="Times New Roman"/>
                <w:b w:val="0"/>
                <w:bCs w:val="0"/>
                <w:spacing w:val="0"/>
                <w:sz w:val="24"/>
                <w:szCs w:val="24"/>
                <w:highlight w:val="none"/>
                <w:lang w:val="en-US" w:eastAsia="zh-CN"/>
              </w:rPr>
              <w:t>t/a，产生速率为</w:t>
            </w:r>
            <w:r>
              <w:rPr>
                <w:rFonts w:hint="eastAsia" w:ascii="Times New Roman" w:hAnsi="Times New Roman" w:cs="Times New Roman"/>
                <w:b w:val="0"/>
                <w:bCs w:val="0"/>
                <w:spacing w:val="0"/>
                <w:sz w:val="24"/>
                <w:szCs w:val="24"/>
                <w:highlight w:val="none"/>
                <w:lang w:val="en-US" w:eastAsia="zh-CN"/>
              </w:rPr>
              <w:t>165833</w:t>
            </w:r>
            <w:r>
              <w:rPr>
                <w:rFonts w:hint="default" w:ascii="Times New Roman" w:hAnsi="Times New Roman" w:cs="Times New Roman"/>
                <w:b w:val="0"/>
                <w:bCs w:val="0"/>
                <w:spacing w:val="0"/>
                <w:sz w:val="24"/>
                <w:szCs w:val="24"/>
                <w:highlight w:val="none"/>
                <w:lang w:val="en-US" w:eastAsia="zh-CN"/>
              </w:rPr>
              <w:t>kg/h，产生浓度为</w:t>
            </w:r>
            <w:r>
              <w:rPr>
                <w:rFonts w:hint="eastAsia" w:ascii="Times New Roman" w:hAnsi="Times New Roman" w:cs="Times New Roman"/>
                <w:b w:val="0"/>
                <w:bCs w:val="0"/>
                <w:spacing w:val="0"/>
                <w:sz w:val="24"/>
                <w:szCs w:val="24"/>
                <w:highlight w:val="none"/>
                <w:lang w:val="en-US" w:eastAsia="zh-CN"/>
              </w:rPr>
              <w:t>2072916.7</w:t>
            </w:r>
            <w:r>
              <w:rPr>
                <w:rFonts w:hint="default" w:ascii="Times New Roman" w:hAnsi="Times New Roman" w:cs="Times New Roman"/>
                <w:b w:val="0"/>
                <w:bCs w:val="0"/>
                <w:spacing w:val="0"/>
                <w:sz w:val="24"/>
                <w:szCs w:val="24"/>
                <w:highlight w:val="none"/>
                <w:lang w:val="en-US" w:eastAsia="zh-CN"/>
              </w:rPr>
              <w:t>mg/m</w:t>
            </w:r>
            <w:r>
              <w:rPr>
                <w:rFonts w:hint="default" w:ascii="Times New Roman" w:hAnsi="Times New Roman" w:cs="Times New Roman"/>
                <w:b w:val="0"/>
                <w:bCs w:val="0"/>
                <w:spacing w:val="0"/>
                <w:sz w:val="24"/>
                <w:szCs w:val="24"/>
                <w:highlight w:val="none"/>
                <w:vertAlign w:val="superscript"/>
                <w:lang w:val="en-US" w:eastAsia="zh-CN"/>
              </w:rPr>
              <w:t>3</w:t>
            </w:r>
            <w:r>
              <w:rPr>
                <w:rFonts w:hint="default" w:ascii="Times New Roman" w:hAnsi="Times New Roman" w:cs="Times New Roman"/>
                <w:b w:val="0"/>
                <w:bCs w:val="0"/>
                <w:spacing w:val="0"/>
                <w:sz w:val="24"/>
                <w:szCs w:val="24"/>
                <w:highlight w:val="none"/>
                <w:lang w:val="en-US" w:eastAsia="zh-CN"/>
              </w:rPr>
              <w:t>；排放量为</w:t>
            </w:r>
            <w:r>
              <w:rPr>
                <w:rFonts w:hint="eastAsia" w:ascii="Times New Roman" w:hAnsi="Times New Roman" w:cs="Times New Roman"/>
                <w:b w:val="0"/>
                <w:bCs w:val="0"/>
                <w:spacing w:val="0"/>
                <w:sz w:val="24"/>
                <w:szCs w:val="24"/>
                <w:highlight w:val="none"/>
                <w:lang w:val="en-US" w:eastAsia="zh-CN"/>
              </w:rPr>
              <w:t>1.592</w:t>
            </w:r>
            <w:r>
              <w:rPr>
                <w:rFonts w:hint="default" w:ascii="Times New Roman" w:hAnsi="Times New Roman" w:cs="Times New Roman"/>
                <w:b w:val="0"/>
                <w:bCs w:val="0"/>
                <w:spacing w:val="0"/>
                <w:sz w:val="24"/>
                <w:szCs w:val="24"/>
                <w:highlight w:val="none"/>
                <w:lang w:val="en-US" w:eastAsia="zh-CN"/>
              </w:rPr>
              <w:t>t/a，排放速率为</w:t>
            </w:r>
            <w:r>
              <w:rPr>
                <w:rFonts w:hint="eastAsia" w:ascii="Times New Roman" w:hAnsi="Times New Roman" w:cs="Times New Roman"/>
                <w:b w:val="0"/>
                <w:bCs w:val="0"/>
                <w:spacing w:val="0"/>
                <w:sz w:val="24"/>
                <w:szCs w:val="24"/>
                <w:highlight w:val="none"/>
                <w:lang w:val="en-US" w:eastAsia="zh-CN"/>
              </w:rPr>
              <w:t>0.663</w:t>
            </w:r>
            <w:r>
              <w:rPr>
                <w:rFonts w:hint="default" w:ascii="Times New Roman" w:hAnsi="Times New Roman" w:cs="Times New Roman"/>
                <w:b w:val="0"/>
                <w:bCs w:val="0"/>
                <w:spacing w:val="0"/>
                <w:sz w:val="24"/>
                <w:szCs w:val="24"/>
                <w:highlight w:val="none"/>
                <w:lang w:val="en-US" w:eastAsia="zh-CN"/>
              </w:rPr>
              <w:t>kg/h，排放浓度为</w:t>
            </w:r>
            <w:r>
              <w:rPr>
                <w:rFonts w:hint="eastAsia" w:ascii="Times New Roman" w:hAnsi="Times New Roman" w:cs="Times New Roman"/>
                <w:b w:val="0"/>
                <w:bCs w:val="0"/>
                <w:spacing w:val="0"/>
                <w:sz w:val="24"/>
                <w:szCs w:val="24"/>
                <w:highlight w:val="none"/>
                <w:lang w:val="en-US" w:eastAsia="zh-CN"/>
              </w:rPr>
              <w:t>8.3</w:t>
            </w:r>
            <w:r>
              <w:rPr>
                <w:rFonts w:hint="default" w:ascii="Times New Roman" w:hAnsi="Times New Roman" w:cs="Times New Roman"/>
                <w:b w:val="0"/>
                <w:bCs w:val="0"/>
                <w:spacing w:val="0"/>
                <w:sz w:val="24"/>
                <w:szCs w:val="24"/>
                <w:highlight w:val="none"/>
                <w:lang w:val="en-US" w:eastAsia="zh-CN"/>
              </w:rPr>
              <w:t>mg/m</w:t>
            </w:r>
            <w:r>
              <w:rPr>
                <w:rFonts w:hint="default" w:ascii="Times New Roman" w:hAnsi="Times New Roman" w:cs="Times New Roman"/>
                <w:b w:val="0"/>
                <w:bCs w:val="0"/>
                <w:spacing w:val="0"/>
                <w:sz w:val="24"/>
                <w:szCs w:val="24"/>
                <w:highlight w:val="none"/>
                <w:vertAlign w:val="superscript"/>
                <w:lang w:val="en-US" w:eastAsia="zh-CN"/>
              </w:rPr>
              <w:t>3</w:t>
            </w:r>
            <w:r>
              <w:rPr>
                <w:rFonts w:hint="default" w:ascii="Times New Roman" w:hAnsi="Times New Roman" w:cs="Times New Roman"/>
                <w:b w:val="0"/>
                <w:bCs w:val="0"/>
                <w:spacing w:val="0"/>
                <w:sz w:val="24"/>
                <w:szCs w:val="24"/>
                <w:highlight w:val="none"/>
                <w:lang w:val="en-US" w:eastAsia="zh-CN"/>
              </w:rPr>
              <w:t>。</w:t>
            </w:r>
          </w:p>
          <w:p w14:paraId="4196C77C">
            <w:pPr>
              <w:pStyle w:val="5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b w:val="0"/>
                <w:bCs w:val="0"/>
                <w:spacing w:val="0"/>
                <w:sz w:val="24"/>
                <w:szCs w:val="24"/>
                <w:highlight w:val="none"/>
                <w:lang w:val="en-US" w:eastAsia="zh-CN"/>
              </w:rPr>
            </w:pPr>
            <w:r>
              <w:rPr>
                <w:rFonts w:hint="default" w:ascii="Times New Roman" w:hAnsi="Times New Roman" w:cs="Times New Roman"/>
                <w:b w:val="0"/>
                <w:bCs w:val="0"/>
                <w:spacing w:val="0"/>
                <w:sz w:val="24"/>
                <w:szCs w:val="24"/>
                <w:highlight w:val="none"/>
                <w:lang w:val="en-US" w:eastAsia="zh-CN"/>
              </w:rPr>
              <w:t>（5）腻子粉生产粉尘</w:t>
            </w:r>
          </w:p>
          <w:p w14:paraId="464E39C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000000"/>
                <w:spacing w:val="0"/>
                <w:kern w:val="0"/>
                <w:sz w:val="24"/>
                <w:szCs w:val="24"/>
                <w:highlight w:val="none"/>
                <w:lang w:val="en-US" w:eastAsia="zh-CN" w:bidi="ar-SA"/>
              </w:rPr>
            </w:pPr>
            <w:r>
              <w:rPr>
                <w:rFonts w:hint="default" w:ascii="Times New Roman" w:hAnsi="Times New Roman" w:eastAsia="宋体" w:cs="Times New Roman"/>
                <w:b w:val="0"/>
                <w:bCs w:val="0"/>
                <w:color w:val="000000"/>
                <w:spacing w:val="0"/>
                <w:kern w:val="0"/>
                <w:sz w:val="24"/>
                <w:szCs w:val="24"/>
                <w:highlight w:val="none"/>
                <w:lang w:val="en-US" w:eastAsia="zh-CN" w:bidi="ar-SA"/>
              </w:rPr>
              <w:t>本项目腻子粉生产过程中上料、搅拌、包装过程中产生的粉尘集中收集至布袋除尘器进行处理，此过程废气收集效率为9</w:t>
            </w:r>
            <w:r>
              <w:rPr>
                <w:rFonts w:hint="eastAsia" w:ascii="Times New Roman" w:hAnsi="Times New Roman" w:eastAsia="宋体" w:cs="Times New Roman"/>
                <w:b w:val="0"/>
                <w:bCs w:val="0"/>
                <w:color w:val="000000"/>
                <w:spacing w:val="0"/>
                <w:kern w:val="0"/>
                <w:sz w:val="24"/>
                <w:szCs w:val="24"/>
                <w:highlight w:val="none"/>
                <w:lang w:val="en-US" w:eastAsia="zh-CN" w:bidi="ar-SA"/>
              </w:rPr>
              <w:t>0</w:t>
            </w:r>
            <w:r>
              <w:rPr>
                <w:rFonts w:hint="default" w:ascii="Times New Roman" w:hAnsi="Times New Roman" w:eastAsia="宋体" w:cs="Times New Roman"/>
                <w:b w:val="0"/>
                <w:bCs w:val="0"/>
                <w:color w:val="000000"/>
                <w:spacing w:val="0"/>
                <w:kern w:val="0"/>
                <w:sz w:val="24"/>
                <w:szCs w:val="24"/>
                <w:highlight w:val="none"/>
                <w:lang w:val="en-US" w:eastAsia="zh-CN" w:bidi="ar-SA"/>
              </w:rPr>
              <w:t>%，项目年产腻子粉1万吨。生产设备均位于厂房内控制效率60%。参考《排放源统计调查产排污核算方法和系数手册》中《水泥制品制造行业系数手册》中3021水泥制品制造（含3022 砼结构构件、3029其他水泥类似制品制造）行业（续1）物料输送储存、物料混合搅拌系数0.12kg/t-产品、0.13kg/t-产品，布袋除尘器处理效率为99.7%，本项目设置风机风量为</w:t>
            </w:r>
            <w:r>
              <w:rPr>
                <w:rFonts w:hint="default" w:cs="Times New Roman"/>
                <w:b w:val="0"/>
                <w:bCs w:val="0"/>
                <w:color w:val="000000"/>
                <w:spacing w:val="0"/>
                <w:kern w:val="0"/>
                <w:sz w:val="24"/>
                <w:szCs w:val="24"/>
                <w:highlight w:val="none"/>
                <w:lang w:eastAsia="zh-CN" w:bidi="ar-SA"/>
              </w:rPr>
              <w:t>5</w:t>
            </w:r>
            <w:r>
              <w:rPr>
                <w:rFonts w:hint="default" w:ascii="Times New Roman" w:hAnsi="Times New Roman" w:eastAsia="宋体" w:cs="Times New Roman"/>
                <w:b w:val="0"/>
                <w:bCs w:val="0"/>
                <w:color w:val="000000"/>
                <w:spacing w:val="0"/>
                <w:kern w:val="0"/>
                <w:sz w:val="24"/>
                <w:szCs w:val="24"/>
                <w:highlight w:val="none"/>
                <w:lang w:val="en-US" w:eastAsia="zh-CN" w:bidi="ar-SA"/>
              </w:rPr>
              <w:t>000m</w:t>
            </w:r>
            <w:r>
              <w:rPr>
                <w:rFonts w:hint="default" w:ascii="Times New Roman" w:hAnsi="Times New Roman" w:eastAsia="宋体" w:cs="Times New Roman"/>
                <w:b w:val="0"/>
                <w:bCs w:val="0"/>
                <w:color w:val="000000"/>
                <w:spacing w:val="0"/>
                <w:kern w:val="0"/>
                <w:sz w:val="24"/>
                <w:szCs w:val="24"/>
                <w:highlight w:val="none"/>
                <w:vertAlign w:val="superscript"/>
                <w:lang w:val="en-US" w:eastAsia="zh-CN" w:bidi="ar-SA"/>
              </w:rPr>
              <w:t>3</w:t>
            </w:r>
            <w:r>
              <w:rPr>
                <w:rFonts w:hint="default" w:ascii="Times New Roman" w:hAnsi="Times New Roman" w:eastAsia="宋体" w:cs="Times New Roman"/>
                <w:b w:val="0"/>
                <w:bCs w:val="0"/>
                <w:color w:val="000000"/>
                <w:spacing w:val="0"/>
                <w:kern w:val="0"/>
                <w:sz w:val="24"/>
                <w:szCs w:val="24"/>
                <w:highlight w:val="none"/>
                <w:lang w:val="en-US" w:eastAsia="zh-CN" w:bidi="ar-SA"/>
              </w:rPr>
              <w:t>/h。则本项目腻子粉产生过程中颗粒物产生量为2.5t/a，有组织产生量为</w:t>
            </w:r>
            <w:r>
              <w:rPr>
                <w:rFonts w:hint="eastAsia" w:ascii="Times New Roman" w:hAnsi="Times New Roman" w:eastAsia="宋体" w:cs="Times New Roman"/>
                <w:b w:val="0"/>
                <w:bCs w:val="0"/>
                <w:color w:val="000000"/>
                <w:spacing w:val="0"/>
                <w:kern w:val="0"/>
                <w:sz w:val="24"/>
                <w:szCs w:val="24"/>
                <w:highlight w:val="none"/>
                <w:lang w:val="en-US" w:eastAsia="zh-CN" w:bidi="ar-SA"/>
              </w:rPr>
              <w:t>2.25</w:t>
            </w:r>
            <w:r>
              <w:rPr>
                <w:rFonts w:hint="default" w:ascii="Times New Roman" w:hAnsi="Times New Roman" w:eastAsia="宋体" w:cs="Times New Roman"/>
                <w:b w:val="0"/>
                <w:bCs w:val="0"/>
                <w:color w:val="000000"/>
                <w:spacing w:val="0"/>
                <w:kern w:val="0"/>
                <w:sz w:val="24"/>
                <w:szCs w:val="24"/>
                <w:highlight w:val="none"/>
                <w:lang w:val="en-US" w:eastAsia="zh-CN" w:bidi="ar-SA"/>
              </w:rPr>
              <w:t>t/a，产生速率为</w:t>
            </w:r>
            <w:r>
              <w:rPr>
                <w:rFonts w:hint="eastAsia" w:ascii="Times New Roman" w:hAnsi="Times New Roman" w:eastAsia="宋体" w:cs="Times New Roman"/>
                <w:b w:val="0"/>
                <w:bCs w:val="0"/>
                <w:color w:val="000000"/>
                <w:spacing w:val="0"/>
                <w:kern w:val="0"/>
                <w:sz w:val="24"/>
                <w:szCs w:val="24"/>
                <w:highlight w:val="none"/>
                <w:lang w:val="en-US" w:eastAsia="zh-CN" w:bidi="ar-SA"/>
              </w:rPr>
              <w:t>0.938</w:t>
            </w:r>
            <w:r>
              <w:rPr>
                <w:rFonts w:hint="default" w:ascii="Times New Roman" w:hAnsi="Times New Roman" w:eastAsia="宋体" w:cs="Times New Roman"/>
                <w:b w:val="0"/>
                <w:bCs w:val="0"/>
                <w:color w:val="000000"/>
                <w:spacing w:val="0"/>
                <w:kern w:val="0"/>
                <w:sz w:val="24"/>
                <w:szCs w:val="24"/>
                <w:highlight w:val="none"/>
                <w:lang w:val="en-US" w:eastAsia="zh-CN" w:bidi="ar-SA"/>
              </w:rPr>
              <w:t>kg/h，产生浓度为</w:t>
            </w:r>
            <w:r>
              <w:rPr>
                <w:rFonts w:hint="default" w:cs="Times New Roman"/>
                <w:b w:val="0"/>
                <w:bCs w:val="0"/>
                <w:color w:val="000000"/>
                <w:spacing w:val="0"/>
                <w:kern w:val="0"/>
                <w:sz w:val="24"/>
                <w:szCs w:val="24"/>
                <w:highlight w:val="none"/>
                <w:lang w:eastAsia="zh-CN" w:bidi="ar-SA"/>
              </w:rPr>
              <w:t>187.6</w:t>
            </w:r>
            <w:r>
              <w:rPr>
                <w:rFonts w:hint="default" w:ascii="Times New Roman" w:hAnsi="Times New Roman" w:eastAsia="宋体" w:cs="Times New Roman"/>
                <w:b w:val="0"/>
                <w:bCs w:val="0"/>
                <w:color w:val="000000"/>
                <w:spacing w:val="0"/>
                <w:kern w:val="0"/>
                <w:sz w:val="24"/>
                <w:szCs w:val="24"/>
                <w:highlight w:val="none"/>
                <w:lang w:val="en-US" w:eastAsia="zh-CN" w:bidi="ar-SA"/>
              </w:rPr>
              <w:t>mg/m</w:t>
            </w:r>
            <w:r>
              <w:rPr>
                <w:rFonts w:hint="default" w:ascii="Times New Roman" w:hAnsi="Times New Roman" w:eastAsia="宋体" w:cs="Times New Roman"/>
                <w:b w:val="0"/>
                <w:bCs w:val="0"/>
                <w:color w:val="000000"/>
                <w:spacing w:val="0"/>
                <w:kern w:val="0"/>
                <w:sz w:val="24"/>
                <w:szCs w:val="24"/>
                <w:highlight w:val="none"/>
                <w:vertAlign w:val="superscript"/>
                <w:lang w:val="en-US" w:eastAsia="zh-CN" w:bidi="ar-SA"/>
              </w:rPr>
              <w:t>3</w:t>
            </w:r>
            <w:r>
              <w:rPr>
                <w:rFonts w:hint="default" w:ascii="Times New Roman" w:hAnsi="Times New Roman" w:eastAsia="宋体" w:cs="Times New Roman"/>
                <w:b w:val="0"/>
                <w:bCs w:val="0"/>
                <w:color w:val="000000"/>
                <w:spacing w:val="0"/>
                <w:kern w:val="0"/>
                <w:sz w:val="24"/>
                <w:szCs w:val="24"/>
                <w:highlight w:val="none"/>
                <w:lang w:val="en-US" w:eastAsia="zh-CN" w:bidi="ar-SA"/>
              </w:rPr>
              <w:t>；有组织排放量为0.007t/a，排放速率为0.003kg/h，排放浓度为</w:t>
            </w:r>
            <w:r>
              <w:rPr>
                <w:rFonts w:hint="default" w:cs="Times New Roman"/>
                <w:b w:val="0"/>
                <w:bCs w:val="0"/>
                <w:color w:val="000000"/>
                <w:spacing w:val="0"/>
                <w:kern w:val="0"/>
                <w:sz w:val="24"/>
                <w:szCs w:val="24"/>
                <w:highlight w:val="none"/>
                <w:lang w:eastAsia="zh-CN" w:bidi="ar-SA"/>
              </w:rPr>
              <w:t>0.6</w:t>
            </w:r>
            <w:r>
              <w:rPr>
                <w:rFonts w:hint="default" w:ascii="Times New Roman" w:hAnsi="Times New Roman" w:eastAsia="宋体" w:cs="Times New Roman"/>
                <w:b w:val="0"/>
                <w:bCs w:val="0"/>
                <w:color w:val="000000"/>
                <w:spacing w:val="0"/>
                <w:kern w:val="0"/>
                <w:sz w:val="24"/>
                <w:szCs w:val="24"/>
                <w:highlight w:val="none"/>
                <w:lang w:val="en-US" w:eastAsia="zh-CN" w:bidi="ar-SA"/>
              </w:rPr>
              <w:t>mg/m</w:t>
            </w:r>
            <w:r>
              <w:rPr>
                <w:rFonts w:hint="default" w:ascii="Times New Roman" w:hAnsi="Times New Roman" w:eastAsia="宋体" w:cs="Times New Roman"/>
                <w:b w:val="0"/>
                <w:bCs w:val="0"/>
                <w:color w:val="000000"/>
                <w:spacing w:val="0"/>
                <w:kern w:val="0"/>
                <w:sz w:val="24"/>
                <w:szCs w:val="24"/>
                <w:highlight w:val="none"/>
                <w:vertAlign w:val="superscript"/>
                <w:lang w:val="en-US" w:eastAsia="zh-CN" w:bidi="ar-SA"/>
              </w:rPr>
              <w:t>3</w:t>
            </w:r>
            <w:r>
              <w:rPr>
                <w:rFonts w:hint="default" w:ascii="Times New Roman" w:hAnsi="Times New Roman" w:eastAsia="宋体" w:cs="Times New Roman"/>
                <w:b w:val="0"/>
                <w:bCs w:val="0"/>
                <w:color w:val="000000"/>
                <w:spacing w:val="0"/>
                <w:kern w:val="0"/>
                <w:sz w:val="24"/>
                <w:szCs w:val="24"/>
                <w:highlight w:val="none"/>
                <w:lang w:val="en-US" w:eastAsia="zh-CN" w:bidi="ar-SA"/>
              </w:rPr>
              <w:t>。</w:t>
            </w:r>
          </w:p>
          <w:p w14:paraId="73604ED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000000"/>
                <w:spacing w:val="0"/>
                <w:kern w:val="0"/>
                <w:sz w:val="24"/>
                <w:szCs w:val="24"/>
                <w:highlight w:val="none"/>
                <w:lang w:val="en-US" w:eastAsia="zh-CN" w:bidi="ar-SA"/>
              </w:rPr>
            </w:pPr>
            <w:r>
              <w:rPr>
                <w:rFonts w:hint="default" w:ascii="Times New Roman" w:hAnsi="Times New Roman" w:eastAsia="宋体" w:cs="Times New Roman"/>
                <w:b w:val="0"/>
                <w:bCs w:val="0"/>
                <w:color w:val="000000"/>
                <w:spacing w:val="0"/>
                <w:kern w:val="0"/>
                <w:sz w:val="24"/>
                <w:szCs w:val="24"/>
                <w:highlight w:val="none"/>
                <w:lang w:val="en-US" w:eastAsia="zh-CN" w:bidi="ar-SA"/>
              </w:rPr>
              <w:t>无组织产生量为0.</w:t>
            </w:r>
            <w:r>
              <w:rPr>
                <w:rFonts w:hint="eastAsia" w:ascii="Times New Roman" w:hAnsi="Times New Roman" w:eastAsia="宋体" w:cs="Times New Roman"/>
                <w:b w:val="0"/>
                <w:bCs w:val="0"/>
                <w:color w:val="000000"/>
                <w:spacing w:val="0"/>
                <w:kern w:val="0"/>
                <w:sz w:val="24"/>
                <w:szCs w:val="24"/>
                <w:highlight w:val="none"/>
                <w:lang w:val="en-US" w:eastAsia="zh-CN" w:bidi="ar-SA"/>
              </w:rPr>
              <w:t>25</w:t>
            </w:r>
            <w:r>
              <w:rPr>
                <w:rFonts w:hint="default" w:ascii="Times New Roman" w:hAnsi="Times New Roman" w:eastAsia="宋体" w:cs="Times New Roman"/>
                <w:b w:val="0"/>
                <w:bCs w:val="0"/>
                <w:color w:val="000000"/>
                <w:spacing w:val="0"/>
                <w:kern w:val="0"/>
                <w:sz w:val="24"/>
                <w:szCs w:val="24"/>
                <w:highlight w:val="none"/>
                <w:lang w:val="en-US" w:eastAsia="zh-CN" w:bidi="ar-SA"/>
              </w:rPr>
              <w:t>t/a，产生速率为0.</w:t>
            </w:r>
            <w:r>
              <w:rPr>
                <w:rFonts w:hint="eastAsia" w:ascii="Times New Roman" w:hAnsi="Times New Roman" w:eastAsia="宋体" w:cs="Times New Roman"/>
                <w:b w:val="0"/>
                <w:bCs w:val="0"/>
                <w:color w:val="000000"/>
                <w:spacing w:val="0"/>
                <w:kern w:val="0"/>
                <w:sz w:val="24"/>
                <w:szCs w:val="24"/>
                <w:highlight w:val="none"/>
                <w:lang w:val="en-US" w:eastAsia="zh-CN" w:bidi="ar-SA"/>
              </w:rPr>
              <w:t>104</w:t>
            </w:r>
            <w:r>
              <w:rPr>
                <w:rFonts w:hint="default" w:ascii="Times New Roman" w:hAnsi="Times New Roman" w:eastAsia="宋体" w:cs="Times New Roman"/>
                <w:b w:val="0"/>
                <w:bCs w:val="0"/>
                <w:color w:val="000000"/>
                <w:spacing w:val="0"/>
                <w:kern w:val="0"/>
                <w:sz w:val="24"/>
                <w:szCs w:val="24"/>
                <w:highlight w:val="none"/>
                <w:lang w:val="en-US" w:eastAsia="zh-CN" w:bidi="ar-SA"/>
              </w:rPr>
              <w:t>kg/h；无组织排放量为0.</w:t>
            </w:r>
            <w:r>
              <w:rPr>
                <w:rFonts w:hint="eastAsia" w:ascii="Times New Roman" w:hAnsi="Times New Roman" w:eastAsia="宋体" w:cs="Times New Roman"/>
                <w:b w:val="0"/>
                <w:bCs w:val="0"/>
                <w:color w:val="000000"/>
                <w:spacing w:val="0"/>
                <w:kern w:val="0"/>
                <w:sz w:val="24"/>
                <w:szCs w:val="24"/>
                <w:highlight w:val="none"/>
                <w:lang w:val="en-US" w:eastAsia="zh-CN" w:bidi="ar-SA"/>
              </w:rPr>
              <w:t>1</w:t>
            </w:r>
            <w:r>
              <w:rPr>
                <w:rFonts w:hint="default" w:ascii="Times New Roman" w:hAnsi="Times New Roman" w:eastAsia="宋体" w:cs="Times New Roman"/>
                <w:b w:val="0"/>
                <w:bCs w:val="0"/>
                <w:color w:val="000000"/>
                <w:spacing w:val="0"/>
                <w:kern w:val="0"/>
                <w:sz w:val="24"/>
                <w:szCs w:val="24"/>
                <w:highlight w:val="none"/>
                <w:lang w:val="en-US" w:eastAsia="zh-CN" w:bidi="ar-SA"/>
              </w:rPr>
              <w:t>t/a，0.0</w:t>
            </w:r>
            <w:r>
              <w:rPr>
                <w:rFonts w:hint="eastAsia" w:ascii="Times New Roman" w:hAnsi="Times New Roman" w:eastAsia="宋体" w:cs="Times New Roman"/>
                <w:b w:val="0"/>
                <w:bCs w:val="0"/>
                <w:color w:val="000000"/>
                <w:spacing w:val="0"/>
                <w:kern w:val="0"/>
                <w:sz w:val="24"/>
                <w:szCs w:val="24"/>
                <w:highlight w:val="none"/>
                <w:lang w:val="en-US" w:eastAsia="zh-CN" w:bidi="ar-SA"/>
              </w:rPr>
              <w:t>42</w:t>
            </w:r>
            <w:r>
              <w:rPr>
                <w:rFonts w:hint="default" w:ascii="Times New Roman" w:hAnsi="Times New Roman" w:eastAsia="宋体" w:cs="Times New Roman"/>
                <w:b w:val="0"/>
                <w:bCs w:val="0"/>
                <w:color w:val="000000"/>
                <w:spacing w:val="0"/>
                <w:kern w:val="0"/>
                <w:sz w:val="24"/>
                <w:szCs w:val="24"/>
                <w:highlight w:val="none"/>
                <w:lang w:val="en-US" w:eastAsia="zh-CN" w:bidi="ar-SA"/>
              </w:rPr>
              <w:t>kg/h。</w:t>
            </w:r>
          </w:p>
          <w:p w14:paraId="511652AD">
            <w:pPr>
              <w:pStyle w:val="5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spacing w:val="0"/>
                <w:sz w:val="24"/>
                <w:szCs w:val="24"/>
                <w:highlight w:val="none"/>
                <w:lang w:val="en-US" w:eastAsia="zh-CN"/>
              </w:rPr>
            </w:pPr>
            <w:r>
              <w:rPr>
                <w:rFonts w:hint="default" w:ascii="Times New Roman" w:hAnsi="Times New Roman" w:eastAsia="宋体" w:cs="Times New Roman"/>
                <w:b w:val="0"/>
                <w:bCs w:val="0"/>
                <w:spacing w:val="0"/>
                <w:sz w:val="24"/>
                <w:szCs w:val="24"/>
                <w:highlight w:val="none"/>
                <w:lang w:val="en-US" w:eastAsia="zh-CN"/>
              </w:rPr>
              <w:t>（6）</w:t>
            </w:r>
            <w:r>
              <w:rPr>
                <w:rFonts w:hint="eastAsia" w:ascii="Times New Roman" w:hAnsi="Times New Roman" w:eastAsia="宋体" w:cs="Times New Roman"/>
                <w:b w:val="0"/>
                <w:bCs w:val="0"/>
                <w:spacing w:val="0"/>
                <w:sz w:val="24"/>
                <w:szCs w:val="24"/>
                <w:highlight w:val="none"/>
                <w:lang w:val="en-US" w:eastAsia="zh-CN"/>
              </w:rPr>
              <w:t>包装</w:t>
            </w:r>
            <w:r>
              <w:rPr>
                <w:rFonts w:hint="default" w:ascii="Times New Roman" w:hAnsi="Times New Roman" w:eastAsia="宋体" w:cs="Times New Roman"/>
                <w:b w:val="0"/>
                <w:bCs w:val="0"/>
                <w:spacing w:val="0"/>
                <w:sz w:val="24"/>
                <w:szCs w:val="24"/>
                <w:highlight w:val="none"/>
                <w:lang w:val="en-US" w:eastAsia="zh-CN"/>
              </w:rPr>
              <w:t>粉尘</w:t>
            </w:r>
          </w:p>
          <w:p w14:paraId="2051CA22">
            <w:pPr>
              <w:pStyle w:val="5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cs="Times New Roman"/>
                <w:b w:val="0"/>
                <w:bCs w:val="0"/>
                <w:spacing w:val="0"/>
                <w:sz w:val="24"/>
                <w:szCs w:val="24"/>
                <w:highlight w:val="none"/>
                <w:lang w:val="en-US" w:eastAsia="zh-CN"/>
              </w:rPr>
            </w:pPr>
            <w:r>
              <w:rPr>
                <w:rFonts w:hint="default" w:ascii="Times New Roman" w:hAnsi="Times New Roman" w:eastAsia="宋体" w:cs="Times New Roman"/>
                <w:b w:val="0"/>
                <w:bCs w:val="0"/>
                <w:spacing w:val="0"/>
                <w:sz w:val="24"/>
                <w:szCs w:val="24"/>
                <w:highlight w:val="none"/>
                <w:lang w:val="en-US" w:eastAsia="zh-CN"/>
              </w:rPr>
              <w:t>本项目生产线采用全自动封闭包装机，</w:t>
            </w:r>
            <w:r>
              <w:rPr>
                <w:rFonts w:hint="eastAsia" w:ascii="Times New Roman" w:hAnsi="Times New Roman" w:cs="Times New Roman"/>
                <w:b w:val="0"/>
                <w:bCs w:val="0"/>
                <w:spacing w:val="0"/>
                <w:sz w:val="24"/>
                <w:szCs w:val="24"/>
                <w:highlight w:val="none"/>
                <w:lang w:val="en-US" w:eastAsia="zh-CN"/>
              </w:rPr>
              <w:t>共设置3台全自动封闭包装机，产生的废气经集气罩收集后进入布袋除尘器进行处理，风机风量为2000m</w:t>
            </w:r>
            <w:r>
              <w:rPr>
                <w:rFonts w:hint="eastAsia" w:ascii="Times New Roman" w:hAnsi="Times New Roman" w:cs="Times New Roman"/>
                <w:b w:val="0"/>
                <w:bCs w:val="0"/>
                <w:spacing w:val="0"/>
                <w:sz w:val="24"/>
                <w:szCs w:val="24"/>
                <w:highlight w:val="none"/>
                <w:vertAlign w:val="superscript"/>
                <w:lang w:val="en-US" w:eastAsia="zh-CN"/>
              </w:rPr>
              <w:t>3</w:t>
            </w:r>
            <w:r>
              <w:rPr>
                <w:rFonts w:hint="eastAsia" w:ascii="Times New Roman" w:hAnsi="Times New Roman" w:cs="Times New Roman"/>
                <w:b w:val="0"/>
                <w:bCs w:val="0"/>
                <w:spacing w:val="0"/>
                <w:sz w:val="24"/>
                <w:szCs w:val="24"/>
                <w:highlight w:val="none"/>
                <w:lang w:val="en-US" w:eastAsia="zh-CN"/>
              </w:rPr>
              <w:t>/h。</w:t>
            </w:r>
            <w:r>
              <w:rPr>
                <w:rFonts w:hint="default" w:ascii="Times New Roman" w:hAnsi="Times New Roman" w:eastAsia="宋体" w:cs="Times New Roman"/>
                <w:b w:val="0"/>
                <w:bCs w:val="0"/>
                <w:spacing w:val="0"/>
                <w:sz w:val="24"/>
                <w:szCs w:val="24"/>
                <w:highlight w:val="none"/>
                <w:lang w:val="en-US" w:eastAsia="zh-CN"/>
              </w:rPr>
              <w:t>产品均装至吨袋中，参考《逸散性工业粉尘控制技术》表13-2水泥装袋过程中产尘系数为0.005千克/吨，本项目石灰石粉及腻子粉总产量为60万吨，则颗粒物产生量为3.0t/a，</w:t>
            </w:r>
            <w:r>
              <w:rPr>
                <w:rFonts w:hint="eastAsia" w:ascii="Times New Roman" w:hAnsi="Times New Roman" w:cs="Times New Roman"/>
                <w:b w:val="0"/>
                <w:bCs w:val="0"/>
                <w:spacing w:val="0"/>
                <w:sz w:val="24"/>
                <w:szCs w:val="24"/>
                <w:highlight w:val="none"/>
                <w:lang w:val="en-US" w:eastAsia="zh-CN"/>
              </w:rPr>
              <w:t>集气罩收集效率为90%，布袋除尘器去除效率为99%，</w:t>
            </w:r>
            <w:r>
              <w:rPr>
                <w:rFonts w:hint="default" w:ascii="Times New Roman" w:hAnsi="Times New Roman" w:eastAsia="宋体" w:cs="Times New Roman"/>
                <w:b w:val="0"/>
                <w:bCs w:val="0"/>
                <w:spacing w:val="0"/>
                <w:sz w:val="24"/>
                <w:szCs w:val="24"/>
                <w:highlight w:val="none"/>
                <w:lang w:val="en-US" w:eastAsia="zh-CN"/>
              </w:rPr>
              <w:t>生产设备均位于厂房内控制效率</w:t>
            </w:r>
            <w:r>
              <w:rPr>
                <w:rFonts w:hint="eastAsia" w:ascii="Times New Roman" w:hAnsi="Times New Roman" w:cs="Times New Roman"/>
                <w:b w:val="0"/>
                <w:bCs w:val="0"/>
                <w:spacing w:val="0"/>
                <w:sz w:val="24"/>
                <w:szCs w:val="24"/>
                <w:highlight w:val="none"/>
                <w:lang w:val="en-US" w:eastAsia="zh-CN"/>
              </w:rPr>
              <w:t>为</w:t>
            </w:r>
            <w:r>
              <w:rPr>
                <w:rFonts w:hint="default" w:ascii="Times New Roman" w:hAnsi="Times New Roman" w:eastAsia="宋体" w:cs="Times New Roman"/>
                <w:b w:val="0"/>
                <w:bCs w:val="0"/>
                <w:spacing w:val="0"/>
                <w:sz w:val="24"/>
                <w:szCs w:val="24"/>
                <w:highlight w:val="none"/>
                <w:lang w:val="en-US" w:eastAsia="zh-CN"/>
              </w:rPr>
              <w:t>60%。则</w:t>
            </w:r>
            <w:r>
              <w:rPr>
                <w:rFonts w:hint="eastAsia" w:ascii="Times New Roman" w:hAnsi="Times New Roman" w:cs="Times New Roman"/>
                <w:b w:val="0"/>
                <w:bCs w:val="0"/>
                <w:spacing w:val="0"/>
                <w:sz w:val="24"/>
                <w:szCs w:val="24"/>
                <w:highlight w:val="none"/>
                <w:lang w:val="en-US" w:eastAsia="zh-CN"/>
              </w:rPr>
              <w:t>有组织产生量为2.7t/a，产生速率为1.125kg/h，产生浓度为562mg/m3，有组织排放量为0.027t/a，排放速率为0.011kg/h，排放浓度为5.6mg/m3。</w:t>
            </w:r>
          </w:p>
          <w:p w14:paraId="6C99CB1D">
            <w:pPr>
              <w:pStyle w:val="5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spacing w:val="0"/>
                <w:sz w:val="24"/>
                <w:szCs w:val="24"/>
                <w:highlight w:val="none"/>
                <w:lang w:val="en-US" w:eastAsia="zh-CN"/>
              </w:rPr>
            </w:pPr>
            <w:r>
              <w:rPr>
                <w:rFonts w:hint="default" w:ascii="Times New Roman" w:hAnsi="Times New Roman" w:eastAsia="宋体" w:cs="Times New Roman"/>
                <w:b w:val="0"/>
                <w:bCs w:val="0"/>
                <w:spacing w:val="0"/>
                <w:sz w:val="24"/>
                <w:szCs w:val="24"/>
                <w:highlight w:val="none"/>
                <w:lang w:val="en-US" w:eastAsia="zh-CN"/>
              </w:rPr>
              <w:t>无组织</w:t>
            </w:r>
            <w:r>
              <w:rPr>
                <w:rFonts w:hint="eastAsia" w:ascii="Times New Roman" w:hAnsi="Times New Roman" w:cs="Times New Roman"/>
                <w:b w:val="0"/>
                <w:bCs w:val="0"/>
                <w:spacing w:val="0"/>
                <w:sz w:val="24"/>
                <w:szCs w:val="24"/>
                <w:highlight w:val="none"/>
                <w:lang w:val="en-US" w:eastAsia="zh-CN"/>
              </w:rPr>
              <w:t>产生量为0.3t/a，排放速率为0.125kg/h，无组织</w:t>
            </w:r>
            <w:r>
              <w:rPr>
                <w:rFonts w:hint="default" w:ascii="Times New Roman" w:hAnsi="Times New Roman" w:eastAsia="宋体" w:cs="Times New Roman"/>
                <w:b w:val="0"/>
                <w:bCs w:val="0"/>
                <w:spacing w:val="0"/>
                <w:sz w:val="24"/>
                <w:szCs w:val="24"/>
                <w:highlight w:val="none"/>
                <w:lang w:val="en-US" w:eastAsia="zh-CN"/>
              </w:rPr>
              <w:t>排放量为</w:t>
            </w:r>
            <w:r>
              <w:rPr>
                <w:rFonts w:hint="eastAsia" w:ascii="Times New Roman" w:hAnsi="Times New Roman" w:cs="Times New Roman"/>
                <w:b w:val="0"/>
                <w:bCs w:val="0"/>
                <w:spacing w:val="0"/>
                <w:sz w:val="24"/>
                <w:szCs w:val="24"/>
                <w:highlight w:val="none"/>
                <w:lang w:val="en-US" w:eastAsia="zh-CN"/>
              </w:rPr>
              <w:t>0.12</w:t>
            </w:r>
            <w:r>
              <w:rPr>
                <w:rFonts w:hint="default" w:ascii="Times New Roman" w:hAnsi="Times New Roman" w:eastAsia="宋体" w:cs="Times New Roman"/>
                <w:b w:val="0"/>
                <w:bCs w:val="0"/>
                <w:spacing w:val="0"/>
                <w:sz w:val="24"/>
                <w:szCs w:val="24"/>
                <w:highlight w:val="none"/>
                <w:lang w:val="en-US" w:eastAsia="zh-CN"/>
              </w:rPr>
              <w:t>t/a，排放速率为0.</w:t>
            </w:r>
            <w:r>
              <w:rPr>
                <w:rFonts w:hint="eastAsia" w:ascii="Times New Roman" w:hAnsi="Times New Roman" w:cs="Times New Roman"/>
                <w:b w:val="0"/>
                <w:bCs w:val="0"/>
                <w:spacing w:val="0"/>
                <w:sz w:val="24"/>
                <w:szCs w:val="24"/>
                <w:highlight w:val="none"/>
                <w:lang w:val="en-US" w:eastAsia="zh-CN"/>
              </w:rPr>
              <w:t>0</w:t>
            </w:r>
            <w:r>
              <w:rPr>
                <w:rFonts w:hint="default" w:ascii="Times New Roman" w:hAnsi="Times New Roman" w:eastAsia="宋体" w:cs="Times New Roman"/>
                <w:b w:val="0"/>
                <w:bCs w:val="0"/>
                <w:spacing w:val="0"/>
                <w:sz w:val="24"/>
                <w:szCs w:val="24"/>
                <w:highlight w:val="none"/>
                <w:lang w:val="en-US" w:eastAsia="zh-CN"/>
              </w:rPr>
              <w:t>5kg/h。</w:t>
            </w:r>
          </w:p>
          <w:p w14:paraId="21F02DB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spacing w:val="0"/>
                <w:sz w:val="24"/>
                <w:szCs w:val="24"/>
                <w:highlight w:val="none"/>
                <w:lang w:val="en-US" w:eastAsia="zh-CN"/>
              </w:rPr>
            </w:pPr>
            <w:r>
              <w:rPr>
                <w:rFonts w:hint="default" w:ascii="Times New Roman" w:hAnsi="Times New Roman" w:eastAsia="宋体" w:cs="Times New Roman"/>
                <w:b/>
                <w:bCs w:val="0"/>
                <w:spacing w:val="0"/>
                <w:sz w:val="24"/>
                <w:szCs w:val="24"/>
                <w:highlight w:val="none"/>
                <w:lang w:val="en-US" w:eastAsia="zh-CN"/>
              </w:rPr>
              <w:t>1.2废气治理措施及影响分析</w:t>
            </w:r>
          </w:p>
          <w:p w14:paraId="4D49CE80">
            <w:pPr>
              <w:pStyle w:val="5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本项目颚式破碎机、雷蒙磨、腻子粉生产过程中产生的粉尘分别进入布袋除尘器进行处理，处理后的废气排放浓度及排放速率满足</w:t>
            </w:r>
            <w:r>
              <w:rPr>
                <w:rFonts w:hint="eastAsia" w:ascii="Times New Roman" w:hAnsi="Times New Roman" w:cs="Times New Roman"/>
                <w:b w:val="0"/>
                <w:bCs w:val="0"/>
                <w:spacing w:val="0"/>
                <w:sz w:val="24"/>
                <w:szCs w:val="24"/>
                <w:highlight w:val="none"/>
                <w:lang w:val="en-US" w:eastAsia="zh-CN"/>
              </w:rPr>
              <w:t>《石灰、电石工业大气污染物排放标准》（GB 41618-2022）</w:t>
            </w:r>
            <w:r>
              <w:rPr>
                <w:rFonts w:hint="eastAsia" w:ascii="Times New Roman" w:hAnsi="Times New Roman" w:eastAsia="宋体" w:cs="Times New Roman"/>
                <w:b w:val="0"/>
                <w:bCs w:val="0"/>
                <w:spacing w:val="0"/>
                <w:sz w:val="24"/>
                <w:szCs w:val="24"/>
                <w:highlight w:val="none"/>
                <w:lang w:val="en-US" w:eastAsia="zh-CN"/>
              </w:rPr>
              <w:t>标准后，通过15m排气筒排放。</w:t>
            </w:r>
          </w:p>
          <w:p w14:paraId="3DCB0536">
            <w:pPr>
              <w:pStyle w:val="5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参考《排污许可证申请与核发技术规范 石墨及其他非金属矿物制品制造》（HJ1119-2020）表 A.1石墨、碳素制品生产排污单位废气污染防治可行技术参考表中原料准备环节磨机、破碎机使用的可行技术为布袋除尘器，因此本项目使用的末端治理技术为可行技术。</w:t>
            </w:r>
          </w:p>
          <w:p w14:paraId="29F399B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spacing w:val="0"/>
                <w:sz w:val="24"/>
                <w:szCs w:val="24"/>
                <w:highlight w:val="none"/>
                <w:lang w:val="en-US" w:eastAsia="zh-CN"/>
              </w:rPr>
            </w:pPr>
            <w:r>
              <w:rPr>
                <w:rFonts w:hint="eastAsia" w:ascii="Times New Roman" w:hAnsi="Times New Roman" w:eastAsia="宋体" w:cs="Times New Roman"/>
                <w:b/>
                <w:bCs w:val="0"/>
                <w:spacing w:val="0"/>
                <w:sz w:val="24"/>
                <w:szCs w:val="24"/>
                <w:highlight w:val="none"/>
                <w:lang w:val="en-US" w:eastAsia="zh-CN"/>
              </w:rPr>
              <w:t>1.3</w:t>
            </w:r>
            <w:r>
              <w:rPr>
                <w:rFonts w:hint="default" w:ascii="Times New Roman" w:hAnsi="Times New Roman" w:eastAsia="宋体" w:cs="Times New Roman"/>
                <w:b/>
                <w:bCs w:val="0"/>
                <w:spacing w:val="0"/>
                <w:sz w:val="24"/>
                <w:szCs w:val="24"/>
                <w:highlight w:val="none"/>
                <w:lang w:val="en-US" w:eastAsia="zh-CN"/>
              </w:rPr>
              <w:t>非正常工况</w:t>
            </w:r>
          </w:p>
          <w:p w14:paraId="416B92E8">
            <w:pPr>
              <w:widowControl w:val="0"/>
              <w:adjustRightInd w:val="0"/>
              <w:snapToGrid w:val="0"/>
              <w:spacing w:line="360" w:lineRule="auto"/>
              <w:ind w:firstLine="480" w:firstLineChars="200"/>
              <w:jc w:val="both"/>
              <w:rPr>
                <w:rFonts w:ascii="Times New Roman" w:hAnsi="Times New Roman" w:eastAsia="宋体" w:cs="Times New Roman"/>
                <w:bCs/>
                <w:color w:val="000000"/>
                <w:spacing w:val="0"/>
                <w:kern w:val="0"/>
                <w:sz w:val="24"/>
                <w:szCs w:val="24"/>
                <w:highlight w:val="none"/>
                <w:lang w:val="en-US" w:eastAsia="zh-CN" w:bidi="ar-SA"/>
              </w:rPr>
            </w:pPr>
            <w:r>
              <w:rPr>
                <w:rFonts w:ascii="Times New Roman" w:hAnsi="Times New Roman" w:eastAsia="宋体" w:cs="Times New Roman"/>
                <w:bCs/>
                <w:color w:val="000000"/>
                <w:spacing w:val="0"/>
                <w:kern w:val="0"/>
                <w:sz w:val="24"/>
                <w:szCs w:val="24"/>
                <w:highlight w:val="none"/>
                <w:lang w:val="en-US" w:eastAsia="zh-CN" w:bidi="ar-SA"/>
              </w:rPr>
              <w:t>非正常工况主要为</w:t>
            </w:r>
            <w:r>
              <w:rPr>
                <w:rFonts w:hint="eastAsia" w:ascii="Times New Roman" w:hAnsi="Times New Roman" w:eastAsia="宋体" w:cs="Times New Roman"/>
                <w:bCs/>
                <w:color w:val="000000"/>
                <w:spacing w:val="0"/>
                <w:kern w:val="0"/>
                <w:sz w:val="24"/>
                <w:szCs w:val="24"/>
                <w:highlight w:val="none"/>
                <w:lang w:val="en-US" w:eastAsia="zh-CN" w:bidi="ar-SA"/>
              </w:rPr>
              <w:t>末端治理</w:t>
            </w:r>
            <w:r>
              <w:rPr>
                <w:rFonts w:ascii="Times New Roman" w:hAnsi="Times New Roman" w:eastAsia="宋体" w:cs="Times New Roman"/>
                <w:bCs/>
                <w:color w:val="000000"/>
                <w:spacing w:val="0"/>
                <w:kern w:val="0"/>
                <w:sz w:val="24"/>
                <w:szCs w:val="24"/>
                <w:highlight w:val="none"/>
                <w:lang w:val="en-US" w:eastAsia="zh-CN" w:bidi="ar-SA"/>
              </w:rPr>
              <w:t>设施故障导致的事故排放，本项目非正常工况主要为布袋除尘器</w:t>
            </w:r>
            <w:r>
              <w:rPr>
                <w:rFonts w:hint="eastAsia" w:ascii="Times New Roman" w:hAnsi="Times New Roman" w:eastAsia="宋体" w:cs="Times New Roman"/>
                <w:bCs/>
                <w:color w:val="000000"/>
                <w:spacing w:val="0"/>
                <w:kern w:val="0"/>
                <w:sz w:val="24"/>
                <w:szCs w:val="24"/>
                <w:highlight w:val="none"/>
                <w:lang w:val="en-US" w:eastAsia="zh-CN" w:bidi="ar-SA"/>
              </w:rPr>
              <w:t>故障</w:t>
            </w:r>
            <w:r>
              <w:rPr>
                <w:rFonts w:ascii="Times New Roman" w:hAnsi="Times New Roman" w:eastAsia="宋体" w:cs="Times New Roman"/>
                <w:bCs/>
                <w:color w:val="000000"/>
                <w:spacing w:val="0"/>
                <w:kern w:val="0"/>
                <w:sz w:val="24"/>
                <w:szCs w:val="24"/>
                <w:highlight w:val="none"/>
                <w:lang w:val="en-US" w:eastAsia="zh-CN" w:bidi="ar-SA"/>
              </w:rPr>
              <w:t>导致除尘效率达不到要求</w:t>
            </w:r>
            <w:r>
              <w:rPr>
                <w:rFonts w:hint="eastAsia" w:ascii="Times New Roman" w:hAnsi="Times New Roman" w:eastAsia="宋体" w:cs="Times New Roman"/>
                <w:bCs/>
                <w:color w:val="000000"/>
                <w:spacing w:val="0"/>
                <w:kern w:val="0"/>
                <w:sz w:val="24"/>
                <w:szCs w:val="24"/>
                <w:highlight w:val="none"/>
                <w:lang w:val="en-US" w:eastAsia="zh-CN" w:bidi="ar-SA"/>
              </w:rPr>
              <w:t>对颗粒物</w:t>
            </w:r>
            <w:r>
              <w:rPr>
                <w:rFonts w:ascii="Times New Roman" w:hAnsi="Times New Roman" w:eastAsia="宋体" w:cs="Times New Roman"/>
                <w:bCs/>
                <w:color w:val="000000"/>
                <w:spacing w:val="0"/>
                <w:kern w:val="0"/>
                <w:sz w:val="24"/>
                <w:szCs w:val="24"/>
                <w:highlight w:val="none"/>
                <w:lang w:val="en-US" w:eastAsia="zh-CN" w:bidi="ar-SA"/>
              </w:rPr>
              <w:t>去除效率按</w:t>
            </w:r>
            <w:r>
              <w:rPr>
                <w:rFonts w:hint="eastAsia" w:cs="Times New Roman"/>
                <w:bCs/>
                <w:color w:val="000000"/>
                <w:spacing w:val="0"/>
                <w:kern w:val="0"/>
                <w:sz w:val="24"/>
                <w:szCs w:val="24"/>
                <w:highlight w:val="none"/>
                <w:lang w:val="en-US" w:eastAsia="zh-CN" w:bidi="ar-SA"/>
              </w:rPr>
              <w:t>9</w:t>
            </w:r>
            <w:r>
              <w:rPr>
                <w:rFonts w:ascii="Times New Roman" w:hAnsi="Times New Roman" w:eastAsia="宋体" w:cs="Times New Roman"/>
                <w:bCs/>
                <w:color w:val="000000"/>
                <w:spacing w:val="0"/>
                <w:kern w:val="0"/>
                <w:sz w:val="24"/>
                <w:szCs w:val="24"/>
                <w:highlight w:val="none"/>
                <w:lang w:val="en-US" w:eastAsia="zh-CN" w:bidi="ar-SA"/>
              </w:rPr>
              <w:t>0%计，事故情况排放量见表</w:t>
            </w:r>
            <w:r>
              <w:rPr>
                <w:rFonts w:hint="eastAsia" w:ascii="Times New Roman" w:hAnsi="Times New Roman" w:eastAsia="宋体" w:cs="Times New Roman"/>
                <w:bCs/>
                <w:color w:val="000000"/>
                <w:spacing w:val="0"/>
                <w:kern w:val="0"/>
                <w:sz w:val="24"/>
                <w:szCs w:val="24"/>
                <w:highlight w:val="none"/>
                <w:lang w:val="en-US" w:eastAsia="zh-CN" w:bidi="ar-SA"/>
              </w:rPr>
              <w:t>4-2</w:t>
            </w:r>
            <w:r>
              <w:rPr>
                <w:rFonts w:ascii="Times New Roman" w:hAnsi="Times New Roman" w:eastAsia="宋体" w:cs="Times New Roman"/>
                <w:bCs/>
                <w:color w:val="000000"/>
                <w:spacing w:val="0"/>
                <w:kern w:val="0"/>
                <w:sz w:val="24"/>
                <w:szCs w:val="24"/>
                <w:highlight w:val="none"/>
                <w:lang w:val="en-US" w:eastAsia="zh-CN" w:bidi="ar-SA"/>
              </w:rPr>
              <w:t>。</w:t>
            </w:r>
          </w:p>
          <w:p w14:paraId="5B3BD3EC">
            <w:pPr>
              <w:tabs>
                <w:tab w:val="left" w:pos="6480"/>
              </w:tabs>
              <w:adjustRightInd w:val="0"/>
              <w:snapToGrid w:val="0"/>
              <w:spacing w:line="240" w:lineRule="auto"/>
              <w:ind w:firstLine="422" w:firstLineChars="200"/>
              <w:rPr>
                <w:rFonts w:ascii="Times New Roman" w:hAnsi="Times New Roman" w:eastAsia="宋体" w:cs="Times New Roman"/>
                <w:b/>
                <w:bCs/>
                <w:color w:val="000000"/>
                <w:spacing w:val="0"/>
                <w:kern w:val="0"/>
                <w:sz w:val="21"/>
                <w:szCs w:val="21"/>
                <w:highlight w:val="none"/>
                <w:lang w:bidi="ar"/>
              </w:rPr>
            </w:pPr>
            <w:r>
              <w:rPr>
                <w:rFonts w:ascii="Times New Roman" w:hAnsi="Times New Roman" w:eastAsia="宋体" w:cs="Times New Roman"/>
                <w:b/>
                <w:bCs/>
                <w:color w:val="000000"/>
                <w:spacing w:val="0"/>
                <w:kern w:val="0"/>
                <w:sz w:val="21"/>
                <w:szCs w:val="21"/>
                <w:highlight w:val="none"/>
                <w:lang w:bidi="ar"/>
              </w:rPr>
              <w:t>表</w:t>
            </w:r>
            <w:r>
              <w:rPr>
                <w:rFonts w:hint="eastAsia" w:ascii="Times New Roman" w:hAnsi="Times New Roman" w:eastAsia="宋体" w:cs="Times New Roman"/>
                <w:b/>
                <w:bCs/>
                <w:color w:val="000000"/>
                <w:spacing w:val="0"/>
                <w:kern w:val="0"/>
                <w:sz w:val="21"/>
                <w:szCs w:val="21"/>
                <w:highlight w:val="none"/>
                <w:lang w:val="en-US" w:eastAsia="zh-CN" w:bidi="ar"/>
              </w:rPr>
              <w:t>4-2</w:t>
            </w:r>
            <w:r>
              <w:rPr>
                <w:rFonts w:ascii="Times New Roman" w:hAnsi="Times New Roman" w:eastAsia="宋体" w:cs="Times New Roman"/>
                <w:b/>
                <w:bCs/>
                <w:color w:val="000000"/>
                <w:spacing w:val="0"/>
                <w:kern w:val="0"/>
                <w:sz w:val="21"/>
                <w:szCs w:val="21"/>
                <w:highlight w:val="none"/>
                <w:lang w:bidi="ar"/>
              </w:rPr>
              <w:t xml:space="preserve">                    非正常工况一览表</w:t>
            </w:r>
          </w:p>
          <w:tbl>
            <w:tblPr>
              <w:tblStyle w:val="23"/>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600"/>
              <w:gridCol w:w="580"/>
              <w:gridCol w:w="653"/>
              <w:gridCol w:w="1031"/>
              <w:gridCol w:w="785"/>
              <w:gridCol w:w="948"/>
              <w:gridCol w:w="854"/>
              <w:gridCol w:w="1086"/>
              <w:gridCol w:w="794"/>
              <w:gridCol w:w="829"/>
            </w:tblGrid>
            <w:tr w14:paraId="1E7CE75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81" w:hRule="atLeast"/>
                <w:jc w:val="center"/>
              </w:trPr>
              <w:tc>
                <w:tcPr>
                  <w:tcW w:w="367" w:type="pct"/>
                  <w:tcBorders>
                    <w:tl2br w:val="nil"/>
                    <w:tr2bl w:val="nil"/>
                  </w:tcBorders>
                  <w:noWrap w:val="0"/>
                  <w:vAlign w:val="center"/>
                </w:tcPr>
                <w:p w14:paraId="3F9161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排放源</w:t>
                  </w:r>
                </w:p>
              </w:tc>
              <w:tc>
                <w:tcPr>
                  <w:tcW w:w="355" w:type="pct"/>
                  <w:tcBorders>
                    <w:tl2br w:val="nil"/>
                    <w:tr2bl w:val="nil"/>
                  </w:tcBorders>
                  <w:noWrap w:val="0"/>
                  <w:vAlign w:val="center"/>
                </w:tcPr>
                <w:p w14:paraId="1A971E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污染物名称</w:t>
                  </w:r>
                </w:p>
              </w:tc>
              <w:tc>
                <w:tcPr>
                  <w:tcW w:w="400" w:type="pct"/>
                  <w:tcBorders>
                    <w:tl2br w:val="nil"/>
                    <w:tr2bl w:val="nil"/>
                  </w:tcBorders>
                  <w:noWrap w:val="0"/>
                  <w:vAlign w:val="center"/>
                </w:tcPr>
                <w:p w14:paraId="2E1009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治理措施</w:t>
                  </w:r>
                </w:p>
              </w:tc>
              <w:tc>
                <w:tcPr>
                  <w:tcW w:w="631" w:type="pct"/>
                  <w:tcBorders>
                    <w:tl2br w:val="nil"/>
                    <w:tr2bl w:val="nil"/>
                  </w:tcBorders>
                  <w:noWrap w:val="0"/>
                  <w:vAlign w:val="center"/>
                </w:tcPr>
                <w:p w14:paraId="665BDD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处理风量（m</w:t>
                  </w:r>
                  <w:r>
                    <w:rPr>
                      <w:rFonts w:hint="default" w:ascii="Times New Roman" w:hAnsi="Times New Roman" w:eastAsia="宋体" w:cs="Times New Roman"/>
                      <w:b w:val="0"/>
                      <w:bCs w:val="0"/>
                      <w:color w:val="auto"/>
                      <w:kern w:val="2"/>
                      <w:sz w:val="21"/>
                      <w:szCs w:val="21"/>
                      <w:highlight w:val="none"/>
                      <w:vertAlign w:val="superscript"/>
                      <w:lang w:val="en-US" w:eastAsia="zh-CN" w:bidi="ar-SA"/>
                    </w:rPr>
                    <w:t>3</w:t>
                  </w:r>
                  <w:r>
                    <w:rPr>
                      <w:rFonts w:hint="default" w:ascii="Times New Roman" w:hAnsi="Times New Roman" w:eastAsia="宋体" w:cs="Times New Roman"/>
                      <w:b w:val="0"/>
                      <w:bCs w:val="0"/>
                      <w:color w:val="auto"/>
                      <w:kern w:val="2"/>
                      <w:sz w:val="21"/>
                      <w:szCs w:val="21"/>
                      <w:highlight w:val="none"/>
                      <w:lang w:val="en-US" w:eastAsia="zh-CN" w:bidi="ar-SA"/>
                    </w:rPr>
                    <w:t>/h）</w:t>
                  </w:r>
                </w:p>
              </w:tc>
              <w:tc>
                <w:tcPr>
                  <w:tcW w:w="481" w:type="pct"/>
                  <w:tcBorders>
                    <w:tl2br w:val="nil"/>
                    <w:tr2bl w:val="nil"/>
                  </w:tcBorders>
                  <w:noWrap w:val="0"/>
                  <w:vAlign w:val="center"/>
                </w:tcPr>
                <w:p w14:paraId="336B99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排放速率</w:t>
                  </w:r>
                </w:p>
                <w:p w14:paraId="75FAE9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（kg/h）</w:t>
                  </w:r>
                </w:p>
              </w:tc>
              <w:tc>
                <w:tcPr>
                  <w:tcW w:w="580" w:type="pct"/>
                  <w:tcBorders>
                    <w:tl2br w:val="nil"/>
                    <w:tr2bl w:val="nil"/>
                  </w:tcBorders>
                  <w:noWrap w:val="0"/>
                  <w:vAlign w:val="center"/>
                </w:tcPr>
                <w:p w14:paraId="27BF99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排放浓度</w:t>
                  </w:r>
                </w:p>
                <w:p w14:paraId="5E27CF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（mg/m</w:t>
                  </w:r>
                  <w:r>
                    <w:rPr>
                      <w:rFonts w:hint="default" w:ascii="Times New Roman" w:hAnsi="Times New Roman" w:eastAsia="宋体" w:cs="Times New Roman"/>
                      <w:b w:val="0"/>
                      <w:bCs w:val="0"/>
                      <w:color w:val="auto"/>
                      <w:kern w:val="2"/>
                      <w:sz w:val="21"/>
                      <w:szCs w:val="21"/>
                      <w:highlight w:val="none"/>
                      <w:vertAlign w:val="superscript"/>
                      <w:lang w:val="en-US" w:eastAsia="zh-CN" w:bidi="ar-SA"/>
                    </w:rPr>
                    <w:t>3</w:t>
                  </w:r>
                  <w:r>
                    <w:rPr>
                      <w:rFonts w:hint="default" w:ascii="Times New Roman" w:hAnsi="Times New Roman" w:eastAsia="宋体" w:cs="Times New Roman"/>
                      <w:b w:val="0"/>
                      <w:bCs w:val="0"/>
                      <w:color w:val="auto"/>
                      <w:kern w:val="2"/>
                      <w:sz w:val="21"/>
                      <w:szCs w:val="21"/>
                      <w:highlight w:val="none"/>
                      <w:lang w:val="en-US" w:eastAsia="zh-CN" w:bidi="ar-SA"/>
                    </w:rPr>
                    <w:t>）</w:t>
                  </w:r>
                </w:p>
              </w:tc>
              <w:tc>
                <w:tcPr>
                  <w:tcW w:w="523" w:type="pct"/>
                  <w:tcBorders>
                    <w:tl2br w:val="nil"/>
                    <w:tr2bl w:val="nil"/>
                  </w:tcBorders>
                  <w:noWrap w:val="0"/>
                  <w:vAlign w:val="center"/>
                </w:tcPr>
                <w:p w14:paraId="2D4A77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发生频次（次）</w:t>
                  </w:r>
                </w:p>
              </w:tc>
              <w:tc>
                <w:tcPr>
                  <w:tcW w:w="665" w:type="pct"/>
                  <w:tcBorders>
                    <w:tl2br w:val="nil"/>
                    <w:tr2bl w:val="nil"/>
                  </w:tcBorders>
                  <w:noWrap w:val="0"/>
                  <w:vAlign w:val="center"/>
                </w:tcPr>
                <w:p w14:paraId="03C981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单次持续时间（min）</w:t>
                  </w:r>
                </w:p>
              </w:tc>
              <w:tc>
                <w:tcPr>
                  <w:tcW w:w="486" w:type="pct"/>
                  <w:tcBorders>
                    <w:tl2br w:val="nil"/>
                    <w:tr2bl w:val="nil"/>
                  </w:tcBorders>
                  <w:noWrap w:val="0"/>
                  <w:vAlign w:val="center"/>
                </w:tcPr>
                <w:p w14:paraId="622A7F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排放量（kg）</w:t>
                  </w:r>
                </w:p>
              </w:tc>
              <w:tc>
                <w:tcPr>
                  <w:tcW w:w="507" w:type="pct"/>
                  <w:tcBorders>
                    <w:tl2br w:val="nil"/>
                    <w:tr2bl w:val="nil"/>
                  </w:tcBorders>
                  <w:noWrap w:val="0"/>
                  <w:vAlign w:val="center"/>
                </w:tcPr>
                <w:p w14:paraId="59D78E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处理措施</w:t>
                  </w:r>
                </w:p>
              </w:tc>
            </w:tr>
            <w:tr w14:paraId="4998C45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367" w:type="pct"/>
                  <w:tcBorders>
                    <w:tl2br w:val="nil"/>
                    <w:tr2bl w:val="nil"/>
                  </w:tcBorders>
                  <w:noWrap w:val="0"/>
                  <w:vAlign w:val="center"/>
                </w:tcPr>
                <w:p w14:paraId="6C65BA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DA</w:t>
                  </w:r>
                  <w:r>
                    <w:rPr>
                      <w:rFonts w:hint="eastAsia" w:ascii="Times New Roman" w:hAnsi="Times New Roman" w:eastAsia="宋体" w:cs="Times New Roman"/>
                      <w:b w:val="0"/>
                      <w:bCs w:val="0"/>
                      <w:color w:val="auto"/>
                      <w:kern w:val="2"/>
                      <w:sz w:val="21"/>
                      <w:szCs w:val="21"/>
                      <w:highlight w:val="none"/>
                      <w:lang w:val="en-US" w:eastAsia="zh-CN" w:bidi="ar-SA"/>
                    </w:rPr>
                    <w:t>001</w:t>
                  </w:r>
                </w:p>
              </w:tc>
              <w:tc>
                <w:tcPr>
                  <w:tcW w:w="355" w:type="pct"/>
                  <w:tcBorders>
                    <w:tl2br w:val="nil"/>
                    <w:tr2bl w:val="nil"/>
                  </w:tcBorders>
                  <w:noWrap w:val="0"/>
                  <w:vAlign w:val="center"/>
                </w:tcPr>
                <w:p w14:paraId="5308D5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颗粒物</w:t>
                  </w:r>
                </w:p>
              </w:tc>
              <w:tc>
                <w:tcPr>
                  <w:tcW w:w="400" w:type="pct"/>
                  <w:tcBorders>
                    <w:tl2br w:val="nil"/>
                    <w:tr2bl w:val="nil"/>
                  </w:tcBorders>
                  <w:noWrap w:val="0"/>
                  <w:vAlign w:val="center"/>
                </w:tcPr>
                <w:p w14:paraId="4CB2A2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sz w:val="21"/>
                      <w:szCs w:val="21"/>
                      <w:highlight w:val="none"/>
                      <w:lang w:val="en-US" w:eastAsia="zh-CN"/>
                    </w:rPr>
                    <w:t>布袋除尘器</w:t>
                  </w:r>
                </w:p>
              </w:tc>
              <w:tc>
                <w:tcPr>
                  <w:tcW w:w="631" w:type="pct"/>
                  <w:tcBorders>
                    <w:tl2br w:val="nil"/>
                    <w:tr2bl w:val="nil"/>
                  </w:tcBorders>
                  <w:noWrap w:val="0"/>
                  <w:vAlign w:val="center"/>
                </w:tcPr>
                <w:p w14:paraId="37FA79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eastAsia" w:ascii="Times New Roman" w:hAnsi="Times New Roman" w:eastAsia="宋体" w:cs="Times New Roman"/>
                      <w:i w:val="0"/>
                      <w:iCs w:val="0"/>
                      <w:color w:val="000000"/>
                      <w:kern w:val="2"/>
                      <w:sz w:val="21"/>
                      <w:szCs w:val="21"/>
                      <w:highlight w:val="none"/>
                      <w:u w:val="none"/>
                      <w:lang w:val="en-US" w:eastAsia="zh-CN" w:bidi="ar-SA"/>
                    </w:rPr>
                    <w:t>46656</w:t>
                  </w:r>
                </w:p>
              </w:tc>
              <w:tc>
                <w:tcPr>
                  <w:tcW w:w="481" w:type="pct"/>
                  <w:tcBorders>
                    <w:tl2br w:val="nil"/>
                    <w:tr2bl w:val="nil"/>
                  </w:tcBorders>
                  <w:noWrap w:val="0"/>
                  <w:vAlign w:val="center"/>
                </w:tcPr>
                <w:p w14:paraId="3C4F36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8.946</w:t>
                  </w:r>
                </w:p>
              </w:tc>
              <w:tc>
                <w:tcPr>
                  <w:tcW w:w="580" w:type="pct"/>
                  <w:tcBorders>
                    <w:tl2br w:val="nil"/>
                    <w:tr2bl w:val="nil"/>
                  </w:tcBorders>
                  <w:noWrap w:val="0"/>
                  <w:vAlign w:val="center"/>
                </w:tcPr>
                <w:p w14:paraId="535E4D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345.7</w:t>
                  </w:r>
                </w:p>
              </w:tc>
              <w:tc>
                <w:tcPr>
                  <w:tcW w:w="523" w:type="pct"/>
                  <w:tcBorders>
                    <w:tl2br w:val="nil"/>
                    <w:tr2bl w:val="nil"/>
                  </w:tcBorders>
                  <w:noWrap w:val="0"/>
                  <w:vAlign w:val="center"/>
                </w:tcPr>
                <w:p w14:paraId="7170C7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1次/年</w:t>
                  </w:r>
                </w:p>
              </w:tc>
              <w:tc>
                <w:tcPr>
                  <w:tcW w:w="665" w:type="pct"/>
                  <w:tcBorders>
                    <w:tl2br w:val="nil"/>
                    <w:tr2bl w:val="nil"/>
                  </w:tcBorders>
                  <w:noWrap w:val="0"/>
                  <w:vAlign w:val="center"/>
                </w:tcPr>
                <w:p w14:paraId="61B40F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60</w:t>
                  </w:r>
                </w:p>
              </w:tc>
              <w:tc>
                <w:tcPr>
                  <w:tcW w:w="486" w:type="pct"/>
                  <w:tcBorders>
                    <w:tl2br w:val="nil"/>
                    <w:tr2bl w:val="nil"/>
                  </w:tcBorders>
                  <w:shd w:val="clear" w:color="auto" w:fill="auto"/>
                  <w:noWrap w:val="0"/>
                  <w:vAlign w:val="center"/>
                </w:tcPr>
                <w:p w14:paraId="17D002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8.946</w:t>
                  </w:r>
                </w:p>
              </w:tc>
              <w:tc>
                <w:tcPr>
                  <w:tcW w:w="507" w:type="pct"/>
                  <w:vMerge w:val="restart"/>
                  <w:tcBorders>
                    <w:tl2br w:val="nil"/>
                    <w:tr2bl w:val="nil"/>
                  </w:tcBorders>
                  <w:noWrap w:val="0"/>
                  <w:vAlign w:val="center"/>
                </w:tcPr>
                <w:p w14:paraId="19DDC0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停止工作，紧急抢修</w:t>
                  </w:r>
                </w:p>
              </w:tc>
            </w:tr>
            <w:tr w14:paraId="1D7C385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367" w:type="pct"/>
                  <w:tcBorders>
                    <w:tl2br w:val="nil"/>
                    <w:tr2bl w:val="nil"/>
                  </w:tcBorders>
                  <w:noWrap w:val="0"/>
                  <w:vAlign w:val="center"/>
                </w:tcPr>
                <w:p w14:paraId="1B7482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DA</w:t>
                  </w:r>
                  <w:r>
                    <w:rPr>
                      <w:rFonts w:hint="eastAsia" w:ascii="Times New Roman" w:hAnsi="Times New Roman" w:eastAsia="宋体" w:cs="Times New Roman"/>
                      <w:b w:val="0"/>
                      <w:bCs w:val="0"/>
                      <w:color w:val="auto"/>
                      <w:kern w:val="2"/>
                      <w:sz w:val="21"/>
                      <w:szCs w:val="21"/>
                      <w:highlight w:val="none"/>
                      <w:lang w:val="en-US" w:eastAsia="zh-CN" w:bidi="ar-SA"/>
                    </w:rPr>
                    <w:t>002</w:t>
                  </w:r>
                </w:p>
              </w:tc>
              <w:tc>
                <w:tcPr>
                  <w:tcW w:w="355" w:type="pct"/>
                  <w:tcBorders>
                    <w:tl2br w:val="nil"/>
                    <w:tr2bl w:val="nil"/>
                  </w:tcBorders>
                  <w:noWrap w:val="0"/>
                  <w:vAlign w:val="center"/>
                </w:tcPr>
                <w:p w14:paraId="62516F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颗粒物</w:t>
                  </w:r>
                </w:p>
              </w:tc>
              <w:tc>
                <w:tcPr>
                  <w:tcW w:w="400" w:type="pct"/>
                  <w:tcBorders>
                    <w:tl2br w:val="nil"/>
                    <w:tr2bl w:val="nil"/>
                  </w:tcBorders>
                  <w:noWrap w:val="0"/>
                  <w:vAlign w:val="center"/>
                </w:tcPr>
                <w:p w14:paraId="6F5217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旋风除尘器+旋风除尘器+布袋除尘器</w:t>
                  </w:r>
                </w:p>
              </w:tc>
              <w:tc>
                <w:tcPr>
                  <w:tcW w:w="631" w:type="pct"/>
                  <w:tcBorders>
                    <w:tl2br w:val="nil"/>
                    <w:tr2bl w:val="nil"/>
                  </w:tcBorders>
                  <w:noWrap w:val="0"/>
                  <w:vAlign w:val="center"/>
                </w:tcPr>
                <w:p w14:paraId="59AC2F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8</w:t>
                  </w:r>
                  <w:r>
                    <w:rPr>
                      <w:rFonts w:hint="eastAsia" w:ascii="Times New Roman" w:hAnsi="Times New Roman" w:eastAsia="宋体" w:cs="Times New Roman"/>
                      <w:i w:val="0"/>
                      <w:iCs w:val="0"/>
                      <w:color w:val="000000"/>
                      <w:kern w:val="0"/>
                      <w:sz w:val="21"/>
                      <w:szCs w:val="21"/>
                      <w:highlight w:val="none"/>
                      <w:u w:val="none"/>
                      <w:lang w:val="en-US" w:eastAsia="zh-CN" w:bidi="ar"/>
                    </w:rPr>
                    <w:t>0000</w:t>
                  </w:r>
                </w:p>
              </w:tc>
              <w:tc>
                <w:tcPr>
                  <w:tcW w:w="481" w:type="pct"/>
                  <w:tcBorders>
                    <w:tl2br w:val="nil"/>
                    <w:tr2bl w:val="nil"/>
                  </w:tcBorders>
                  <w:noWrap w:val="0"/>
                  <w:vAlign w:val="center"/>
                </w:tcPr>
                <w:p w14:paraId="5030B8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16583</w:t>
                  </w:r>
                  <w:r>
                    <w:rPr>
                      <w:rFonts w:hint="eastAsia" w:cs="Times New Roman"/>
                      <w:b w:val="0"/>
                      <w:bCs w:val="0"/>
                      <w:color w:val="auto"/>
                      <w:kern w:val="2"/>
                      <w:sz w:val="21"/>
                      <w:szCs w:val="21"/>
                      <w:highlight w:val="none"/>
                      <w:lang w:val="en-US" w:eastAsia="zh-CN" w:bidi="ar-SA"/>
                    </w:rPr>
                    <w:t>.</w:t>
                  </w:r>
                  <w:r>
                    <w:rPr>
                      <w:rFonts w:hint="default" w:ascii="Times New Roman" w:hAnsi="Times New Roman" w:eastAsia="宋体" w:cs="Times New Roman"/>
                      <w:b w:val="0"/>
                      <w:bCs w:val="0"/>
                      <w:color w:val="auto"/>
                      <w:kern w:val="2"/>
                      <w:sz w:val="21"/>
                      <w:szCs w:val="21"/>
                      <w:highlight w:val="none"/>
                      <w:lang w:val="en-US" w:eastAsia="zh-CN" w:bidi="ar-SA"/>
                    </w:rPr>
                    <w:t>3</w:t>
                  </w:r>
                </w:p>
              </w:tc>
              <w:tc>
                <w:tcPr>
                  <w:tcW w:w="580" w:type="pct"/>
                  <w:tcBorders>
                    <w:tl2br w:val="nil"/>
                    <w:tr2bl w:val="nil"/>
                  </w:tcBorders>
                  <w:noWrap w:val="0"/>
                  <w:vAlign w:val="center"/>
                </w:tcPr>
                <w:p w14:paraId="0FFC40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207291.67</w:t>
                  </w:r>
                </w:p>
              </w:tc>
              <w:tc>
                <w:tcPr>
                  <w:tcW w:w="523" w:type="pct"/>
                  <w:tcBorders>
                    <w:tl2br w:val="nil"/>
                    <w:tr2bl w:val="nil"/>
                  </w:tcBorders>
                  <w:noWrap w:val="0"/>
                  <w:vAlign w:val="center"/>
                </w:tcPr>
                <w:p w14:paraId="770962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1次/年</w:t>
                  </w:r>
                </w:p>
              </w:tc>
              <w:tc>
                <w:tcPr>
                  <w:tcW w:w="665" w:type="pct"/>
                  <w:tcBorders>
                    <w:tl2br w:val="nil"/>
                    <w:tr2bl w:val="nil"/>
                  </w:tcBorders>
                  <w:noWrap w:val="0"/>
                  <w:vAlign w:val="center"/>
                </w:tcPr>
                <w:p w14:paraId="6A2E1B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60</w:t>
                  </w:r>
                </w:p>
              </w:tc>
              <w:tc>
                <w:tcPr>
                  <w:tcW w:w="486" w:type="pct"/>
                  <w:tcBorders>
                    <w:tl2br w:val="nil"/>
                    <w:tr2bl w:val="nil"/>
                  </w:tcBorders>
                  <w:shd w:val="clear" w:color="auto" w:fill="auto"/>
                  <w:noWrap w:val="0"/>
                  <w:vAlign w:val="center"/>
                </w:tcPr>
                <w:p w14:paraId="793E36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16583</w:t>
                  </w:r>
                  <w:r>
                    <w:rPr>
                      <w:rFonts w:hint="eastAsia" w:cs="Times New Roman"/>
                      <w:b w:val="0"/>
                      <w:bCs w:val="0"/>
                      <w:color w:val="auto"/>
                      <w:kern w:val="2"/>
                      <w:sz w:val="21"/>
                      <w:szCs w:val="21"/>
                      <w:highlight w:val="none"/>
                      <w:lang w:val="en-US" w:eastAsia="zh-CN" w:bidi="ar-SA"/>
                    </w:rPr>
                    <w:t>.</w:t>
                  </w:r>
                  <w:r>
                    <w:rPr>
                      <w:rFonts w:hint="default" w:ascii="Times New Roman" w:hAnsi="Times New Roman" w:eastAsia="宋体" w:cs="Times New Roman"/>
                      <w:b w:val="0"/>
                      <w:bCs w:val="0"/>
                      <w:color w:val="auto"/>
                      <w:kern w:val="2"/>
                      <w:sz w:val="21"/>
                      <w:szCs w:val="21"/>
                      <w:highlight w:val="none"/>
                      <w:lang w:val="en-US" w:eastAsia="zh-CN" w:bidi="ar-SA"/>
                    </w:rPr>
                    <w:t>3</w:t>
                  </w:r>
                </w:p>
              </w:tc>
              <w:tc>
                <w:tcPr>
                  <w:tcW w:w="507" w:type="pct"/>
                  <w:vMerge w:val="continue"/>
                  <w:tcBorders>
                    <w:tl2br w:val="nil"/>
                    <w:tr2bl w:val="nil"/>
                  </w:tcBorders>
                  <w:noWrap w:val="0"/>
                  <w:vAlign w:val="center"/>
                </w:tcPr>
                <w:p w14:paraId="53CCA0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p>
              </w:tc>
            </w:tr>
            <w:tr w14:paraId="3C98AF5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367" w:type="pct"/>
                  <w:tcBorders>
                    <w:tl2br w:val="nil"/>
                    <w:tr2bl w:val="nil"/>
                  </w:tcBorders>
                  <w:noWrap w:val="0"/>
                  <w:vAlign w:val="center"/>
                </w:tcPr>
                <w:p w14:paraId="0DDCA3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DA</w:t>
                  </w:r>
                  <w:r>
                    <w:rPr>
                      <w:rFonts w:hint="eastAsia" w:ascii="Times New Roman" w:hAnsi="Times New Roman" w:eastAsia="宋体" w:cs="Times New Roman"/>
                      <w:b w:val="0"/>
                      <w:bCs w:val="0"/>
                      <w:color w:val="auto"/>
                      <w:kern w:val="2"/>
                      <w:sz w:val="21"/>
                      <w:szCs w:val="21"/>
                      <w:highlight w:val="none"/>
                      <w:lang w:val="en-US" w:eastAsia="zh-CN" w:bidi="ar-SA"/>
                    </w:rPr>
                    <w:t>003</w:t>
                  </w:r>
                </w:p>
              </w:tc>
              <w:tc>
                <w:tcPr>
                  <w:tcW w:w="355" w:type="pct"/>
                  <w:tcBorders>
                    <w:tl2br w:val="nil"/>
                    <w:tr2bl w:val="nil"/>
                  </w:tcBorders>
                  <w:noWrap w:val="0"/>
                  <w:vAlign w:val="center"/>
                </w:tcPr>
                <w:p w14:paraId="64612F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颗粒物</w:t>
                  </w:r>
                </w:p>
              </w:tc>
              <w:tc>
                <w:tcPr>
                  <w:tcW w:w="400" w:type="pct"/>
                  <w:tcBorders>
                    <w:tl2br w:val="nil"/>
                    <w:tr2bl w:val="nil"/>
                  </w:tcBorders>
                  <w:noWrap w:val="0"/>
                  <w:vAlign w:val="center"/>
                </w:tcPr>
                <w:p w14:paraId="34134F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布袋除尘器</w:t>
                  </w:r>
                </w:p>
              </w:tc>
              <w:tc>
                <w:tcPr>
                  <w:tcW w:w="631" w:type="pct"/>
                  <w:tcBorders>
                    <w:tl2br w:val="nil"/>
                    <w:tr2bl w:val="nil"/>
                  </w:tcBorders>
                  <w:noWrap w:val="0"/>
                  <w:vAlign w:val="center"/>
                </w:tcPr>
                <w:p w14:paraId="379CA6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5000</w:t>
                  </w:r>
                </w:p>
              </w:tc>
              <w:tc>
                <w:tcPr>
                  <w:tcW w:w="481" w:type="pct"/>
                  <w:tcBorders>
                    <w:tl2br w:val="nil"/>
                    <w:tr2bl w:val="nil"/>
                  </w:tcBorders>
                  <w:noWrap w:val="0"/>
                  <w:vAlign w:val="center"/>
                </w:tcPr>
                <w:p w14:paraId="35C4B0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0.094</w:t>
                  </w:r>
                </w:p>
              </w:tc>
              <w:tc>
                <w:tcPr>
                  <w:tcW w:w="580" w:type="pct"/>
                  <w:tcBorders>
                    <w:tl2br w:val="nil"/>
                    <w:tr2bl w:val="nil"/>
                  </w:tcBorders>
                  <w:noWrap w:val="0"/>
                  <w:vAlign w:val="center"/>
                </w:tcPr>
                <w:p w14:paraId="2A4EE7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18.8</w:t>
                  </w:r>
                </w:p>
              </w:tc>
              <w:tc>
                <w:tcPr>
                  <w:tcW w:w="523" w:type="pct"/>
                  <w:tcBorders>
                    <w:tl2br w:val="nil"/>
                    <w:tr2bl w:val="nil"/>
                  </w:tcBorders>
                  <w:noWrap w:val="0"/>
                  <w:vAlign w:val="center"/>
                </w:tcPr>
                <w:p w14:paraId="4EC85C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1次/年</w:t>
                  </w:r>
                </w:p>
              </w:tc>
              <w:tc>
                <w:tcPr>
                  <w:tcW w:w="665" w:type="pct"/>
                  <w:tcBorders>
                    <w:tl2br w:val="nil"/>
                    <w:tr2bl w:val="nil"/>
                  </w:tcBorders>
                  <w:noWrap w:val="0"/>
                  <w:vAlign w:val="center"/>
                </w:tcPr>
                <w:p w14:paraId="305C87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60</w:t>
                  </w:r>
                </w:p>
              </w:tc>
              <w:tc>
                <w:tcPr>
                  <w:tcW w:w="486" w:type="pct"/>
                  <w:tcBorders>
                    <w:tl2br w:val="nil"/>
                    <w:tr2bl w:val="nil"/>
                  </w:tcBorders>
                  <w:shd w:val="clear" w:color="auto" w:fill="auto"/>
                  <w:noWrap w:val="0"/>
                  <w:vAlign w:val="center"/>
                </w:tcPr>
                <w:p w14:paraId="18748C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0.094</w:t>
                  </w:r>
                </w:p>
              </w:tc>
              <w:tc>
                <w:tcPr>
                  <w:tcW w:w="507" w:type="pct"/>
                  <w:vMerge w:val="continue"/>
                  <w:tcBorders>
                    <w:tl2br w:val="nil"/>
                    <w:tr2bl w:val="nil"/>
                  </w:tcBorders>
                  <w:noWrap w:val="0"/>
                  <w:vAlign w:val="center"/>
                </w:tcPr>
                <w:p w14:paraId="673632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p>
              </w:tc>
            </w:tr>
            <w:tr w14:paraId="7A93C6C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367" w:type="pct"/>
                  <w:tcBorders>
                    <w:tl2br w:val="nil"/>
                    <w:tr2bl w:val="nil"/>
                  </w:tcBorders>
                  <w:shd w:val="clear" w:color="auto" w:fill="auto"/>
                  <w:noWrap w:val="0"/>
                  <w:vAlign w:val="center"/>
                </w:tcPr>
                <w:p w14:paraId="6B97EF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DA</w:t>
                  </w:r>
                  <w:r>
                    <w:rPr>
                      <w:rFonts w:hint="eastAsia" w:ascii="Times New Roman" w:hAnsi="Times New Roman" w:eastAsia="宋体" w:cs="Times New Roman"/>
                      <w:b w:val="0"/>
                      <w:bCs w:val="0"/>
                      <w:color w:val="auto"/>
                      <w:kern w:val="2"/>
                      <w:sz w:val="21"/>
                      <w:szCs w:val="21"/>
                      <w:highlight w:val="none"/>
                      <w:lang w:val="en-US" w:eastAsia="zh-CN" w:bidi="ar-SA"/>
                    </w:rPr>
                    <w:t>00</w:t>
                  </w:r>
                  <w:r>
                    <w:rPr>
                      <w:rFonts w:hint="eastAsia" w:cs="Times New Roman"/>
                      <w:b w:val="0"/>
                      <w:bCs w:val="0"/>
                      <w:color w:val="auto"/>
                      <w:kern w:val="2"/>
                      <w:sz w:val="21"/>
                      <w:szCs w:val="21"/>
                      <w:highlight w:val="none"/>
                      <w:lang w:val="en-US" w:eastAsia="zh-CN" w:bidi="ar-SA"/>
                    </w:rPr>
                    <w:t>4</w:t>
                  </w:r>
                </w:p>
              </w:tc>
              <w:tc>
                <w:tcPr>
                  <w:tcW w:w="355" w:type="pct"/>
                  <w:tcBorders>
                    <w:tl2br w:val="nil"/>
                    <w:tr2bl w:val="nil"/>
                  </w:tcBorders>
                  <w:shd w:val="clear" w:color="auto" w:fill="auto"/>
                  <w:noWrap w:val="0"/>
                  <w:vAlign w:val="center"/>
                </w:tcPr>
                <w:p w14:paraId="57834E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颗粒物</w:t>
                  </w:r>
                </w:p>
              </w:tc>
              <w:tc>
                <w:tcPr>
                  <w:tcW w:w="400" w:type="pct"/>
                  <w:tcBorders>
                    <w:tl2br w:val="nil"/>
                    <w:tr2bl w:val="nil"/>
                  </w:tcBorders>
                  <w:shd w:val="clear" w:color="auto" w:fill="auto"/>
                  <w:noWrap w:val="0"/>
                  <w:vAlign w:val="center"/>
                </w:tcPr>
                <w:p w14:paraId="56638E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布袋除尘器</w:t>
                  </w:r>
                </w:p>
              </w:tc>
              <w:tc>
                <w:tcPr>
                  <w:tcW w:w="631" w:type="pct"/>
                  <w:tcBorders>
                    <w:tl2br w:val="nil"/>
                    <w:tr2bl w:val="nil"/>
                  </w:tcBorders>
                  <w:noWrap w:val="0"/>
                  <w:vAlign w:val="center"/>
                </w:tcPr>
                <w:p w14:paraId="7BDB8B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2000</w:t>
                  </w:r>
                </w:p>
              </w:tc>
              <w:tc>
                <w:tcPr>
                  <w:tcW w:w="481" w:type="pct"/>
                  <w:tcBorders>
                    <w:tl2br w:val="nil"/>
                    <w:tr2bl w:val="nil"/>
                  </w:tcBorders>
                  <w:noWrap w:val="0"/>
                  <w:vAlign w:val="center"/>
                </w:tcPr>
                <w:p w14:paraId="0FC434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0.112</w:t>
                  </w:r>
                </w:p>
              </w:tc>
              <w:tc>
                <w:tcPr>
                  <w:tcW w:w="580" w:type="pct"/>
                  <w:tcBorders>
                    <w:tl2br w:val="nil"/>
                    <w:tr2bl w:val="nil"/>
                  </w:tcBorders>
                  <w:noWrap w:val="0"/>
                  <w:vAlign w:val="center"/>
                </w:tcPr>
                <w:p w14:paraId="72063B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56.2</w:t>
                  </w:r>
                </w:p>
              </w:tc>
              <w:tc>
                <w:tcPr>
                  <w:tcW w:w="523" w:type="pct"/>
                  <w:tcBorders>
                    <w:tl2br w:val="nil"/>
                    <w:tr2bl w:val="nil"/>
                  </w:tcBorders>
                  <w:shd w:val="clear" w:color="auto" w:fill="auto"/>
                  <w:noWrap w:val="0"/>
                  <w:vAlign w:val="center"/>
                </w:tcPr>
                <w:p w14:paraId="3FD167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1次/年</w:t>
                  </w:r>
                </w:p>
              </w:tc>
              <w:tc>
                <w:tcPr>
                  <w:tcW w:w="665" w:type="pct"/>
                  <w:tcBorders>
                    <w:tl2br w:val="nil"/>
                    <w:tr2bl w:val="nil"/>
                  </w:tcBorders>
                  <w:shd w:val="clear" w:color="auto" w:fill="auto"/>
                  <w:noWrap w:val="0"/>
                  <w:vAlign w:val="center"/>
                </w:tcPr>
                <w:p w14:paraId="735740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60</w:t>
                  </w:r>
                </w:p>
              </w:tc>
              <w:tc>
                <w:tcPr>
                  <w:tcW w:w="486" w:type="pct"/>
                  <w:tcBorders>
                    <w:tl2br w:val="nil"/>
                    <w:tr2bl w:val="nil"/>
                  </w:tcBorders>
                  <w:shd w:val="clear" w:color="auto" w:fill="auto"/>
                  <w:noWrap w:val="0"/>
                  <w:vAlign w:val="center"/>
                </w:tcPr>
                <w:p w14:paraId="69EF5A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0.112</w:t>
                  </w:r>
                </w:p>
              </w:tc>
              <w:tc>
                <w:tcPr>
                  <w:tcW w:w="507" w:type="pct"/>
                  <w:vMerge w:val="continue"/>
                  <w:tcBorders>
                    <w:tl2br w:val="nil"/>
                    <w:tr2bl w:val="nil"/>
                  </w:tcBorders>
                  <w:noWrap w:val="0"/>
                  <w:vAlign w:val="center"/>
                </w:tcPr>
                <w:p w14:paraId="2F69B2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p>
              </w:tc>
            </w:tr>
          </w:tbl>
          <w:p w14:paraId="427A9AC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bCs w:val="0"/>
                <w:spacing w:val="0"/>
                <w:sz w:val="24"/>
                <w:szCs w:val="24"/>
                <w:highlight w:val="none"/>
                <w:lang w:val="en-US" w:eastAsia="zh-CN"/>
              </w:rPr>
            </w:pPr>
            <w:r>
              <w:rPr>
                <w:rFonts w:hint="eastAsia" w:ascii="Times New Roman" w:hAnsi="Times New Roman" w:eastAsia="宋体" w:cs="Times New Roman"/>
                <w:b/>
                <w:bCs w:val="0"/>
                <w:spacing w:val="0"/>
                <w:sz w:val="24"/>
                <w:szCs w:val="24"/>
                <w:highlight w:val="none"/>
                <w:lang w:val="en-US" w:eastAsia="zh-CN"/>
              </w:rPr>
              <w:t>1.4自行监测</w:t>
            </w:r>
          </w:p>
          <w:p w14:paraId="7330724E">
            <w:pPr>
              <w:widowControl w:val="0"/>
              <w:adjustRightInd w:val="0"/>
              <w:snapToGrid w:val="0"/>
              <w:spacing w:line="360" w:lineRule="auto"/>
              <w:ind w:firstLine="480" w:firstLineChars="200"/>
              <w:jc w:val="both"/>
              <w:rPr>
                <w:rFonts w:hint="default" w:ascii="Times New Roman" w:hAnsi="Times New Roman" w:eastAsia="宋体" w:cs="Times New Roman"/>
                <w:bCs/>
                <w:color w:val="000000"/>
                <w:spacing w:val="0"/>
                <w:kern w:val="0"/>
                <w:sz w:val="24"/>
                <w:szCs w:val="24"/>
                <w:highlight w:val="none"/>
                <w:lang w:val="en-US" w:eastAsia="zh-CN" w:bidi="ar-SA"/>
              </w:rPr>
            </w:pPr>
            <w:r>
              <w:rPr>
                <w:rFonts w:hint="eastAsia" w:ascii="Times New Roman" w:hAnsi="Times New Roman" w:eastAsia="宋体" w:cs="Times New Roman"/>
                <w:bCs/>
                <w:color w:val="000000"/>
                <w:spacing w:val="0"/>
                <w:kern w:val="0"/>
                <w:sz w:val="24"/>
                <w:szCs w:val="24"/>
                <w:highlight w:val="none"/>
                <w:lang w:val="en-US" w:eastAsia="zh-CN" w:bidi="ar-SA"/>
              </w:rPr>
              <w:t>根据《排污单位自行监测技术指南 总则》</w:t>
            </w:r>
            <w:r>
              <w:rPr>
                <w:rFonts w:hint="eastAsia" w:cs="Times New Roman"/>
                <w:bCs/>
                <w:color w:val="000000"/>
                <w:spacing w:val="0"/>
                <w:kern w:val="0"/>
                <w:sz w:val="24"/>
                <w:szCs w:val="24"/>
                <w:highlight w:val="none"/>
                <w:lang w:val="en-US" w:eastAsia="zh-CN" w:bidi="ar-SA"/>
              </w:rPr>
              <w:t>（</w:t>
            </w:r>
            <w:r>
              <w:rPr>
                <w:rFonts w:hint="eastAsia" w:ascii="Times New Roman" w:hAnsi="Times New Roman" w:eastAsia="宋体" w:cs="Times New Roman"/>
                <w:bCs/>
                <w:color w:val="000000"/>
                <w:spacing w:val="0"/>
                <w:kern w:val="0"/>
                <w:sz w:val="24"/>
                <w:szCs w:val="24"/>
                <w:highlight w:val="none"/>
                <w:lang w:val="en-US" w:eastAsia="zh-CN" w:bidi="ar-SA"/>
              </w:rPr>
              <w:t>HT 819-2017</w:t>
            </w:r>
            <w:r>
              <w:rPr>
                <w:rFonts w:hint="eastAsia" w:cs="Times New Roman"/>
                <w:bCs/>
                <w:color w:val="000000"/>
                <w:spacing w:val="0"/>
                <w:kern w:val="0"/>
                <w:sz w:val="24"/>
                <w:szCs w:val="24"/>
                <w:highlight w:val="none"/>
                <w:lang w:val="en-US" w:eastAsia="zh-CN" w:bidi="ar-SA"/>
              </w:rPr>
              <w:t>）</w:t>
            </w:r>
            <w:r>
              <w:rPr>
                <w:rFonts w:hint="eastAsia" w:ascii="Times New Roman" w:hAnsi="Times New Roman" w:eastAsia="宋体" w:cs="Times New Roman"/>
                <w:bCs/>
                <w:color w:val="000000"/>
                <w:spacing w:val="0"/>
                <w:kern w:val="0"/>
                <w:sz w:val="24"/>
                <w:szCs w:val="24"/>
                <w:highlight w:val="none"/>
                <w:lang w:val="en-US" w:eastAsia="zh-CN" w:bidi="ar-SA"/>
              </w:rPr>
              <w:t>中要求制定自行监测计划，监测计划见下表4-3。</w:t>
            </w:r>
          </w:p>
          <w:p w14:paraId="54163F1A">
            <w:pPr>
              <w:tabs>
                <w:tab w:val="left" w:pos="6480"/>
              </w:tabs>
              <w:adjustRightInd w:val="0"/>
              <w:snapToGrid w:val="0"/>
              <w:spacing w:line="240" w:lineRule="auto"/>
              <w:ind w:firstLine="422" w:firstLineChars="200"/>
              <w:rPr>
                <w:rFonts w:ascii="Times New Roman" w:hAnsi="Times New Roman" w:eastAsia="宋体" w:cs="Times New Roman"/>
                <w:b/>
                <w:bCs/>
                <w:color w:val="000000"/>
                <w:spacing w:val="0"/>
                <w:kern w:val="0"/>
                <w:sz w:val="21"/>
                <w:szCs w:val="21"/>
                <w:highlight w:val="none"/>
                <w:lang w:bidi="ar"/>
              </w:rPr>
            </w:pPr>
            <w:r>
              <w:rPr>
                <w:rFonts w:hint="eastAsia" w:ascii="Times New Roman" w:hAnsi="Times New Roman" w:eastAsia="宋体" w:cs="Times New Roman"/>
                <w:b/>
                <w:bCs/>
                <w:color w:val="000000"/>
                <w:spacing w:val="0"/>
                <w:kern w:val="0"/>
                <w:sz w:val="21"/>
                <w:szCs w:val="21"/>
                <w:highlight w:val="none"/>
                <w:lang w:bidi="ar"/>
              </w:rPr>
              <w:t>表</w:t>
            </w:r>
            <w:r>
              <w:rPr>
                <w:rFonts w:hint="eastAsia" w:ascii="Times New Roman" w:hAnsi="Times New Roman" w:eastAsia="宋体" w:cs="Times New Roman"/>
                <w:b/>
                <w:bCs/>
                <w:color w:val="000000"/>
                <w:spacing w:val="0"/>
                <w:kern w:val="0"/>
                <w:sz w:val="21"/>
                <w:szCs w:val="21"/>
                <w:highlight w:val="none"/>
                <w:lang w:val="en-US" w:eastAsia="zh-CN" w:bidi="ar"/>
              </w:rPr>
              <w:t>4-3</w:t>
            </w:r>
            <w:r>
              <w:rPr>
                <w:rFonts w:ascii="Times New Roman" w:hAnsi="Times New Roman" w:eastAsia="宋体" w:cs="Times New Roman"/>
                <w:b/>
                <w:bCs/>
                <w:color w:val="000000"/>
                <w:spacing w:val="0"/>
                <w:kern w:val="0"/>
                <w:sz w:val="21"/>
                <w:szCs w:val="21"/>
                <w:highlight w:val="none"/>
                <w:lang w:bidi="ar"/>
              </w:rPr>
              <w:t xml:space="preserve">                         </w:t>
            </w:r>
            <w:r>
              <w:rPr>
                <w:rFonts w:hint="eastAsia" w:ascii="Times New Roman" w:hAnsi="Times New Roman" w:eastAsia="宋体" w:cs="Times New Roman"/>
                <w:b/>
                <w:bCs/>
                <w:color w:val="000000"/>
                <w:spacing w:val="0"/>
                <w:kern w:val="0"/>
                <w:sz w:val="21"/>
                <w:szCs w:val="21"/>
                <w:highlight w:val="none"/>
                <w:lang w:bidi="ar"/>
              </w:rPr>
              <w:t>废气监测计划</w:t>
            </w:r>
          </w:p>
          <w:tbl>
            <w:tblPr>
              <w:tblStyle w:val="23"/>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30"/>
              <w:gridCol w:w="864"/>
              <w:gridCol w:w="864"/>
              <w:gridCol w:w="869"/>
              <w:gridCol w:w="5129"/>
            </w:tblGrid>
            <w:tr w14:paraId="66988D2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263" w:type="pct"/>
                  <w:noWrap w:val="0"/>
                  <w:vAlign w:val="center"/>
                </w:tcPr>
                <w:p w14:paraId="676B07F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000000"/>
                      <w:spacing w:val="0"/>
                      <w:kern w:val="0"/>
                      <w:sz w:val="21"/>
                      <w:szCs w:val="21"/>
                      <w:highlight w:val="none"/>
                      <w:lang w:val="en-US" w:eastAsia="zh-CN" w:bidi="ar-SA"/>
                    </w:rPr>
                  </w:pPr>
                  <w:r>
                    <w:rPr>
                      <w:rFonts w:ascii="Times New Roman" w:hAnsi="Times New Roman" w:eastAsia="宋体" w:cs="Times New Roman"/>
                      <w:color w:val="000000"/>
                      <w:spacing w:val="0"/>
                      <w:kern w:val="0"/>
                      <w:sz w:val="21"/>
                      <w:szCs w:val="21"/>
                      <w:highlight w:val="none"/>
                      <w:lang w:val="en-US" w:eastAsia="zh-CN" w:bidi="ar-SA"/>
                    </w:rPr>
                    <w:t>类别</w:t>
                  </w:r>
                </w:p>
              </w:tc>
              <w:tc>
                <w:tcPr>
                  <w:tcW w:w="529" w:type="pct"/>
                  <w:noWrap w:val="0"/>
                  <w:vAlign w:val="center"/>
                </w:tcPr>
                <w:p w14:paraId="500B689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000000"/>
                      <w:spacing w:val="0"/>
                      <w:kern w:val="0"/>
                      <w:sz w:val="21"/>
                      <w:szCs w:val="21"/>
                      <w:highlight w:val="none"/>
                      <w:lang w:val="en-US" w:eastAsia="zh-CN" w:bidi="ar-SA"/>
                    </w:rPr>
                  </w:pPr>
                  <w:r>
                    <w:rPr>
                      <w:rFonts w:ascii="Times New Roman" w:hAnsi="Times New Roman" w:eastAsia="宋体" w:cs="Times New Roman"/>
                      <w:color w:val="000000"/>
                      <w:spacing w:val="0"/>
                      <w:kern w:val="0"/>
                      <w:sz w:val="21"/>
                      <w:szCs w:val="21"/>
                      <w:highlight w:val="none"/>
                      <w:lang w:val="en-US" w:eastAsia="zh-CN" w:bidi="ar-SA"/>
                    </w:rPr>
                    <w:t>监测位置</w:t>
                  </w:r>
                </w:p>
              </w:tc>
              <w:tc>
                <w:tcPr>
                  <w:tcW w:w="529" w:type="pct"/>
                  <w:noWrap w:val="0"/>
                  <w:vAlign w:val="center"/>
                </w:tcPr>
                <w:p w14:paraId="3E1E1A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000000"/>
                      <w:spacing w:val="0"/>
                      <w:kern w:val="0"/>
                      <w:sz w:val="21"/>
                      <w:szCs w:val="21"/>
                      <w:highlight w:val="none"/>
                      <w:lang w:val="en-US" w:eastAsia="zh-CN" w:bidi="ar-SA"/>
                    </w:rPr>
                  </w:pPr>
                  <w:r>
                    <w:rPr>
                      <w:rFonts w:ascii="Times New Roman" w:hAnsi="Times New Roman" w:eastAsia="宋体" w:cs="Times New Roman"/>
                      <w:color w:val="000000"/>
                      <w:spacing w:val="0"/>
                      <w:kern w:val="0"/>
                      <w:sz w:val="21"/>
                      <w:szCs w:val="21"/>
                      <w:highlight w:val="none"/>
                      <w:lang w:val="en-US" w:eastAsia="zh-CN" w:bidi="ar-SA"/>
                    </w:rPr>
                    <w:t>监测项目</w:t>
                  </w:r>
                </w:p>
              </w:tc>
              <w:tc>
                <w:tcPr>
                  <w:tcW w:w="532" w:type="pct"/>
                  <w:noWrap w:val="0"/>
                  <w:vAlign w:val="center"/>
                </w:tcPr>
                <w:p w14:paraId="6700BB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000000"/>
                      <w:spacing w:val="0"/>
                      <w:kern w:val="0"/>
                      <w:sz w:val="21"/>
                      <w:szCs w:val="21"/>
                      <w:highlight w:val="none"/>
                      <w:lang w:val="en-US" w:eastAsia="zh-CN" w:bidi="ar-SA"/>
                    </w:rPr>
                  </w:pPr>
                  <w:r>
                    <w:rPr>
                      <w:rFonts w:ascii="Times New Roman" w:hAnsi="Times New Roman" w:eastAsia="宋体" w:cs="Times New Roman"/>
                      <w:color w:val="000000"/>
                      <w:spacing w:val="0"/>
                      <w:kern w:val="0"/>
                      <w:sz w:val="21"/>
                      <w:szCs w:val="21"/>
                      <w:highlight w:val="none"/>
                      <w:lang w:val="en-US" w:eastAsia="zh-CN" w:bidi="ar-SA"/>
                    </w:rPr>
                    <w:t>监测频次</w:t>
                  </w:r>
                </w:p>
              </w:tc>
              <w:tc>
                <w:tcPr>
                  <w:tcW w:w="3144" w:type="pct"/>
                  <w:noWrap w:val="0"/>
                  <w:vAlign w:val="center"/>
                </w:tcPr>
                <w:p w14:paraId="3EF77E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000000"/>
                      <w:spacing w:val="0"/>
                      <w:kern w:val="0"/>
                      <w:sz w:val="21"/>
                      <w:szCs w:val="21"/>
                      <w:highlight w:val="none"/>
                      <w:lang w:val="en-US" w:eastAsia="zh-CN" w:bidi="ar-SA"/>
                    </w:rPr>
                  </w:pPr>
                  <w:r>
                    <w:rPr>
                      <w:rFonts w:ascii="Times New Roman" w:hAnsi="Times New Roman" w:eastAsia="宋体" w:cs="Times New Roman"/>
                      <w:color w:val="000000"/>
                      <w:spacing w:val="0"/>
                      <w:kern w:val="0"/>
                      <w:sz w:val="21"/>
                      <w:szCs w:val="21"/>
                      <w:highlight w:val="none"/>
                      <w:lang w:val="en-US" w:eastAsia="zh-CN" w:bidi="ar-SA"/>
                    </w:rPr>
                    <w:t>执行标准</w:t>
                  </w:r>
                </w:p>
              </w:tc>
            </w:tr>
            <w:tr w14:paraId="799FC12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263" w:type="pct"/>
                  <w:vMerge w:val="restart"/>
                  <w:noWrap w:val="0"/>
                  <w:vAlign w:val="center"/>
                </w:tcPr>
                <w:p w14:paraId="0D593E1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000000"/>
                      <w:spacing w:val="0"/>
                      <w:kern w:val="0"/>
                      <w:sz w:val="21"/>
                      <w:szCs w:val="21"/>
                      <w:highlight w:val="none"/>
                      <w:lang w:val="en-US" w:eastAsia="zh-CN" w:bidi="ar-SA"/>
                    </w:rPr>
                  </w:pPr>
                  <w:r>
                    <w:rPr>
                      <w:rFonts w:ascii="Times New Roman" w:hAnsi="Times New Roman" w:eastAsia="宋体" w:cs="Times New Roman"/>
                      <w:color w:val="000000"/>
                      <w:spacing w:val="0"/>
                      <w:kern w:val="0"/>
                      <w:sz w:val="21"/>
                      <w:szCs w:val="21"/>
                      <w:highlight w:val="none"/>
                      <w:lang w:val="en-US" w:eastAsia="zh-CN" w:bidi="ar-SA"/>
                    </w:rPr>
                    <w:t>废气</w:t>
                  </w:r>
                </w:p>
              </w:tc>
              <w:tc>
                <w:tcPr>
                  <w:tcW w:w="529" w:type="pct"/>
                  <w:noWrap w:val="0"/>
                  <w:vAlign w:val="center"/>
                </w:tcPr>
                <w:p w14:paraId="6B69B2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default" w:ascii="Times New Roman" w:hAnsi="Times New Roman" w:eastAsia="宋体" w:cs="Times New Roman"/>
                      <w:b/>
                      <w:bCs/>
                      <w:color w:val="000000"/>
                      <w:spacing w:val="0"/>
                      <w:kern w:val="0"/>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DA</w:t>
                  </w:r>
                  <w:r>
                    <w:rPr>
                      <w:rFonts w:hint="eastAsia" w:ascii="Times New Roman" w:hAnsi="Times New Roman" w:eastAsia="宋体" w:cs="Times New Roman"/>
                      <w:b w:val="0"/>
                      <w:bCs w:val="0"/>
                      <w:color w:val="auto"/>
                      <w:kern w:val="2"/>
                      <w:sz w:val="21"/>
                      <w:szCs w:val="21"/>
                      <w:highlight w:val="none"/>
                      <w:lang w:val="en-US" w:eastAsia="zh-CN" w:bidi="ar-SA"/>
                    </w:rPr>
                    <w:t>001</w:t>
                  </w:r>
                </w:p>
              </w:tc>
              <w:tc>
                <w:tcPr>
                  <w:tcW w:w="529" w:type="pct"/>
                  <w:noWrap w:val="0"/>
                  <w:vAlign w:val="center"/>
                </w:tcPr>
                <w:p w14:paraId="226A96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pacing w:val="0"/>
                      <w:kern w:val="0"/>
                      <w:sz w:val="21"/>
                      <w:szCs w:val="21"/>
                      <w:highlight w:val="none"/>
                      <w:lang w:val="en-US" w:eastAsia="zh-CN"/>
                    </w:rPr>
                  </w:pPr>
                  <w:r>
                    <w:rPr>
                      <w:rFonts w:hint="eastAsia" w:ascii="Times New Roman" w:hAnsi="Times New Roman" w:eastAsia="宋体" w:cs="Times New Roman"/>
                      <w:color w:val="000000"/>
                      <w:spacing w:val="0"/>
                      <w:kern w:val="0"/>
                      <w:sz w:val="21"/>
                      <w:szCs w:val="21"/>
                      <w:highlight w:val="none"/>
                      <w:lang w:val="en-US" w:eastAsia="zh-CN"/>
                    </w:rPr>
                    <w:t>颗粒物</w:t>
                  </w:r>
                </w:p>
              </w:tc>
              <w:tc>
                <w:tcPr>
                  <w:tcW w:w="532" w:type="pct"/>
                  <w:noWrap w:val="0"/>
                  <w:vAlign w:val="center"/>
                </w:tcPr>
                <w:p w14:paraId="7E4FEA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pacing w:val="0"/>
                      <w:kern w:val="0"/>
                      <w:sz w:val="21"/>
                      <w:szCs w:val="21"/>
                      <w:highlight w:val="none"/>
                      <w:lang w:val="en-US" w:eastAsia="zh-CN"/>
                    </w:rPr>
                  </w:pPr>
                  <w:r>
                    <w:rPr>
                      <w:rFonts w:hint="eastAsia" w:ascii="Times New Roman" w:hAnsi="Times New Roman" w:eastAsia="宋体" w:cs="Times New Roman"/>
                      <w:color w:val="000000"/>
                      <w:spacing w:val="0"/>
                      <w:kern w:val="0"/>
                      <w:sz w:val="21"/>
                      <w:szCs w:val="21"/>
                      <w:highlight w:val="none"/>
                      <w:lang w:val="en-US" w:eastAsia="zh-CN"/>
                    </w:rPr>
                    <w:t>1次/年</w:t>
                  </w:r>
                </w:p>
              </w:tc>
              <w:tc>
                <w:tcPr>
                  <w:tcW w:w="3144" w:type="pct"/>
                  <w:noWrap w:val="0"/>
                  <w:vAlign w:val="center"/>
                </w:tcPr>
                <w:p w14:paraId="05DB27E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ascii="Times New Roman" w:hAnsi="Times New Roman" w:eastAsia="宋体" w:cs="Times New Roman"/>
                      <w:color w:val="000000"/>
                      <w:spacing w:val="0"/>
                      <w:kern w:val="0"/>
                      <w:sz w:val="21"/>
                      <w:szCs w:val="21"/>
                      <w:highlight w:val="none"/>
                      <w:lang w:val="en-US" w:eastAsia="zh-CN" w:bidi="ar-SA"/>
                    </w:rPr>
                  </w:pPr>
                  <w:r>
                    <w:rPr>
                      <w:rFonts w:hint="eastAsia" w:cs="Times New Roman"/>
                      <w:color w:val="000000"/>
                      <w:spacing w:val="0"/>
                      <w:kern w:val="0"/>
                      <w:sz w:val="21"/>
                      <w:szCs w:val="21"/>
                      <w:highlight w:val="none"/>
                      <w:lang w:val="en-US" w:eastAsia="zh-CN" w:bidi="ar-SA"/>
                    </w:rPr>
                    <w:t>《石灰、电石工业大气污染物排放标准》（GB 41618-2022）</w:t>
                  </w:r>
                </w:p>
              </w:tc>
            </w:tr>
            <w:tr w14:paraId="42580D8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263" w:type="pct"/>
                  <w:vMerge w:val="continue"/>
                  <w:noWrap w:val="0"/>
                  <w:vAlign w:val="center"/>
                </w:tcPr>
                <w:p w14:paraId="255318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000000"/>
                      <w:spacing w:val="0"/>
                      <w:kern w:val="0"/>
                      <w:sz w:val="21"/>
                      <w:szCs w:val="21"/>
                      <w:highlight w:val="none"/>
                      <w:lang w:val="en-US" w:eastAsia="zh-CN" w:bidi="ar-SA"/>
                    </w:rPr>
                  </w:pPr>
                </w:p>
              </w:tc>
              <w:tc>
                <w:tcPr>
                  <w:tcW w:w="529" w:type="pct"/>
                  <w:noWrap w:val="0"/>
                  <w:vAlign w:val="center"/>
                </w:tcPr>
                <w:p w14:paraId="2D1005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DA</w:t>
                  </w:r>
                  <w:r>
                    <w:rPr>
                      <w:rFonts w:hint="eastAsia" w:ascii="Times New Roman" w:hAnsi="Times New Roman" w:eastAsia="宋体" w:cs="Times New Roman"/>
                      <w:b w:val="0"/>
                      <w:bCs w:val="0"/>
                      <w:color w:val="auto"/>
                      <w:kern w:val="2"/>
                      <w:sz w:val="21"/>
                      <w:szCs w:val="21"/>
                      <w:highlight w:val="none"/>
                      <w:lang w:val="en-US" w:eastAsia="zh-CN" w:bidi="ar-SA"/>
                    </w:rPr>
                    <w:t>002</w:t>
                  </w:r>
                </w:p>
              </w:tc>
              <w:tc>
                <w:tcPr>
                  <w:tcW w:w="529" w:type="pct"/>
                  <w:noWrap w:val="0"/>
                  <w:vAlign w:val="center"/>
                </w:tcPr>
                <w:p w14:paraId="14D9D0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pacing w:val="0"/>
                      <w:kern w:val="0"/>
                      <w:sz w:val="21"/>
                      <w:szCs w:val="21"/>
                      <w:highlight w:val="none"/>
                      <w:lang w:val="en-US" w:eastAsia="zh-CN"/>
                    </w:rPr>
                  </w:pPr>
                  <w:r>
                    <w:rPr>
                      <w:rFonts w:hint="eastAsia" w:ascii="Times New Roman" w:hAnsi="Times New Roman" w:eastAsia="宋体" w:cs="Times New Roman"/>
                      <w:color w:val="000000"/>
                      <w:spacing w:val="0"/>
                      <w:kern w:val="0"/>
                      <w:sz w:val="21"/>
                      <w:szCs w:val="21"/>
                      <w:highlight w:val="none"/>
                      <w:lang w:val="en-US" w:eastAsia="zh-CN"/>
                    </w:rPr>
                    <w:t>颗粒物</w:t>
                  </w:r>
                </w:p>
              </w:tc>
              <w:tc>
                <w:tcPr>
                  <w:tcW w:w="532" w:type="pct"/>
                  <w:noWrap w:val="0"/>
                  <w:vAlign w:val="center"/>
                </w:tcPr>
                <w:p w14:paraId="6BDB60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pacing w:val="0"/>
                      <w:kern w:val="0"/>
                      <w:sz w:val="21"/>
                      <w:szCs w:val="21"/>
                      <w:highlight w:val="none"/>
                      <w:lang w:val="en-US" w:eastAsia="zh-CN"/>
                    </w:rPr>
                  </w:pPr>
                  <w:r>
                    <w:rPr>
                      <w:rFonts w:hint="eastAsia" w:ascii="Times New Roman" w:hAnsi="Times New Roman" w:eastAsia="宋体" w:cs="Times New Roman"/>
                      <w:color w:val="000000"/>
                      <w:spacing w:val="0"/>
                      <w:kern w:val="0"/>
                      <w:sz w:val="21"/>
                      <w:szCs w:val="21"/>
                      <w:highlight w:val="none"/>
                      <w:lang w:val="en-US" w:eastAsia="zh-CN"/>
                    </w:rPr>
                    <w:t>1次/年</w:t>
                  </w:r>
                </w:p>
              </w:tc>
              <w:tc>
                <w:tcPr>
                  <w:tcW w:w="3144" w:type="pct"/>
                  <w:noWrap w:val="0"/>
                  <w:vAlign w:val="center"/>
                </w:tcPr>
                <w:p w14:paraId="6CD7852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ascii="Times New Roman" w:hAnsi="Times New Roman" w:eastAsia="宋体" w:cs="Times New Roman"/>
                      <w:color w:val="000000"/>
                      <w:spacing w:val="0"/>
                      <w:kern w:val="0"/>
                      <w:sz w:val="21"/>
                      <w:szCs w:val="21"/>
                      <w:highlight w:val="none"/>
                      <w:lang w:val="en-US" w:eastAsia="zh-CN" w:bidi="ar-SA"/>
                    </w:rPr>
                  </w:pPr>
                  <w:r>
                    <w:rPr>
                      <w:rFonts w:hint="eastAsia" w:cs="Times New Roman"/>
                      <w:color w:val="000000"/>
                      <w:spacing w:val="0"/>
                      <w:kern w:val="0"/>
                      <w:sz w:val="21"/>
                      <w:szCs w:val="21"/>
                      <w:highlight w:val="none"/>
                      <w:lang w:val="en-US" w:eastAsia="zh-CN" w:bidi="ar-SA"/>
                    </w:rPr>
                    <w:t>《石灰、电石工业大气污染物排放标准》（GB 41618-2022）</w:t>
                  </w:r>
                </w:p>
              </w:tc>
            </w:tr>
            <w:tr w14:paraId="455B79E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263" w:type="pct"/>
                  <w:vMerge w:val="continue"/>
                  <w:noWrap w:val="0"/>
                  <w:vAlign w:val="center"/>
                </w:tcPr>
                <w:p w14:paraId="13B384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000000"/>
                      <w:spacing w:val="0"/>
                      <w:kern w:val="0"/>
                      <w:sz w:val="21"/>
                      <w:szCs w:val="21"/>
                      <w:highlight w:val="none"/>
                      <w:lang w:val="en-US" w:eastAsia="zh-CN" w:bidi="ar-SA"/>
                    </w:rPr>
                  </w:pPr>
                </w:p>
              </w:tc>
              <w:tc>
                <w:tcPr>
                  <w:tcW w:w="529" w:type="pct"/>
                  <w:noWrap w:val="0"/>
                  <w:vAlign w:val="center"/>
                </w:tcPr>
                <w:p w14:paraId="336918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DA</w:t>
                  </w:r>
                  <w:r>
                    <w:rPr>
                      <w:rFonts w:hint="eastAsia" w:ascii="Times New Roman" w:hAnsi="Times New Roman" w:eastAsia="宋体" w:cs="Times New Roman"/>
                      <w:b w:val="0"/>
                      <w:bCs w:val="0"/>
                      <w:color w:val="auto"/>
                      <w:kern w:val="2"/>
                      <w:sz w:val="21"/>
                      <w:szCs w:val="21"/>
                      <w:highlight w:val="none"/>
                      <w:lang w:val="en-US" w:eastAsia="zh-CN" w:bidi="ar-SA"/>
                    </w:rPr>
                    <w:t>003</w:t>
                  </w:r>
                </w:p>
              </w:tc>
              <w:tc>
                <w:tcPr>
                  <w:tcW w:w="529" w:type="pct"/>
                  <w:noWrap w:val="0"/>
                  <w:vAlign w:val="center"/>
                </w:tcPr>
                <w:p w14:paraId="047A34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pacing w:val="0"/>
                      <w:kern w:val="0"/>
                      <w:sz w:val="21"/>
                      <w:szCs w:val="21"/>
                      <w:highlight w:val="none"/>
                      <w:lang w:val="en-US" w:eastAsia="zh-CN"/>
                    </w:rPr>
                  </w:pPr>
                  <w:r>
                    <w:rPr>
                      <w:rFonts w:hint="eastAsia" w:ascii="Times New Roman" w:hAnsi="Times New Roman" w:eastAsia="宋体" w:cs="Times New Roman"/>
                      <w:color w:val="000000"/>
                      <w:spacing w:val="0"/>
                      <w:kern w:val="0"/>
                      <w:sz w:val="21"/>
                      <w:szCs w:val="21"/>
                      <w:highlight w:val="none"/>
                      <w:lang w:val="en-US" w:eastAsia="zh-CN"/>
                    </w:rPr>
                    <w:t>颗粒物</w:t>
                  </w:r>
                </w:p>
              </w:tc>
              <w:tc>
                <w:tcPr>
                  <w:tcW w:w="532" w:type="pct"/>
                  <w:noWrap w:val="0"/>
                  <w:vAlign w:val="center"/>
                </w:tcPr>
                <w:p w14:paraId="280DE5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pacing w:val="0"/>
                      <w:kern w:val="0"/>
                      <w:sz w:val="21"/>
                      <w:szCs w:val="21"/>
                      <w:highlight w:val="none"/>
                      <w:lang w:val="en-US" w:eastAsia="zh-CN"/>
                    </w:rPr>
                  </w:pPr>
                  <w:r>
                    <w:rPr>
                      <w:rFonts w:hint="eastAsia" w:ascii="Times New Roman" w:hAnsi="Times New Roman" w:eastAsia="宋体" w:cs="Times New Roman"/>
                      <w:color w:val="000000"/>
                      <w:spacing w:val="0"/>
                      <w:kern w:val="0"/>
                      <w:sz w:val="21"/>
                      <w:szCs w:val="21"/>
                      <w:highlight w:val="none"/>
                      <w:lang w:val="en-US" w:eastAsia="zh-CN"/>
                    </w:rPr>
                    <w:t>1次/年</w:t>
                  </w:r>
                </w:p>
              </w:tc>
              <w:tc>
                <w:tcPr>
                  <w:tcW w:w="3144" w:type="pct"/>
                  <w:noWrap w:val="0"/>
                  <w:vAlign w:val="center"/>
                </w:tcPr>
                <w:p w14:paraId="1F64439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ascii="Times New Roman" w:hAnsi="Times New Roman" w:eastAsia="宋体" w:cs="Times New Roman"/>
                      <w:color w:val="000000"/>
                      <w:spacing w:val="0"/>
                      <w:kern w:val="0"/>
                      <w:sz w:val="21"/>
                      <w:szCs w:val="21"/>
                      <w:highlight w:val="none"/>
                      <w:lang w:val="en-US" w:eastAsia="zh-CN" w:bidi="ar-SA"/>
                    </w:rPr>
                  </w:pPr>
                  <w:r>
                    <w:rPr>
                      <w:rFonts w:hint="eastAsia" w:cs="Times New Roman"/>
                      <w:color w:val="000000"/>
                      <w:spacing w:val="0"/>
                      <w:kern w:val="0"/>
                      <w:sz w:val="21"/>
                      <w:szCs w:val="21"/>
                      <w:highlight w:val="none"/>
                      <w:lang w:val="en-US" w:eastAsia="zh-CN" w:bidi="ar-SA"/>
                    </w:rPr>
                    <w:t>《石灰、电石工业大气污染物排放标准》（GB 41618-2022）</w:t>
                  </w:r>
                </w:p>
              </w:tc>
            </w:tr>
            <w:tr w14:paraId="259C60E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263" w:type="pct"/>
                  <w:vMerge w:val="continue"/>
                  <w:noWrap w:val="0"/>
                  <w:vAlign w:val="center"/>
                </w:tcPr>
                <w:p w14:paraId="4CFD65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000000"/>
                      <w:spacing w:val="0"/>
                      <w:kern w:val="0"/>
                      <w:sz w:val="21"/>
                      <w:szCs w:val="21"/>
                      <w:highlight w:val="none"/>
                      <w:lang w:val="en-US" w:eastAsia="zh-CN" w:bidi="ar-SA"/>
                    </w:rPr>
                  </w:pPr>
                </w:p>
              </w:tc>
              <w:tc>
                <w:tcPr>
                  <w:tcW w:w="529" w:type="pct"/>
                  <w:shd w:val="clear" w:color="auto" w:fill="auto"/>
                  <w:noWrap w:val="0"/>
                  <w:vAlign w:val="center"/>
                </w:tcPr>
                <w:p w14:paraId="6202C1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DA</w:t>
                  </w:r>
                  <w:r>
                    <w:rPr>
                      <w:rFonts w:hint="eastAsia" w:ascii="Times New Roman" w:hAnsi="Times New Roman" w:eastAsia="宋体" w:cs="Times New Roman"/>
                      <w:b w:val="0"/>
                      <w:bCs w:val="0"/>
                      <w:color w:val="auto"/>
                      <w:kern w:val="2"/>
                      <w:sz w:val="21"/>
                      <w:szCs w:val="21"/>
                      <w:highlight w:val="none"/>
                      <w:lang w:val="en-US" w:eastAsia="zh-CN" w:bidi="ar-SA"/>
                    </w:rPr>
                    <w:t>00</w:t>
                  </w:r>
                  <w:r>
                    <w:rPr>
                      <w:rFonts w:hint="eastAsia" w:cs="Times New Roman"/>
                      <w:b w:val="0"/>
                      <w:bCs w:val="0"/>
                      <w:color w:val="auto"/>
                      <w:kern w:val="2"/>
                      <w:sz w:val="21"/>
                      <w:szCs w:val="21"/>
                      <w:highlight w:val="none"/>
                      <w:lang w:val="en-US" w:eastAsia="zh-CN" w:bidi="ar-SA"/>
                    </w:rPr>
                    <w:t>4</w:t>
                  </w:r>
                </w:p>
              </w:tc>
              <w:tc>
                <w:tcPr>
                  <w:tcW w:w="529" w:type="pct"/>
                  <w:shd w:val="clear" w:color="auto" w:fill="auto"/>
                  <w:noWrap w:val="0"/>
                  <w:vAlign w:val="center"/>
                </w:tcPr>
                <w:p w14:paraId="4CE389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pacing w:val="0"/>
                      <w:kern w:val="0"/>
                      <w:sz w:val="21"/>
                      <w:szCs w:val="21"/>
                      <w:highlight w:val="none"/>
                      <w:lang w:val="en-US" w:eastAsia="zh-CN" w:bidi="ar-SA"/>
                    </w:rPr>
                  </w:pPr>
                  <w:r>
                    <w:rPr>
                      <w:rFonts w:hint="eastAsia" w:ascii="Times New Roman" w:hAnsi="Times New Roman" w:eastAsia="宋体" w:cs="Times New Roman"/>
                      <w:color w:val="000000"/>
                      <w:spacing w:val="0"/>
                      <w:kern w:val="0"/>
                      <w:sz w:val="21"/>
                      <w:szCs w:val="21"/>
                      <w:highlight w:val="none"/>
                      <w:lang w:val="en-US" w:eastAsia="zh-CN"/>
                    </w:rPr>
                    <w:t>颗粒物</w:t>
                  </w:r>
                </w:p>
              </w:tc>
              <w:tc>
                <w:tcPr>
                  <w:tcW w:w="532" w:type="pct"/>
                  <w:shd w:val="clear" w:color="auto" w:fill="auto"/>
                  <w:noWrap w:val="0"/>
                  <w:vAlign w:val="center"/>
                </w:tcPr>
                <w:p w14:paraId="5590B9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pacing w:val="0"/>
                      <w:kern w:val="0"/>
                      <w:sz w:val="21"/>
                      <w:szCs w:val="21"/>
                      <w:highlight w:val="none"/>
                      <w:lang w:val="en-US" w:eastAsia="zh-CN" w:bidi="ar-SA"/>
                    </w:rPr>
                  </w:pPr>
                  <w:r>
                    <w:rPr>
                      <w:rFonts w:hint="eastAsia" w:ascii="Times New Roman" w:hAnsi="Times New Roman" w:eastAsia="宋体" w:cs="Times New Roman"/>
                      <w:color w:val="000000"/>
                      <w:spacing w:val="0"/>
                      <w:kern w:val="0"/>
                      <w:sz w:val="21"/>
                      <w:szCs w:val="21"/>
                      <w:highlight w:val="none"/>
                      <w:lang w:val="en-US" w:eastAsia="zh-CN"/>
                    </w:rPr>
                    <w:t>1次/年</w:t>
                  </w:r>
                </w:p>
              </w:tc>
              <w:tc>
                <w:tcPr>
                  <w:tcW w:w="3144" w:type="pct"/>
                  <w:shd w:val="clear" w:color="auto" w:fill="auto"/>
                  <w:noWrap w:val="0"/>
                  <w:vAlign w:val="center"/>
                </w:tcPr>
                <w:p w14:paraId="0799002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Times New Roman" w:hAnsi="Times New Roman" w:eastAsia="宋体" w:cs="Times New Roman"/>
                      <w:color w:val="000000"/>
                      <w:spacing w:val="0"/>
                      <w:kern w:val="0"/>
                      <w:sz w:val="21"/>
                      <w:szCs w:val="21"/>
                      <w:highlight w:val="none"/>
                      <w:lang w:val="en-US" w:eastAsia="zh-CN" w:bidi="ar-SA"/>
                    </w:rPr>
                  </w:pPr>
                  <w:r>
                    <w:rPr>
                      <w:rFonts w:hint="eastAsia" w:cs="Times New Roman"/>
                      <w:color w:val="000000"/>
                      <w:spacing w:val="0"/>
                      <w:kern w:val="0"/>
                      <w:sz w:val="21"/>
                      <w:szCs w:val="21"/>
                      <w:highlight w:val="none"/>
                      <w:lang w:val="en-US" w:eastAsia="zh-CN" w:bidi="ar-SA"/>
                    </w:rPr>
                    <w:t>《石灰、电石工业大气污染物排放标准》（GB 41618-2022）</w:t>
                  </w:r>
                </w:p>
              </w:tc>
            </w:tr>
            <w:tr w14:paraId="1A594FC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263" w:type="pct"/>
                  <w:vMerge w:val="continue"/>
                  <w:noWrap w:val="0"/>
                  <w:vAlign w:val="center"/>
                </w:tcPr>
                <w:p w14:paraId="744585D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000000"/>
                      <w:spacing w:val="0"/>
                      <w:kern w:val="0"/>
                      <w:sz w:val="21"/>
                      <w:szCs w:val="21"/>
                      <w:highlight w:val="none"/>
                      <w:lang w:val="en-US" w:eastAsia="zh-CN" w:bidi="ar-SA"/>
                    </w:rPr>
                  </w:pPr>
                </w:p>
              </w:tc>
              <w:tc>
                <w:tcPr>
                  <w:tcW w:w="529" w:type="pct"/>
                  <w:noWrap w:val="0"/>
                  <w:vAlign w:val="center"/>
                </w:tcPr>
                <w:p w14:paraId="0CACCA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000000"/>
                      <w:spacing w:val="0"/>
                      <w:kern w:val="0"/>
                      <w:sz w:val="21"/>
                      <w:szCs w:val="21"/>
                      <w:highlight w:val="none"/>
                      <w:lang w:val="en-US" w:eastAsia="zh-CN" w:bidi="ar-SA"/>
                    </w:rPr>
                  </w:pPr>
                  <w:r>
                    <w:rPr>
                      <w:rFonts w:ascii="Times New Roman" w:hAnsi="Times New Roman" w:eastAsia="宋体" w:cs="Times New Roman"/>
                      <w:color w:val="000000"/>
                      <w:spacing w:val="0"/>
                      <w:kern w:val="0"/>
                      <w:sz w:val="21"/>
                      <w:szCs w:val="21"/>
                      <w:highlight w:val="none"/>
                      <w:lang w:val="en-US" w:eastAsia="zh-CN" w:bidi="ar-SA"/>
                    </w:rPr>
                    <w:t>厂界</w:t>
                  </w:r>
                  <w:r>
                    <w:rPr>
                      <w:rFonts w:hint="eastAsia" w:ascii="Times New Roman" w:hAnsi="Times New Roman" w:eastAsia="宋体" w:cs="Times New Roman"/>
                      <w:color w:val="000000"/>
                      <w:spacing w:val="0"/>
                      <w:kern w:val="0"/>
                      <w:sz w:val="21"/>
                      <w:szCs w:val="21"/>
                      <w:highlight w:val="none"/>
                      <w:lang w:val="en-US" w:eastAsia="zh-CN" w:bidi="ar-SA"/>
                    </w:rPr>
                    <w:t>外</w:t>
                  </w:r>
                </w:p>
              </w:tc>
              <w:tc>
                <w:tcPr>
                  <w:tcW w:w="529" w:type="pct"/>
                  <w:noWrap w:val="0"/>
                  <w:vAlign w:val="center"/>
                </w:tcPr>
                <w:p w14:paraId="2B91647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highlight w:val="none"/>
                      <w:lang w:val="en-US" w:eastAsia="zh-CN" w:bidi="ar-SA"/>
                    </w:rPr>
                  </w:pPr>
                  <w:r>
                    <w:rPr>
                      <w:rFonts w:hint="eastAsia" w:ascii="Times New Roman" w:hAnsi="Times New Roman" w:eastAsia="宋体" w:cs="Times New Roman"/>
                      <w:color w:val="000000"/>
                      <w:spacing w:val="0"/>
                      <w:kern w:val="0"/>
                      <w:sz w:val="21"/>
                      <w:szCs w:val="21"/>
                      <w:highlight w:val="none"/>
                      <w:lang w:val="en-US" w:eastAsia="zh-CN" w:bidi="ar-SA"/>
                    </w:rPr>
                    <w:t>颗粒物</w:t>
                  </w:r>
                </w:p>
              </w:tc>
              <w:tc>
                <w:tcPr>
                  <w:tcW w:w="532" w:type="pct"/>
                  <w:noWrap w:val="0"/>
                  <w:vAlign w:val="center"/>
                </w:tcPr>
                <w:p w14:paraId="3CFD82D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spacing w:val="0"/>
                      <w:kern w:val="0"/>
                      <w:sz w:val="21"/>
                      <w:szCs w:val="21"/>
                      <w:highlight w:val="none"/>
                      <w:lang w:val="en-US" w:eastAsia="zh-CN" w:bidi="ar-SA"/>
                    </w:rPr>
                  </w:pPr>
                  <w:r>
                    <w:rPr>
                      <w:rFonts w:ascii="Times New Roman" w:hAnsi="Times New Roman" w:eastAsia="宋体" w:cs="Times New Roman"/>
                      <w:color w:val="000000"/>
                      <w:spacing w:val="0"/>
                      <w:kern w:val="0"/>
                      <w:sz w:val="21"/>
                      <w:szCs w:val="21"/>
                      <w:highlight w:val="none"/>
                      <w:lang w:val="en-US" w:eastAsia="zh-CN" w:bidi="ar-SA"/>
                    </w:rPr>
                    <w:t>1次/</w:t>
                  </w:r>
                  <w:r>
                    <w:rPr>
                      <w:rFonts w:hint="eastAsia" w:ascii="Times New Roman" w:hAnsi="Times New Roman" w:eastAsia="宋体" w:cs="Times New Roman"/>
                      <w:color w:val="000000"/>
                      <w:spacing w:val="0"/>
                      <w:kern w:val="0"/>
                      <w:sz w:val="21"/>
                      <w:szCs w:val="21"/>
                      <w:highlight w:val="none"/>
                      <w:lang w:val="en-US" w:eastAsia="zh-CN" w:bidi="ar-SA"/>
                    </w:rPr>
                    <w:t>年</w:t>
                  </w:r>
                </w:p>
              </w:tc>
              <w:tc>
                <w:tcPr>
                  <w:tcW w:w="3144" w:type="pct"/>
                  <w:noWrap w:val="0"/>
                  <w:vAlign w:val="center"/>
                </w:tcPr>
                <w:p w14:paraId="1D75FB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000000"/>
                      <w:spacing w:val="0"/>
                      <w:kern w:val="0"/>
                      <w:sz w:val="21"/>
                      <w:szCs w:val="21"/>
                      <w:highlight w:val="none"/>
                      <w:lang w:val="en-US" w:eastAsia="zh-CN" w:bidi="ar-SA"/>
                    </w:rPr>
                  </w:pPr>
                  <w:r>
                    <w:rPr>
                      <w:rFonts w:hint="eastAsia" w:cs="Times New Roman"/>
                      <w:color w:val="000000"/>
                      <w:spacing w:val="0"/>
                      <w:kern w:val="0"/>
                      <w:sz w:val="21"/>
                      <w:szCs w:val="21"/>
                      <w:highlight w:val="none"/>
                      <w:lang w:val="en-US" w:eastAsia="zh-CN" w:bidi="ar-SA"/>
                    </w:rPr>
                    <w:t>《石灰、电石工业大气污染物排放标准》（GB 41618-2022）</w:t>
                  </w:r>
                </w:p>
              </w:tc>
            </w:tr>
          </w:tbl>
          <w:p w14:paraId="4070AF10">
            <w:pPr>
              <w:numPr>
                <w:ilvl w:val="0"/>
                <w:numId w:val="0"/>
              </w:numPr>
              <w:adjustRightInd w:val="0"/>
              <w:snapToGrid w:val="0"/>
              <w:spacing w:line="360" w:lineRule="auto"/>
              <w:ind w:left="0" w:leftChars="0" w:firstLine="0" w:firstLineChars="0"/>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kern w:val="2"/>
                <w:sz w:val="24"/>
                <w:szCs w:val="24"/>
                <w:highlight w:val="none"/>
                <w:lang w:val="en-US" w:eastAsia="zh-CN" w:bidi="ar-SA"/>
              </w:rPr>
              <w:t>2</w:t>
            </w:r>
            <w:r>
              <w:rPr>
                <w:rFonts w:hint="eastAsia" w:ascii="Times New Roman" w:hAnsi="Times New Roman" w:eastAsia="宋体" w:cs="Times New Roman"/>
                <w:b/>
                <w:bCs/>
                <w:sz w:val="24"/>
                <w:szCs w:val="24"/>
                <w:highlight w:val="none"/>
                <w:lang w:val="en-US" w:eastAsia="zh-CN"/>
              </w:rPr>
              <w:t>水污染物</w:t>
            </w:r>
          </w:p>
          <w:p w14:paraId="51B44431">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jc w:val="both"/>
              <w:textAlignment w:val="auto"/>
              <w:rPr>
                <w:rFonts w:hint="default" w:ascii="Times New Roman" w:hAnsi="Times New Roman" w:eastAsia="宋体" w:cs="Times New Roman"/>
                <w:bCs/>
                <w:color w:val="000000"/>
                <w:kern w:val="24"/>
                <w:sz w:val="24"/>
                <w:szCs w:val="24"/>
                <w:highlight w:val="none"/>
                <w:lang w:val="en-US" w:eastAsia="zh-CN" w:bidi="ar-SA"/>
              </w:rPr>
            </w:pPr>
            <w:r>
              <w:rPr>
                <w:rFonts w:hint="default" w:ascii="Times New Roman" w:hAnsi="Times New Roman" w:eastAsia="宋体" w:cs="Times New Roman"/>
                <w:b/>
                <w:bCs w:val="0"/>
                <w:color w:val="000000"/>
                <w:kern w:val="24"/>
                <w:sz w:val="24"/>
                <w:szCs w:val="24"/>
                <w:highlight w:val="none"/>
                <w:lang w:val="en-US" w:eastAsia="zh-CN" w:bidi="ar-SA"/>
              </w:rPr>
              <w:t>2.1水</w:t>
            </w:r>
            <w:r>
              <w:rPr>
                <w:rFonts w:hint="eastAsia" w:ascii="宋体" w:hAnsi="宋体" w:eastAsia="宋体" w:cs="宋体"/>
                <w:b/>
                <w:bCs w:val="0"/>
                <w:color w:val="000000"/>
                <w:kern w:val="24"/>
                <w:sz w:val="24"/>
                <w:szCs w:val="24"/>
                <w:highlight w:val="none"/>
                <w:lang w:val="en-US" w:eastAsia="zh-CN" w:bidi="ar-SA"/>
              </w:rPr>
              <w:t>污染源分析</w:t>
            </w:r>
          </w:p>
          <w:p w14:paraId="1D0EEA36">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Times New Roman" w:hAnsi="Times New Roman" w:eastAsia="宋体" w:cs="Times New Roman"/>
                <w:sz w:val="24"/>
                <w:szCs w:val="24"/>
                <w:highlight w:val="none"/>
                <w:lang w:val="en-US" w:eastAsia="zh-CN"/>
              </w:rPr>
              <w:t>生活污水：</w:t>
            </w:r>
            <w:r>
              <w:rPr>
                <w:rFonts w:hint="default" w:ascii="Times New Roman" w:hAnsi="Times New Roman" w:eastAsia="宋体" w:cs="Times New Roman"/>
                <w:sz w:val="24"/>
                <w:szCs w:val="24"/>
                <w:highlight w:val="none"/>
                <w:lang w:val="en-US" w:eastAsia="zh-CN"/>
              </w:rPr>
              <w:t>本项目劳动定员</w:t>
            </w:r>
            <w:r>
              <w:rPr>
                <w:rFonts w:hint="eastAsia" w:ascii="Times New Roman" w:hAnsi="Times New Roman" w:eastAsia="宋体" w:cs="Times New Roman"/>
                <w:sz w:val="24"/>
                <w:szCs w:val="24"/>
                <w:highlight w:val="none"/>
                <w:lang w:val="en-US" w:eastAsia="zh-CN"/>
              </w:rPr>
              <w:t>15人</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依据《新疆维吾尔自治区生活用水定额》中的用水量估算</w:t>
            </w:r>
            <w:r>
              <w:rPr>
                <w:rFonts w:hint="eastAsia" w:ascii="Times New Roman" w:hAnsi="Times New Roman" w:eastAsia="宋体" w:cs="Times New Roman"/>
                <w:sz w:val="24"/>
                <w:szCs w:val="24"/>
                <w:highlight w:val="none"/>
                <w:lang w:eastAsia="zh-CN"/>
              </w:rPr>
              <w:t>，</w:t>
            </w:r>
            <w:r>
              <w:rPr>
                <w:rFonts w:ascii="Times New Roman" w:hAnsi="Times New Roman" w:eastAsia="宋体" w:cs="Times New Roman"/>
                <w:sz w:val="24"/>
                <w:highlight w:val="none"/>
              </w:rPr>
              <w:t>年工作日</w:t>
            </w:r>
            <w:r>
              <w:rPr>
                <w:rFonts w:hint="eastAsia" w:ascii="Times New Roman" w:hAnsi="Times New Roman" w:eastAsia="宋体" w:cs="Times New Roman"/>
                <w:sz w:val="24"/>
                <w:highlight w:val="none"/>
                <w:lang w:val="en-US" w:eastAsia="zh-CN"/>
              </w:rPr>
              <w:t>300</w:t>
            </w:r>
            <w:r>
              <w:rPr>
                <w:rFonts w:ascii="Times New Roman" w:hAnsi="Times New Roman" w:eastAsia="宋体" w:cs="Times New Roman"/>
                <w:sz w:val="24"/>
                <w:highlight w:val="none"/>
              </w:rPr>
              <w:t>天，则生活用水量为</w:t>
            </w:r>
            <w:r>
              <w:rPr>
                <w:rFonts w:hint="eastAsia" w:ascii="Times New Roman" w:hAnsi="Times New Roman" w:eastAsia="宋体" w:cs="Times New Roman"/>
                <w:color w:val="000000"/>
                <w:spacing w:val="0"/>
                <w:kern w:val="0"/>
                <w:position w:val="0"/>
                <w:sz w:val="24"/>
                <w:szCs w:val="24"/>
                <w:highlight w:val="none"/>
                <w:lang w:val="en-US" w:eastAsia="zh-CN" w:bidi="zh-CN"/>
              </w:rPr>
              <w:t>360</w:t>
            </w:r>
            <w:r>
              <w:rPr>
                <w:rFonts w:hint="default" w:ascii="Times New Roman" w:hAnsi="Times New Roman" w:eastAsia="宋体" w:cs="Times New Roman"/>
                <w:color w:val="000000"/>
                <w:spacing w:val="0"/>
                <w:kern w:val="0"/>
                <w:position w:val="0"/>
                <w:sz w:val="24"/>
                <w:szCs w:val="24"/>
                <w:highlight w:val="none"/>
                <w:lang w:val="en-US" w:eastAsia="zh-CN" w:bidi="zh-CN"/>
              </w:rPr>
              <w:t>m</w:t>
            </w:r>
            <w:r>
              <w:rPr>
                <w:rFonts w:hint="default" w:ascii="Times New Roman" w:hAnsi="Times New Roman" w:eastAsia="宋体" w:cs="Times New Roman"/>
                <w:color w:val="000000"/>
                <w:spacing w:val="0"/>
                <w:kern w:val="0"/>
                <w:position w:val="0"/>
                <w:sz w:val="24"/>
                <w:szCs w:val="24"/>
                <w:highlight w:val="none"/>
                <w:vertAlign w:val="superscript"/>
                <w:lang w:val="en-US" w:eastAsia="zh-CN" w:bidi="zh-CN"/>
              </w:rPr>
              <w:t>3</w:t>
            </w:r>
            <w:r>
              <w:rPr>
                <w:rFonts w:hint="default" w:ascii="Times New Roman" w:hAnsi="Times New Roman" w:eastAsia="宋体" w:cs="Times New Roman"/>
                <w:color w:val="000000"/>
                <w:spacing w:val="0"/>
                <w:kern w:val="0"/>
                <w:position w:val="0"/>
                <w:sz w:val="24"/>
                <w:szCs w:val="24"/>
                <w:highlight w:val="none"/>
                <w:lang w:val="en-US" w:eastAsia="zh-CN" w:bidi="zh-CN"/>
              </w:rPr>
              <w:t>/a（</w:t>
            </w:r>
            <w:r>
              <w:rPr>
                <w:rFonts w:hint="eastAsia" w:ascii="Times New Roman" w:hAnsi="Times New Roman" w:eastAsia="宋体" w:cs="Times New Roman"/>
                <w:color w:val="000000"/>
                <w:spacing w:val="0"/>
                <w:kern w:val="0"/>
                <w:position w:val="0"/>
                <w:sz w:val="24"/>
                <w:szCs w:val="24"/>
                <w:highlight w:val="none"/>
                <w:lang w:val="en-US" w:eastAsia="zh-CN" w:bidi="zh-CN"/>
              </w:rPr>
              <w:t>1.2</w:t>
            </w:r>
            <w:r>
              <w:rPr>
                <w:rFonts w:hint="default" w:ascii="Times New Roman" w:hAnsi="Times New Roman" w:eastAsia="宋体" w:cs="Times New Roman"/>
                <w:color w:val="000000"/>
                <w:spacing w:val="0"/>
                <w:kern w:val="0"/>
                <w:position w:val="0"/>
                <w:sz w:val="24"/>
                <w:szCs w:val="24"/>
                <w:highlight w:val="none"/>
                <w:lang w:val="en-US" w:eastAsia="zh-CN" w:bidi="zh-CN"/>
              </w:rPr>
              <w:t>m</w:t>
            </w:r>
            <w:r>
              <w:rPr>
                <w:rFonts w:hint="default" w:ascii="Times New Roman" w:hAnsi="Times New Roman" w:eastAsia="宋体" w:cs="Times New Roman"/>
                <w:color w:val="000000"/>
                <w:spacing w:val="0"/>
                <w:kern w:val="0"/>
                <w:position w:val="0"/>
                <w:sz w:val="24"/>
                <w:szCs w:val="24"/>
                <w:highlight w:val="none"/>
                <w:vertAlign w:val="superscript"/>
                <w:lang w:val="en-US" w:eastAsia="zh-CN" w:bidi="zh-CN"/>
              </w:rPr>
              <w:t>3</w:t>
            </w:r>
            <w:r>
              <w:rPr>
                <w:rFonts w:hint="default" w:ascii="Times New Roman" w:hAnsi="Times New Roman" w:eastAsia="宋体" w:cs="Times New Roman"/>
                <w:color w:val="000000"/>
                <w:spacing w:val="0"/>
                <w:kern w:val="0"/>
                <w:position w:val="0"/>
                <w:sz w:val="24"/>
                <w:szCs w:val="24"/>
                <w:highlight w:val="none"/>
                <w:lang w:val="en-US" w:eastAsia="zh-CN" w:bidi="zh-CN"/>
              </w:rPr>
              <w:t>/d）</w:t>
            </w:r>
            <w:r>
              <w:rPr>
                <w:rFonts w:hint="eastAsia" w:ascii="Times New Roman" w:hAnsi="Times New Roman" w:eastAsia="宋体" w:cs="Times New Roman"/>
                <w:bCs/>
                <w:sz w:val="24"/>
                <w:highlight w:val="none"/>
              </w:rPr>
              <w:t>。排水量按8</w:t>
            </w:r>
            <w:r>
              <w:rPr>
                <w:rFonts w:hint="eastAsia" w:ascii="Times New Roman" w:hAnsi="Times New Roman" w:eastAsia="宋体" w:cs="Times New Roman"/>
                <w:bCs/>
                <w:sz w:val="24"/>
                <w:highlight w:val="none"/>
                <w:lang w:val="en-US" w:eastAsia="zh-CN"/>
              </w:rPr>
              <w:t>0</w:t>
            </w:r>
            <w:r>
              <w:rPr>
                <w:rFonts w:hint="eastAsia" w:ascii="Times New Roman" w:hAnsi="Times New Roman" w:eastAsia="宋体" w:cs="Times New Roman"/>
                <w:bCs/>
                <w:sz w:val="24"/>
                <w:highlight w:val="none"/>
              </w:rPr>
              <w:t>%计，</w:t>
            </w:r>
            <w:r>
              <w:rPr>
                <w:rFonts w:hint="eastAsia" w:ascii="Times New Roman" w:hAnsi="Times New Roman" w:eastAsia="宋体" w:cs="Times New Roman"/>
                <w:bCs/>
                <w:sz w:val="24"/>
                <w:highlight w:val="none"/>
                <w:lang w:val="en-US" w:eastAsia="zh-CN"/>
              </w:rPr>
              <w:t>生活污水</w:t>
            </w:r>
            <w:r>
              <w:rPr>
                <w:rFonts w:hint="eastAsia" w:ascii="Times New Roman" w:hAnsi="Times New Roman" w:eastAsia="宋体" w:cs="Times New Roman"/>
                <w:bCs/>
                <w:sz w:val="24"/>
                <w:highlight w:val="none"/>
              </w:rPr>
              <w:t>为</w:t>
            </w:r>
            <w:r>
              <w:rPr>
                <w:rFonts w:hint="eastAsia" w:ascii="Times New Roman" w:hAnsi="Times New Roman" w:eastAsia="宋体" w:cs="Times New Roman"/>
                <w:bCs/>
                <w:sz w:val="24"/>
                <w:highlight w:val="none"/>
                <w:lang w:val="en-US" w:eastAsia="zh-CN"/>
              </w:rPr>
              <w:t>288</w:t>
            </w:r>
            <w:r>
              <w:rPr>
                <w:rFonts w:hint="default" w:ascii="Times New Roman" w:hAnsi="Times New Roman" w:eastAsia="宋体" w:cs="Times New Roman"/>
                <w:color w:val="000000"/>
                <w:spacing w:val="0"/>
                <w:kern w:val="0"/>
                <w:position w:val="0"/>
                <w:sz w:val="24"/>
                <w:szCs w:val="24"/>
                <w:highlight w:val="none"/>
                <w:lang w:val="en-US" w:eastAsia="zh-CN" w:bidi="zh-CN"/>
              </w:rPr>
              <w:t>m</w:t>
            </w:r>
            <w:r>
              <w:rPr>
                <w:rFonts w:hint="default" w:ascii="Times New Roman" w:hAnsi="Times New Roman" w:eastAsia="宋体" w:cs="Times New Roman"/>
                <w:color w:val="000000"/>
                <w:spacing w:val="0"/>
                <w:kern w:val="0"/>
                <w:position w:val="0"/>
                <w:sz w:val="24"/>
                <w:szCs w:val="24"/>
                <w:highlight w:val="none"/>
                <w:vertAlign w:val="superscript"/>
                <w:lang w:val="en-US" w:eastAsia="zh-CN" w:bidi="zh-CN"/>
              </w:rPr>
              <w:t>3</w:t>
            </w:r>
            <w:r>
              <w:rPr>
                <w:rFonts w:hint="eastAsia" w:ascii="Times New Roman" w:hAnsi="Times New Roman" w:eastAsia="宋体" w:cs="Times New Roman"/>
                <w:bCs/>
                <w:sz w:val="24"/>
                <w:highlight w:val="none"/>
              </w:rPr>
              <w:t>/a</w:t>
            </w:r>
            <w:r>
              <w:rPr>
                <w:rFonts w:hint="eastAsia" w:ascii="Times New Roman" w:hAnsi="Times New Roman" w:eastAsia="宋体" w:cs="Times New Roman"/>
                <w:bCs/>
                <w:sz w:val="24"/>
                <w:highlight w:val="none"/>
                <w:lang w:eastAsia="zh-CN"/>
              </w:rPr>
              <w:t>（</w:t>
            </w:r>
            <w:r>
              <w:rPr>
                <w:rFonts w:hint="eastAsia" w:ascii="Times New Roman" w:hAnsi="Times New Roman" w:eastAsia="宋体" w:cs="Times New Roman"/>
                <w:bCs/>
                <w:sz w:val="24"/>
                <w:highlight w:val="none"/>
                <w:lang w:val="en-US" w:eastAsia="zh-CN"/>
              </w:rPr>
              <w:t>0.96</w:t>
            </w:r>
            <w:r>
              <w:rPr>
                <w:rFonts w:hint="default" w:ascii="Times New Roman" w:hAnsi="Times New Roman" w:eastAsia="宋体" w:cs="Times New Roman"/>
                <w:color w:val="000000"/>
                <w:spacing w:val="0"/>
                <w:kern w:val="0"/>
                <w:position w:val="0"/>
                <w:sz w:val="24"/>
                <w:szCs w:val="24"/>
                <w:highlight w:val="none"/>
                <w:lang w:val="en-US" w:eastAsia="zh-CN" w:bidi="zh-CN"/>
              </w:rPr>
              <w:t>m</w:t>
            </w:r>
            <w:r>
              <w:rPr>
                <w:rFonts w:hint="default" w:ascii="Times New Roman" w:hAnsi="Times New Roman" w:eastAsia="宋体" w:cs="Times New Roman"/>
                <w:color w:val="000000"/>
                <w:spacing w:val="0"/>
                <w:kern w:val="0"/>
                <w:position w:val="0"/>
                <w:sz w:val="24"/>
                <w:szCs w:val="24"/>
                <w:highlight w:val="none"/>
                <w:vertAlign w:val="superscript"/>
                <w:lang w:val="en-US" w:eastAsia="zh-CN" w:bidi="zh-CN"/>
              </w:rPr>
              <w:t>3</w:t>
            </w:r>
            <w:r>
              <w:rPr>
                <w:rFonts w:hint="default" w:ascii="Times New Roman" w:hAnsi="Times New Roman" w:eastAsia="宋体" w:cs="Times New Roman"/>
                <w:color w:val="000000"/>
                <w:spacing w:val="0"/>
                <w:kern w:val="0"/>
                <w:position w:val="0"/>
                <w:sz w:val="24"/>
                <w:szCs w:val="24"/>
                <w:highlight w:val="none"/>
                <w:lang w:val="en-US" w:eastAsia="zh-CN" w:bidi="zh-CN"/>
              </w:rPr>
              <w:t>/d</w:t>
            </w:r>
            <w:r>
              <w:rPr>
                <w:rFonts w:hint="eastAsia" w:ascii="Times New Roman" w:hAnsi="Times New Roman" w:eastAsia="宋体" w:cs="Times New Roman"/>
                <w:bCs/>
                <w:sz w:val="24"/>
                <w:highlight w:val="none"/>
                <w:lang w:eastAsia="zh-CN"/>
              </w:rPr>
              <w:t>）</w:t>
            </w:r>
            <w:r>
              <w:rPr>
                <w:rFonts w:hint="eastAsia" w:ascii="Times New Roman" w:hAnsi="Times New Roman" w:eastAsia="宋体" w:cs="Times New Roman"/>
                <w:bCs/>
                <w:sz w:val="24"/>
                <w:highlight w:val="none"/>
              </w:rPr>
              <w:t>。</w:t>
            </w:r>
            <w:r>
              <w:rPr>
                <w:rFonts w:hint="eastAsia" w:ascii="Times New Roman" w:hAnsi="Times New Roman" w:eastAsia="宋体" w:cs="Times New Roman"/>
                <w:bCs/>
                <w:sz w:val="24"/>
                <w:highlight w:val="none"/>
                <w:lang w:val="en-US" w:eastAsia="zh-CN"/>
              </w:rPr>
              <w:t>生活污水排入园区下水管网最终进入和静县污水处理厂进行处理</w:t>
            </w:r>
            <w:r>
              <w:rPr>
                <w:rFonts w:hint="eastAsia" w:ascii="Times New Roman" w:hAnsi="Times New Roman" w:eastAsia="宋体" w:cs="Times New Roman"/>
                <w:b w:val="0"/>
                <w:bCs w:val="0"/>
                <w:spacing w:val="-3"/>
                <w:sz w:val="24"/>
                <w:szCs w:val="24"/>
                <w:highlight w:val="none"/>
                <w:lang w:eastAsia="zh-CN"/>
              </w:rPr>
              <w:t>。</w:t>
            </w:r>
            <w:r>
              <w:rPr>
                <w:rFonts w:ascii="Times New Roman" w:hAnsi="Times New Roman" w:eastAsia="宋体" w:cs="Times New Roman"/>
                <w:bCs/>
                <w:sz w:val="24"/>
                <w:highlight w:val="none"/>
              </w:rPr>
              <w:t>各类排水污染物浓度及排放量见表</w:t>
            </w:r>
            <w:r>
              <w:rPr>
                <w:rFonts w:hint="eastAsia" w:ascii="Times New Roman" w:hAnsi="Times New Roman" w:eastAsia="宋体" w:cs="Times New Roman"/>
                <w:bCs/>
                <w:sz w:val="24"/>
                <w:highlight w:val="none"/>
                <w:lang w:val="en-US" w:eastAsia="zh-CN"/>
              </w:rPr>
              <w:t>4-4</w:t>
            </w:r>
            <w:r>
              <w:rPr>
                <w:rFonts w:ascii="Times New Roman" w:hAnsi="Times New Roman" w:eastAsia="宋体" w:cs="Times New Roman"/>
                <w:bCs/>
                <w:sz w:val="24"/>
                <w:highlight w:val="none"/>
              </w:rPr>
              <w:t>。</w:t>
            </w:r>
          </w:p>
          <w:p w14:paraId="204B794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2" w:firstLineChars="200"/>
              <w:jc w:val="left"/>
              <w:textAlignment w:val="auto"/>
              <w:rPr>
                <w:rFonts w:hint="eastAsia" w:ascii="宋体" w:hAnsi="宋体" w:eastAsia="宋体" w:cs="宋体"/>
                <w:b/>
                <w:bCs w:val="0"/>
                <w:color w:val="000000"/>
                <w:kern w:val="24"/>
                <w:sz w:val="21"/>
                <w:szCs w:val="21"/>
                <w:highlight w:val="none"/>
                <w:lang w:val="en-US" w:eastAsia="zh-CN" w:bidi="ar-SA"/>
              </w:rPr>
            </w:pPr>
            <w:r>
              <w:rPr>
                <w:rFonts w:hint="eastAsia" w:ascii="宋体" w:hAnsi="宋体" w:eastAsia="宋体" w:cs="宋体"/>
                <w:b/>
                <w:bCs w:val="0"/>
                <w:color w:val="000000"/>
                <w:kern w:val="24"/>
                <w:sz w:val="21"/>
                <w:szCs w:val="21"/>
                <w:highlight w:val="none"/>
                <w:lang w:val="en-US" w:eastAsia="zh-CN" w:bidi="ar-SA"/>
              </w:rPr>
              <w:t>表</w:t>
            </w:r>
            <w:r>
              <w:rPr>
                <w:rFonts w:hint="eastAsia" w:ascii="Times New Roman" w:hAnsi="Times New Roman" w:eastAsia="宋体" w:cs="Times New Roman"/>
                <w:b/>
                <w:bCs w:val="0"/>
                <w:color w:val="000000"/>
                <w:kern w:val="24"/>
                <w:sz w:val="21"/>
                <w:szCs w:val="21"/>
                <w:highlight w:val="none"/>
                <w:lang w:val="en-US" w:eastAsia="zh-CN" w:bidi="ar-SA"/>
              </w:rPr>
              <w:t>4-4</w:t>
            </w:r>
            <w:r>
              <w:rPr>
                <w:rFonts w:hint="eastAsia" w:ascii="宋体" w:hAnsi="宋体" w:eastAsia="宋体" w:cs="宋体"/>
                <w:b/>
                <w:bCs w:val="0"/>
                <w:color w:val="000000"/>
                <w:kern w:val="24"/>
                <w:sz w:val="21"/>
                <w:szCs w:val="21"/>
                <w:highlight w:val="none"/>
                <w:lang w:val="en-US" w:eastAsia="zh-CN" w:bidi="ar-SA"/>
              </w:rPr>
              <w:t xml:space="preserve">               本项目废水污染产生排放情况一览表</w:t>
            </w:r>
          </w:p>
          <w:tbl>
            <w:tblPr>
              <w:tblStyle w:val="23"/>
              <w:tblW w:w="4998" w:type="pct"/>
              <w:tblInd w:w="0" w:type="dxa"/>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034"/>
              <w:gridCol w:w="2017"/>
              <w:gridCol w:w="1057"/>
              <w:gridCol w:w="1057"/>
              <w:gridCol w:w="1057"/>
              <w:gridCol w:w="1089"/>
            </w:tblGrid>
            <w:tr w14:paraId="051C48CE">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19" w:type="pct"/>
                  <w:vMerge w:val="restart"/>
                  <w:tcBorders>
                    <w:tl2br w:val="nil"/>
                    <w:tr2bl w:val="nil"/>
                  </w:tcBorders>
                  <w:noWrap w:val="0"/>
                  <w:vAlign w:val="center"/>
                </w:tcPr>
                <w:p w14:paraId="5AF7C2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lang w:val="en-US" w:eastAsia="zh-CN"/>
                    </w:rPr>
                  </w:pPr>
                  <w:r>
                    <w:rPr>
                      <w:rFonts w:hint="default" w:ascii="Times New Roman" w:hAnsi="Times New Roman" w:eastAsia="宋体" w:cs="Times New Roman"/>
                      <w:spacing w:val="0"/>
                      <w:sz w:val="21"/>
                      <w:szCs w:val="21"/>
                      <w:highlight w:val="none"/>
                      <w:lang w:val="en-US" w:eastAsia="zh-CN"/>
                    </w:rPr>
                    <w:t>废水类别</w:t>
                  </w:r>
                </w:p>
              </w:tc>
              <w:tc>
                <w:tcPr>
                  <w:tcW w:w="634" w:type="pct"/>
                  <w:vMerge w:val="restart"/>
                  <w:tcBorders>
                    <w:tl2br w:val="nil"/>
                    <w:tr2bl w:val="nil"/>
                  </w:tcBorders>
                  <w:noWrap w:val="0"/>
                  <w:vAlign w:val="center"/>
                </w:tcPr>
                <w:p w14:paraId="6E87F0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lang w:val="en-US" w:eastAsia="zh-CN"/>
                    </w:rPr>
                  </w:pPr>
                  <w:r>
                    <w:rPr>
                      <w:rFonts w:hint="default" w:ascii="Times New Roman" w:hAnsi="Times New Roman" w:eastAsia="宋体" w:cs="Times New Roman"/>
                      <w:spacing w:val="0"/>
                      <w:sz w:val="21"/>
                      <w:szCs w:val="21"/>
                      <w:highlight w:val="none"/>
                      <w:lang w:val="en-US" w:eastAsia="zh-CN"/>
                    </w:rPr>
                    <w:t>废水量m</w:t>
                  </w:r>
                  <w:r>
                    <w:rPr>
                      <w:rFonts w:hint="default" w:ascii="Times New Roman" w:hAnsi="Times New Roman" w:eastAsia="宋体" w:cs="Times New Roman"/>
                      <w:spacing w:val="0"/>
                      <w:sz w:val="21"/>
                      <w:szCs w:val="21"/>
                      <w:highlight w:val="none"/>
                      <w:vertAlign w:val="superscript"/>
                      <w:lang w:val="en-US" w:eastAsia="zh-CN"/>
                    </w:rPr>
                    <w:t>3</w:t>
                  </w:r>
                  <w:r>
                    <w:rPr>
                      <w:rFonts w:hint="default" w:ascii="Times New Roman" w:hAnsi="Times New Roman" w:eastAsia="宋体" w:cs="Times New Roman"/>
                      <w:spacing w:val="0"/>
                      <w:sz w:val="21"/>
                      <w:szCs w:val="21"/>
                      <w:highlight w:val="none"/>
                      <w:lang w:val="en-US" w:eastAsia="zh-CN"/>
                    </w:rPr>
                    <w:t>/a</w:t>
                  </w:r>
                </w:p>
              </w:tc>
              <w:tc>
                <w:tcPr>
                  <w:tcW w:w="1236" w:type="pct"/>
                  <w:vMerge w:val="restart"/>
                  <w:tcBorders>
                    <w:tl2br w:val="nil"/>
                    <w:tr2bl w:val="nil"/>
                  </w:tcBorders>
                  <w:noWrap w:val="0"/>
                  <w:vAlign w:val="center"/>
                </w:tcPr>
                <w:p w14:paraId="2E7744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lang w:val="en-US" w:eastAsia="zh-CN"/>
                    </w:rPr>
                  </w:pPr>
                  <w:r>
                    <w:rPr>
                      <w:rFonts w:hint="default" w:ascii="Times New Roman" w:hAnsi="Times New Roman" w:eastAsia="宋体" w:cs="Times New Roman"/>
                      <w:spacing w:val="0"/>
                      <w:sz w:val="21"/>
                      <w:szCs w:val="21"/>
                      <w:highlight w:val="none"/>
                      <w:lang w:val="en-US" w:eastAsia="zh-CN"/>
                    </w:rPr>
                    <w:t>项目</w:t>
                  </w:r>
                </w:p>
              </w:tc>
              <w:tc>
                <w:tcPr>
                  <w:tcW w:w="2609" w:type="pct"/>
                  <w:gridSpan w:val="4"/>
                  <w:tcBorders>
                    <w:tl2br w:val="nil"/>
                    <w:tr2bl w:val="nil"/>
                  </w:tcBorders>
                  <w:noWrap w:val="0"/>
                  <w:vAlign w:val="center"/>
                </w:tcPr>
                <w:p w14:paraId="04EF15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lang w:val="en-US" w:eastAsia="zh-CN"/>
                    </w:rPr>
                  </w:pPr>
                  <w:r>
                    <w:rPr>
                      <w:rFonts w:hint="default" w:ascii="Times New Roman" w:hAnsi="Times New Roman" w:eastAsia="宋体" w:cs="Times New Roman"/>
                      <w:spacing w:val="0"/>
                      <w:sz w:val="21"/>
                      <w:szCs w:val="21"/>
                      <w:highlight w:val="none"/>
                      <w:lang w:val="en-US" w:eastAsia="zh-CN"/>
                    </w:rPr>
                    <w:t>水质组成</w:t>
                  </w:r>
                </w:p>
              </w:tc>
            </w:tr>
            <w:tr w14:paraId="17E65D72">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19" w:type="pct"/>
                  <w:vMerge w:val="continue"/>
                  <w:tcBorders>
                    <w:tl2br w:val="nil"/>
                    <w:tr2bl w:val="nil"/>
                  </w:tcBorders>
                  <w:noWrap w:val="0"/>
                  <w:vAlign w:val="center"/>
                </w:tcPr>
                <w:p w14:paraId="530D24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lang w:val="en-US" w:eastAsia="zh-CN"/>
                    </w:rPr>
                  </w:pPr>
                </w:p>
              </w:tc>
              <w:tc>
                <w:tcPr>
                  <w:tcW w:w="634" w:type="pct"/>
                  <w:vMerge w:val="continue"/>
                  <w:tcBorders>
                    <w:tl2br w:val="nil"/>
                    <w:tr2bl w:val="nil"/>
                  </w:tcBorders>
                  <w:noWrap w:val="0"/>
                  <w:vAlign w:val="center"/>
                </w:tcPr>
                <w:p w14:paraId="082879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lang w:val="en-US" w:eastAsia="zh-CN"/>
                    </w:rPr>
                  </w:pPr>
                </w:p>
              </w:tc>
              <w:tc>
                <w:tcPr>
                  <w:tcW w:w="1236" w:type="pct"/>
                  <w:vMerge w:val="continue"/>
                  <w:tcBorders>
                    <w:tl2br w:val="nil"/>
                    <w:tr2bl w:val="nil"/>
                  </w:tcBorders>
                  <w:noWrap w:val="0"/>
                  <w:vAlign w:val="center"/>
                </w:tcPr>
                <w:p w14:paraId="38C345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lang w:val="en-US" w:eastAsia="zh-CN"/>
                    </w:rPr>
                  </w:pPr>
                </w:p>
              </w:tc>
              <w:tc>
                <w:tcPr>
                  <w:tcW w:w="648" w:type="pct"/>
                  <w:tcBorders>
                    <w:tl2br w:val="nil"/>
                    <w:tr2bl w:val="nil"/>
                  </w:tcBorders>
                  <w:noWrap w:val="0"/>
                  <w:vAlign w:val="center"/>
                </w:tcPr>
                <w:p w14:paraId="2E941D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lang w:val="en-US" w:eastAsia="zh-CN"/>
                    </w:rPr>
                  </w:pPr>
                  <w:r>
                    <w:rPr>
                      <w:rFonts w:hint="default" w:ascii="Times New Roman" w:hAnsi="Times New Roman" w:eastAsia="宋体" w:cs="Times New Roman"/>
                      <w:spacing w:val="0"/>
                      <w:sz w:val="21"/>
                      <w:szCs w:val="21"/>
                      <w:highlight w:val="none"/>
                      <w:lang w:val="en-US" w:eastAsia="zh-CN"/>
                    </w:rPr>
                    <w:t>COD</w:t>
                  </w:r>
                </w:p>
              </w:tc>
              <w:tc>
                <w:tcPr>
                  <w:tcW w:w="648" w:type="pct"/>
                  <w:tcBorders>
                    <w:tl2br w:val="nil"/>
                    <w:tr2bl w:val="nil"/>
                  </w:tcBorders>
                  <w:noWrap w:val="0"/>
                  <w:vAlign w:val="center"/>
                </w:tcPr>
                <w:p w14:paraId="2FC679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lang w:val="en-US" w:eastAsia="zh-CN"/>
                    </w:rPr>
                  </w:pPr>
                  <w:r>
                    <w:rPr>
                      <w:rFonts w:hint="default" w:ascii="Times New Roman" w:hAnsi="Times New Roman" w:eastAsia="宋体" w:cs="Times New Roman"/>
                      <w:spacing w:val="0"/>
                      <w:sz w:val="21"/>
                      <w:szCs w:val="21"/>
                      <w:highlight w:val="none"/>
                      <w:lang w:val="en-US" w:eastAsia="zh-CN"/>
                    </w:rPr>
                    <w:t>BOD</w:t>
                  </w:r>
                  <w:r>
                    <w:rPr>
                      <w:rFonts w:hint="default" w:ascii="Times New Roman" w:hAnsi="Times New Roman" w:eastAsia="宋体" w:cs="Times New Roman"/>
                      <w:spacing w:val="0"/>
                      <w:sz w:val="21"/>
                      <w:szCs w:val="21"/>
                      <w:highlight w:val="none"/>
                      <w:vertAlign w:val="subscript"/>
                      <w:lang w:val="en-US" w:eastAsia="zh-CN"/>
                    </w:rPr>
                    <w:t>5</w:t>
                  </w:r>
                </w:p>
              </w:tc>
              <w:tc>
                <w:tcPr>
                  <w:tcW w:w="648" w:type="pct"/>
                  <w:tcBorders>
                    <w:tl2br w:val="nil"/>
                    <w:tr2bl w:val="nil"/>
                  </w:tcBorders>
                  <w:noWrap w:val="0"/>
                  <w:vAlign w:val="center"/>
                </w:tcPr>
                <w:p w14:paraId="082623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lang w:val="en-US" w:eastAsia="zh-CN"/>
                    </w:rPr>
                  </w:pPr>
                  <w:r>
                    <w:rPr>
                      <w:rFonts w:hint="default" w:ascii="Times New Roman" w:hAnsi="Times New Roman" w:eastAsia="宋体" w:cs="Times New Roman"/>
                      <w:spacing w:val="0"/>
                      <w:sz w:val="21"/>
                      <w:szCs w:val="21"/>
                      <w:highlight w:val="none"/>
                      <w:lang w:val="en-US" w:eastAsia="zh-CN"/>
                    </w:rPr>
                    <w:t>氨氮</w:t>
                  </w:r>
                </w:p>
              </w:tc>
              <w:tc>
                <w:tcPr>
                  <w:tcW w:w="664" w:type="pct"/>
                  <w:tcBorders>
                    <w:tl2br w:val="nil"/>
                    <w:tr2bl w:val="nil"/>
                  </w:tcBorders>
                  <w:noWrap w:val="0"/>
                  <w:vAlign w:val="center"/>
                </w:tcPr>
                <w:p w14:paraId="5BBB5B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lang w:val="en-US" w:eastAsia="zh-CN"/>
                    </w:rPr>
                  </w:pPr>
                  <w:r>
                    <w:rPr>
                      <w:rFonts w:hint="default" w:ascii="Times New Roman" w:hAnsi="Times New Roman" w:eastAsia="宋体" w:cs="Times New Roman"/>
                      <w:spacing w:val="0"/>
                      <w:sz w:val="21"/>
                      <w:szCs w:val="21"/>
                      <w:highlight w:val="none"/>
                      <w:lang w:val="en-US" w:eastAsia="zh-CN"/>
                    </w:rPr>
                    <w:t>SS</w:t>
                  </w:r>
                </w:p>
              </w:tc>
            </w:tr>
            <w:tr w14:paraId="77513DC5">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28" w:hRule="atLeast"/>
              </w:trPr>
              <w:tc>
                <w:tcPr>
                  <w:tcW w:w="519" w:type="pct"/>
                  <w:vMerge w:val="restart"/>
                  <w:tcBorders>
                    <w:tl2br w:val="nil"/>
                    <w:tr2bl w:val="nil"/>
                  </w:tcBorders>
                  <w:noWrap w:val="0"/>
                  <w:vAlign w:val="center"/>
                </w:tcPr>
                <w:p w14:paraId="56607A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lang w:val="en-US" w:eastAsia="zh-CN"/>
                    </w:rPr>
                  </w:pPr>
                  <w:r>
                    <w:rPr>
                      <w:rFonts w:hint="default" w:ascii="Times New Roman" w:hAnsi="Times New Roman" w:eastAsia="宋体" w:cs="Times New Roman"/>
                      <w:spacing w:val="0"/>
                      <w:sz w:val="21"/>
                      <w:szCs w:val="21"/>
                      <w:highlight w:val="none"/>
                      <w:lang w:val="en-US" w:eastAsia="zh-CN"/>
                    </w:rPr>
                    <w:t>生活污水</w:t>
                  </w:r>
                </w:p>
              </w:tc>
              <w:tc>
                <w:tcPr>
                  <w:tcW w:w="634" w:type="pct"/>
                  <w:vMerge w:val="restart"/>
                  <w:tcBorders>
                    <w:tl2br w:val="nil"/>
                    <w:tr2bl w:val="nil"/>
                  </w:tcBorders>
                  <w:noWrap w:val="0"/>
                  <w:vAlign w:val="center"/>
                </w:tcPr>
                <w:p w14:paraId="2E0260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lang w:val="en-US" w:eastAsia="zh-CN"/>
                    </w:rPr>
                  </w:pPr>
                  <w:r>
                    <w:rPr>
                      <w:rFonts w:hint="eastAsia" w:ascii="Times New Roman" w:hAnsi="Times New Roman" w:eastAsia="宋体" w:cs="Times New Roman"/>
                      <w:spacing w:val="0"/>
                      <w:sz w:val="21"/>
                      <w:szCs w:val="21"/>
                      <w:highlight w:val="none"/>
                      <w:lang w:val="en-US" w:eastAsia="zh-CN"/>
                    </w:rPr>
                    <w:t>288</w:t>
                  </w:r>
                </w:p>
              </w:tc>
              <w:tc>
                <w:tcPr>
                  <w:tcW w:w="1236" w:type="pct"/>
                  <w:tcBorders>
                    <w:tl2br w:val="nil"/>
                    <w:tr2bl w:val="nil"/>
                  </w:tcBorders>
                  <w:noWrap w:val="0"/>
                  <w:vAlign w:val="center"/>
                </w:tcPr>
                <w:p w14:paraId="7E3F28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lang w:val="en-US" w:eastAsia="zh-CN"/>
                    </w:rPr>
                  </w:pPr>
                  <w:r>
                    <w:rPr>
                      <w:rFonts w:hint="default" w:ascii="Times New Roman" w:hAnsi="Times New Roman" w:eastAsia="宋体" w:cs="Times New Roman"/>
                      <w:spacing w:val="0"/>
                      <w:sz w:val="21"/>
                      <w:szCs w:val="21"/>
                      <w:highlight w:val="none"/>
                      <w:lang w:val="en-US" w:eastAsia="zh-CN"/>
                    </w:rPr>
                    <w:t>产生浓度（mg/L）</w:t>
                  </w:r>
                </w:p>
              </w:tc>
              <w:tc>
                <w:tcPr>
                  <w:tcW w:w="648" w:type="pct"/>
                  <w:tcBorders>
                    <w:tl2br w:val="nil"/>
                    <w:tr2bl w:val="nil"/>
                  </w:tcBorders>
                  <w:noWrap w:val="0"/>
                  <w:vAlign w:val="center"/>
                </w:tcPr>
                <w:p w14:paraId="579835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lang w:val="en-US" w:eastAsia="zh-CN"/>
                    </w:rPr>
                  </w:pPr>
                  <w:r>
                    <w:rPr>
                      <w:rFonts w:hint="eastAsia" w:ascii="Times New Roman" w:hAnsi="Times New Roman" w:eastAsia="宋体" w:cs="Times New Roman"/>
                      <w:spacing w:val="0"/>
                      <w:sz w:val="21"/>
                      <w:szCs w:val="21"/>
                      <w:highlight w:val="none"/>
                      <w:lang w:val="en-US" w:eastAsia="zh-CN"/>
                    </w:rPr>
                    <w:t>313.4</w:t>
                  </w:r>
                </w:p>
              </w:tc>
              <w:tc>
                <w:tcPr>
                  <w:tcW w:w="648" w:type="pct"/>
                  <w:tcBorders>
                    <w:tl2br w:val="nil"/>
                    <w:tr2bl w:val="nil"/>
                  </w:tcBorders>
                  <w:noWrap w:val="0"/>
                  <w:vAlign w:val="center"/>
                </w:tcPr>
                <w:p w14:paraId="3FE33A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lang w:val="en-US" w:eastAsia="zh-CN"/>
                    </w:rPr>
                  </w:pPr>
                  <w:r>
                    <w:rPr>
                      <w:rFonts w:hint="eastAsia" w:ascii="Times New Roman" w:hAnsi="Times New Roman" w:eastAsia="宋体" w:cs="Times New Roman"/>
                      <w:spacing w:val="0"/>
                      <w:sz w:val="21"/>
                      <w:szCs w:val="21"/>
                      <w:highlight w:val="none"/>
                      <w:lang w:val="en-US" w:eastAsia="zh-CN"/>
                    </w:rPr>
                    <w:t>114.2</w:t>
                  </w:r>
                </w:p>
              </w:tc>
              <w:tc>
                <w:tcPr>
                  <w:tcW w:w="648" w:type="pct"/>
                  <w:tcBorders>
                    <w:tl2br w:val="nil"/>
                    <w:tr2bl w:val="nil"/>
                  </w:tcBorders>
                  <w:noWrap w:val="0"/>
                  <w:vAlign w:val="center"/>
                </w:tcPr>
                <w:p w14:paraId="367B36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lang w:val="en-US" w:eastAsia="zh-CN"/>
                    </w:rPr>
                  </w:pPr>
                  <w:r>
                    <w:rPr>
                      <w:rFonts w:hint="eastAsia" w:ascii="Times New Roman" w:hAnsi="Times New Roman" w:eastAsia="宋体" w:cs="Times New Roman"/>
                      <w:spacing w:val="0"/>
                      <w:sz w:val="21"/>
                      <w:szCs w:val="21"/>
                      <w:highlight w:val="none"/>
                      <w:lang w:val="en-US" w:eastAsia="zh-CN"/>
                    </w:rPr>
                    <w:t>47.7</w:t>
                  </w:r>
                </w:p>
              </w:tc>
              <w:tc>
                <w:tcPr>
                  <w:tcW w:w="664" w:type="pct"/>
                  <w:tcBorders>
                    <w:tl2br w:val="nil"/>
                    <w:tr2bl w:val="nil"/>
                  </w:tcBorders>
                  <w:noWrap w:val="0"/>
                  <w:vAlign w:val="center"/>
                </w:tcPr>
                <w:p w14:paraId="76C67E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lang w:val="en-US" w:eastAsia="zh-CN"/>
                    </w:rPr>
                  </w:pPr>
                  <w:r>
                    <w:rPr>
                      <w:rFonts w:hint="eastAsia" w:ascii="Times New Roman" w:hAnsi="Times New Roman" w:eastAsia="宋体" w:cs="Times New Roman"/>
                      <w:spacing w:val="0"/>
                      <w:sz w:val="21"/>
                      <w:szCs w:val="21"/>
                      <w:highlight w:val="none"/>
                      <w:lang w:val="en-US" w:eastAsia="zh-CN"/>
                    </w:rPr>
                    <w:t>194.7</w:t>
                  </w:r>
                </w:p>
              </w:tc>
            </w:tr>
            <w:tr w14:paraId="0CF48BFF">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28" w:hRule="atLeast"/>
              </w:trPr>
              <w:tc>
                <w:tcPr>
                  <w:tcW w:w="519" w:type="pct"/>
                  <w:vMerge w:val="continue"/>
                  <w:tcBorders>
                    <w:tl2br w:val="nil"/>
                    <w:tr2bl w:val="nil"/>
                  </w:tcBorders>
                  <w:noWrap w:val="0"/>
                  <w:vAlign w:val="center"/>
                </w:tcPr>
                <w:p w14:paraId="1F245F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rPr>
                  </w:pPr>
                </w:p>
              </w:tc>
              <w:tc>
                <w:tcPr>
                  <w:tcW w:w="634" w:type="pct"/>
                  <w:vMerge w:val="continue"/>
                  <w:tcBorders>
                    <w:tl2br w:val="nil"/>
                    <w:tr2bl w:val="nil"/>
                  </w:tcBorders>
                  <w:noWrap w:val="0"/>
                  <w:vAlign w:val="center"/>
                </w:tcPr>
                <w:p w14:paraId="04B88B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rPr>
                  </w:pPr>
                </w:p>
              </w:tc>
              <w:tc>
                <w:tcPr>
                  <w:tcW w:w="1236" w:type="pct"/>
                  <w:tcBorders>
                    <w:tl2br w:val="nil"/>
                    <w:tr2bl w:val="nil"/>
                  </w:tcBorders>
                  <w:noWrap w:val="0"/>
                  <w:vAlign w:val="center"/>
                </w:tcPr>
                <w:p w14:paraId="35DD11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lang w:val="en-US" w:eastAsia="zh-CN"/>
                    </w:rPr>
                  </w:pPr>
                  <w:r>
                    <w:rPr>
                      <w:rFonts w:hint="default" w:ascii="Times New Roman" w:hAnsi="Times New Roman" w:eastAsia="宋体" w:cs="Times New Roman"/>
                      <w:spacing w:val="0"/>
                      <w:sz w:val="21"/>
                      <w:szCs w:val="21"/>
                      <w:highlight w:val="none"/>
                      <w:lang w:val="en-US" w:eastAsia="zh-CN"/>
                    </w:rPr>
                    <w:t>产生量（t/a）</w:t>
                  </w:r>
                </w:p>
              </w:tc>
              <w:tc>
                <w:tcPr>
                  <w:tcW w:w="648" w:type="pct"/>
                  <w:tcBorders>
                    <w:tl2br w:val="nil"/>
                    <w:tr2bl w:val="nil"/>
                  </w:tcBorders>
                  <w:noWrap w:val="0"/>
                  <w:vAlign w:val="center"/>
                </w:tcPr>
                <w:p w14:paraId="014591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lang w:val="en-US" w:eastAsia="zh-CN"/>
                    </w:rPr>
                  </w:pPr>
                  <w:r>
                    <w:rPr>
                      <w:rFonts w:hint="eastAsia" w:ascii="Times New Roman" w:hAnsi="Times New Roman" w:eastAsia="宋体" w:cs="Times New Roman"/>
                      <w:spacing w:val="0"/>
                      <w:sz w:val="21"/>
                      <w:szCs w:val="21"/>
                      <w:highlight w:val="none"/>
                      <w:lang w:val="en-US" w:eastAsia="zh-CN"/>
                    </w:rPr>
                    <w:t>0.090</w:t>
                  </w:r>
                </w:p>
              </w:tc>
              <w:tc>
                <w:tcPr>
                  <w:tcW w:w="648" w:type="pct"/>
                  <w:tcBorders>
                    <w:tl2br w:val="nil"/>
                    <w:tr2bl w:val="nil"/>
                  </w:tcBorders>
                  <w:noWrap w:val="0"/>
                  <w:vAlign w:val="center"/>
                </w:tcPr>
                <w:p w14:paraId="360F73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lang w:val="en-US" w:eastAsia="zh-CN"/>
                    </w:rPr>
                  </w:pPr>
                  <w:r>
                    <w:rPr>
                      <w:rFonts w:hint="eastAsia" w:ascii="Times New Roman" w:hAnsi="Times New Roman" w:eastAsia="宋体" w:cs="Times New Roman"/>
                      <w:spacing w:val="0"/>
                      <w:sz w:val="21"/>
                      <w:szCs w:val="21"/>
                      <w:highlight w:val="none"/>
                      <w:lang w:val="en-US" w:eastAsia="zh-CN"/>
                    </w:rPr>
                    <w:t>0.033</w:t>
                  </w:r>
                </w:p>
              </w:tc>
              <w:tc>
                <w:tcPr>
                  <w:tcW w:w="648" w:type="pct"/>
                  <w:tcBorders>
                    <w:tl2br w:val="nil"/>
                    <w:tr2bl w:val="nil"/>
                  </w:tcBorders>
                  <w:noWrap w:val="0"/>
                  <w:vAlign w:val="center"/>
                </w:tcPr>
                <w:p w14:paraId="1B0BD1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lang w:val="en-US" w:eastAsia="zh-CN"/>
                    </w:rPr>
                  </w:pPr>
                  <w:r>
                    <w:rPr>
                      <w:rFonts w:hint="eastAsia" w:ascii="Times New Roman" w:hAnsi="Times New Roman" w:eastAsia="宋体" w:cs="Times New Roman"/>
                      <w:spacing w:val="0"/>
                      <w:sz w:val="21"/>
                      <w:szCs w:val="21"/>
                      <w:highlight w:val="none"/>
                      <w:lang w:val="en-US" w:eastAsia="zh-CN"/>
                    </w:rPr>
                    <w:t>0.014</w:t>
                  </w:r>
                </w:p>
              </w:tc>
              <w:tc>
                <w:tcPr>
                  <w:tcW w:w="664" w:type="pct"/>
                  <w:tcBorders>
                    <w:tl2br w:val="nil"/>
                    <w:tr2bl w:val="nil"/>
                  </w:tcBorders>
                  <w:noWrap w:val="0"/>
                  <w:vAlign w:val="center"/>
                </w:tcPr>
                <w:p w14:paraId="0DB542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pacing w:val="0"/>
                      <w:sz w:val="21"/>
                      <w:szCs w:val="21"/>
                      <w:highlight w:val="none"/>
                      <w:lang w:val="en-US" w:eastAsia="zh-CN"/>
                    </w:rPr>
                  </w:pPr>
                  <w:r>
                    <w:rPr>
                      <w:rFonts w:hint="eastAsia" w:ascii="Times New Roman" w:hAnsi="Times New Roman" w:eastAsia="宋体" w:cs="Times New Roman"/>
                      <w:spacing w:val="0"/>
                      <w:sz w:val="21"/>
                      <w:szCs w:val="21"/>
                      <w:highlight w:val="none"/>
                      <w:lang w:val="en-US" w:eastAsia="zh-CN"/>
                    </w:rPr>
                    <w:t>0.056</w:t>
                  </w:r>
                </w:p>
              </w:tc>
            </w:tr>
            <w:tr w14:paraId="76A5B4C8">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28" w:hRule="atLeast"/>
              </w:trPr>
              <w:tc>
                <w:tcPr>
                  <w:tcW w:w="5000" w:type="pct"/>
                  <w:gridSpan w:val="7"/>
                  <w:tcBorders>
                    <w:tl2br w:val="nil"/>
                    <w:tr2bl w:val="nil"/>
                  </w:tcBorders>
                  <w:noWrap w:val="0"/>
                  <w:vAlign w:val="center"/>
                </w:tcPr>
                <w:p w14:paraId="41998C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pacing w:val="0"/>
                      <w:sz w:val="21"/>
                      <w:szCs w:val="21"/>
                      <w:highlight w:val="none"/>
                      <w:lang w:val="en-US" w:eastAsia="zh-CN"/>
                    </w:rPr>
                  </w:pPr>
                  <w:r>
                    <w:rPr>
                      <w:rFonts w:hint="eastAsia" w:ascii="Times New Roman" w:hAnsi="Times New Roman" w:eastAsia="宋体" w:cs="Times New Roman"/>
                      <w:spacing w:val="0"/>
                      <w:kern w:val="2"/>
                      <w:sz w:val="21"/>
                      <w:szCs w:val="21"/>
                      <w:highlight w:val="none"/>
                      <w:lang w:val="en-US" w:eastAsia="zh-CN" w:bidi="ar-SA"/>
                    </w:rPr>
                    <w:t>SS产生浓度参考《社会区域类影响评价/环境影响评价工程师职业资格登记培训教材》中房地产项目取值；CODcr、BOD</w:t>
                  </w:r>
                  <w:r>
                    <w:rPr>
                      <w:rFonts w:hint="eastAsia" w:ascii="Times New Roman" w:hAnsi="Times New Roman" w:eastAsia="宋体" w:cs="Times New Roman"/>
                      <w:spacing w:val="0"/>
                      <w:kern w:val="2"/>
                      <w:sz w:val="21"/>
                      <w:szCs w:val="21"/>
                      <w:highlight w:val="none"/>
                      <w:vertAlign w:val="subscript"/>
                      <w:lang w:val="en-US" w:eastAsia="zh-CN" w:bidi="ar-SA"/>
                    </w:rPr>
                    <w:t>5</w:t>
                  </w:r>
                  <w:r>
                    <w:rPr>
                      <w:rFonts w:hint="eastAsia" w:ascii="Times New Roman" w:hAnsi="Times New Roman" w:eastAsia="宋体" w:cs="Times New Roman"/>
                      <w:spacing w:val="0"/>
                      <w:kern w:val="2"/>
                      <w:sz w:val="21"/>
                      <w:szCs w:val="21"/>
                      <w:highlight w:val="none"/>
                      <w:lang w:val="en-US" w:eastAsia="zh-CN" w:bidi="ar-SA"/>
                    </w:rPr>
                    <w:t>、氨氮、TP、TN参考《排放源统计调查产排污核算方法和系数手册》中“集中式污染治理设施产排污系数手册”巴州污水处理厂进水水质浓度，则本项目生活污水产生浓度为COD313.4mg/L、氨氮47.7mg/L、BOD</w:t>
                  </w:r>
                  <w:r>
                    <w:rPr>
                      <w:rFonts w:hint="eastAsia" w:ascii="Times New Roman" w:hAnsi="Times New Roman" w:eastAsia="宋体" w:cs="Times New Roman"/>
                      <w:spacing w:val="0"/>
                      <w:kern w:val="2"/>
                      <w:sz w:val="21"/>
                      <w:szCs w:val="21"/>
                      <w:highlight w:val="none"/>
                      <w:vertAlign w:val="subscript"/>
                      <w:lang w:val="en-US" w:eastAsia="zh-CN" w:bidi="ar-SA"/>
                    </w:rPr>
                    <w:t>5</w:t>
                  </w:r>
                  <w:r>
                    <w:rPr>
                      <w:rFonts w:hint="eastAsia" w:ascii="Times New Roman" w:hAnsi="Times New Roman" w:eastAsia="宋体" w:cs="Times New Roman"/>
                      <w:spacing w:val="0"/>
                      <w:kern w:val="2"/>
                      <w:sz w:val="21"/>
                      <w:szCs w:val="21"/>
                      <w:highlight w:val="none"/>
                      <w:lang w:val="en-US" w:eastAsia="zh-CN" w:bidi="ar-SA"/>
                    </w:rPr>
                    <w:t>114.2mg/L、SS194.7mg/L。</w:t>
                  </w:r>
                </w:p>
              </w:tc>
            </w:tr>
          </w:tbl>
          <w:p w14:paraId="714D9DD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both"/>
              <w:textAlignment w:val="auto"/>
              <w:rPr>
                <w:rFonts w:hint="eastAsia" w:ascii="宋体" w:hAnsi="宋体" w:eastAsia="宋体" w:cs="宋体"/>
                <w:b/>
                <w:bCs w:val="0"/>
                <w:color w:val="000000"/>
                <w:kern w:val="24"/>
                <w:sz w:val="24"/>
                <w:szCs w:val="24"/>
                <w:highlight w:val="none"/>
                <w:lang w:val="en-US" w:eastAsia="zh-CN" w:bidi="ar-SA"/>
              </w:rPr>
            </w:pPr>
            <w:r>
              <w:rPr>
                <w:rFonts w:hint="default" w:ascii="Times New Roman" w:hAnsi="Times New Roman" w:eastAsia="宋体" w:cs="Times New Roman"/>
                <w:b/>
                <w:bCs w:val="0"/>
                <w:color w:val="000000"/>
                <w:kern w:val="24"/>
                <w:sz w:val="24"/>
                <w:szCs w:val="24"/>
                <w:highlight w:val="none"/>
                <w:lang w:val="en-US" w:eastAsia="zh-CN" w:bidi="ar-SA"/>
              </w:rPr>
              <w:t>2.</w:t>
            </w:r>
            <w:r>
              <w:rPr>
                <w:rFonts w:hint="eastAsia" w:ascii="Times New Roman" w:hAnsi="Times New Roman" w:eastAsia="宋体" w:cs="Times New Roman"/>
                <w:b/>
                <w:bCs w:val="0"/>
                <w:color w:val="000000"/>
                <w:kern w:val="24"/>
                <w:sz w:val="24"/>
                <w:szCs w:val="24"/>
                <w:highlight w:val="none"/>
                <w:lang w:val="en-US" w:eastAsia="zh-CN" w:bidi="ar-SA"/>
              </w:rPr>
              <w:t>2</w:t>
            </w:r>
            <w:r>
              <w:rPr>
                <w:rFonts w:hint="eastAsia" w:ascii="宋体" w:hAnsi="宋体" w:eastAsia="宋体" w:cs="宋体"/>
                <w:b/>
                <w:bCs w:val="0"/>
                <w:color w:val="000000"/>
                <w:kern w:val="24"/>
                <w:sz w:val="24"/>
                <w:szCs w:val="24"/>
                <w:highlight w:val="none"/>
                <w:lang w:val="en-US" w:eastAsia="zh-CN" w:bidi="ar-SA"/>
              </w:rPr>
              <w:t>依托污水处理可行性分析</w:t>
            </w:r>
          </w:p>
          <w:p w14:paraId="4FA0947A">
            <w:pPr>
              <w:keepNext/>
              <w:keepLines/>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cs="Times New Roman"/>
                <w:bCs/>
                <w:color w:val="auto"/>
                <w:sz w:val="24"/>
                <w:highlight w:val="none"/>
                <w:lang w:val="en-US" w:eastAsia="zh-CN"/>
              </w:rPr>
              <w:t>根据</w:t>
            </w:r>
            <w:r>
              <w:rPr>
                <w:rFonts w:hint="default" w:ascii="Times New Roman" w:hAnsi="Times New Roman" w:cs="Times New Roman"/>
                <w:bCs/>
                <w:color w:val="auto"/>
                <w:sz w:val="24"/>
                <w:highlight w:val="none"/>
              </w:rPr>
              <w:t>《</w:t>
            </w:r>
            <w:r>
              <w:rPr>
                <w:rFonts w:hint="default" w:ascii="Times New Roman" w:hAnsi="Times New Roman" w:cs="Times New Roman"/>
                <w:bCs/>
                <w:color w:val="auto"/>
                <w:sz w:val="24"/>
                <w:highlight w:val="none"/>
                <w:lang w:val="en-US" w:eastAsia="zh-CN"/>
              </w:rPr>
              <w:t>关于</w:t>
            </w:r>
            <w:r>
              <w:rPr>
                <w:rFonts w:hint="default" w:ascii="Times New Roman" w:hAnsi="Times New Roman" w:cs="Times New Roman"/>
                <w:bCs/>
                <w:color w:val="auto"/>
                <w:sz w:val="24"/>
                <w:highlight w:val="none"/>
              </w:rPr>
              <w:t>和静县污水收集及污水厂提标改造工程环境影响报告书的批复》</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rPr>
              <w:t>新环函</w:t>
            </w:r>
            <w:r>
              <w:rPr>
                <w:rFonts w:hint="default" w:ascii="Times New Roman" w:hAnsi="Times New Roman" w:cs="Times New Roman"/>
                <w:bCs/>
                <w:color w:val="auto"/>
                <w:sz w:val="24"/>
                <w:highlight w:val="none"/>
                <w:lang w:eastAsia="zh-CN"/>
              </w:rPr>
              <w:t>〔2017〕1770号）</w:t>
            </w:r>
            <w:r>
              <w:rPr>
                <w:rFonts w:hint="default" w:ascii="Times New Roman" w:hAnsi="Times New Roman" w:cs="Times New Roman"/>
                <w:bCs/>
                <w:color w:val="auto"/>
                <w:sz w:val="24"/>
                <w:highlight w:val="none"/>
              </w:rPr>
              <w:t>，</w:t>
            </w:r>
            <w:r>
              <w:rPr>
                <w:rFonts w:hint="default" w:ascii="Times New Roman" w:hAnsi="Times New Roman" w:cs="Times New Roman"/>
                <w:bCs/>
                <w:color w:val="auto"/>
                <w:sz w:val="24"/>
                <w:highlight w:val="none"/>
                <w:lang w:val="en-US" w:eastAsia="zh-CN"/>
              </w:rPr>
              <w:t>和静县</w:t>
            </w:r>
            <w:r>
              <w:rPr>
                <w:rFonts w:hint="default" w:ascii="Times New Roman" w:hAnsi="Times New Roman" w:cs="Times New Roman"/>
                <w:bCs/>
                <w:color w:val="auto"/>
                <w:sz w:val="24"/>
                <w:highlight w:val="none"/>
              </w:rPr>
              <w:t>污水处理厂接纳和静县中心城区、和静工业园区</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rPr>
              <w:t>哈尔莫敦矿业片区、新兴产业区、额勒再特工业片区</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rPr>
              <w:t>、县道279沿线额勒再特乡、养殖场、巩哈拉村小学、拉布润及夏尔布鲁克村周边乡镇废水。采用A</w:t>
            </w:r>
            <w:r>
              <w:rPr>
                <w:rFonts w:hint="default" w:ascii="Times New Roman" w:hAnsi="Times New Roman" w:cs="Times New Roman"/>
                <w:bCs/>
                <w:color w:val="auto"/>
                <w:sz w:val="24"/>
                <w:highlight w:val="none"/>
                <w:vertAlign w:val="superscript"/>
              </w:rPr>
              <w:t>2</w:t>
            </w:r>
            <w:r>
              <w:rPr>
                <w:rFonts w:hint="default" w:ascii="Times New Roman" w:hAnsi="Times New Roman" w:cs="Times New Roman"/>
                <w:bCs/>
                <w:color w:val="auto"/>
                <w:sz w:val="24"/>
                <w:highlight w:val="none"/>
              </w:rPr>
              <w:t>/O生物池</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rPr>
              <w:t>氧化沟、二沉池改造</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rPr>
              <w:t>+MBR膜池工艺处理，排水达到《城镇污水处理厂污染物排放标准》（GB 18918-2002）中的一级A标准，设计处理规模2万m</w:t>
            </w:r>
            <w:r>
              <w:rPr>
                <w:rFonts w:hint="default" w:ascii="Times New Roman" w:hAnsi="Times New Roman" w:cs="Times New Roman"/>
                <w:bCs/>
                <w:color w:val="auto"/>
                <w:sz w:val="24"/>
                <w:highlight w:val="none"/>
                <w:vertAlign w:val="superscript"/>
                <w:lang w:val="en-US" w:eastAsia="zh-CN"/>
              </w:rPr>
              <w:t>3</w:t>
            </w:r>
            <w:r>
              <w:rPr>
                <w:rFonts w:hint="default" w:ascii="Times New Roman" w:hAnsi="Times New Roman" w:cs="Times New Roman"/>
                <w:bCs/>
                <w:color w:val="auto"/>
                <w:sz w:val="24"/>
                <w:highlight w:val="none"/>
                <w:vertAlign w:val="baseline"/>
                <w:lang w:val="en-US" w:eastAsia="zh-CN"/>
              </w:rPr>
              <w:t>/</w:t>
            </w:r>
            <w:r>
              <w:rPr>
                <w:rFonts w:hint="default" w:ascii="Times New Roman" w:hAnsi="Times New Roman" w:cs="Times New Roman"/>
                <w:bCs/>
                <w:color w:val="auto"/>
                <w:sz w:val="24"/>
                <w:highlight w:val="none"/>
              </w:rPr>
              <w:t>d。</w:t>
            </w:r>
            <w:r>
              <w:rPr>
                <w:rFonts w:hint="default" w:ascii="Times New Roman" w:hAnsi="Times New Roman" w:eastAsia="宋体" w:cs="Times New Roman"/>
                <w:bCs/>
                <w:color w:val="auto"/>
                <w:sz w:val="24"/>
                <w:highlight w:val="none"/>
                <w:lang w:val="en-US" w:eastAsia="zh-CN"/>
              </w:rPr>
              <w:t>进水水质：县城</w:t>
            </w:r>
            <w:r>
              <w:rPr>
                <w:rFonts w:hint="default" w:ascii="Times New Roman" w:hAnsi="Times New Roman" w:cs="Times New Roman"/>
                <w:bCs/>
                <w:color w:val="auto"/>
                <w:sz w:val="24"/>
                <w:highlight w:val="none"/>
                <w:lang w:val="en-US" w:eastAsia="zh-CN"/>
              </w:rPr>
              <w:t>生活污水</w:t>
            </w:r>
            <w:r>
              <w:rPr>
                <w:rFonts w:hint="default" w:ascii="Times New Roman" w:hAnsi="Times New Roman" w:eastAsia="宋体" w:cs="Times New Roman"/>
                <w:bCs/>
                <w:color w:val="auto"/>
                <w:sz w:val="24"/>
                <w:highlight w:val="none"/>
                <w:lang w:val="en-US" w:eastAsia="zh-CN"/>
              </w:rPr>
              <w:t>主要污染物指标按照《污水排入城镇下水道水质标准》</w:t>
            </w:r>
            <w:r>
              <w:rPr>
                <w:rFonts w:hint="default" w:ascii="Times New Roman" w:hAnsi="Times New Roman"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GB/T31962-2015</w:t>
            </w:r>
            <w:r>
              <w:rPr>
                <w:rFonts w:hint="default" w:ascii="Times New Roman" w:hAnsi="Times New Roman"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控制，园区内企业产生的废水有行业标准的需达到行业标准后允许排入园区管网无行业标准的需达到《污水综合排放标准》</w:t>
            </w:r>
            <w:r>
              <w:rPr>
                <w:rFonts w:hint="default" w:ascii="Times New Roman" w:hAnsi="Times New Roman"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GB 8978-1996</w:t>
            </w:r>
            <w:r>
              <w:rPr>
                <w:rFonts w:hint="default" w:ascii="Times New Roman" w:hAnsi="Times New Roman"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中的三级标准后可排入园区管网，进入污水处理厂进行进一步处理。</w:t>
            </w:r>
            <w:r>
              <w:rPr>
                <w:rFonts w:hint="eastAsia" w:cs="Times New Roman"/>
                <w:bCs/>
                <w:color w:val="auto"/>
                <w:sz w:val="24"/>
                <w:highlight w:val="none"/>
                <w:lang w:val="en-US" w:eastAsia="zh-CN"/>
              </w:rPr>
              <w:t>和静县污水处理厂已完成竣工环保验收工作，并取得排污许可证，许可证编号：91652827MA77724EXT001Y。</w:t>
            </w:r>
          </w:p>
          <w:p w14:paraId="7B696409">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drawing>
                <wp:inline distT="0" distB="0" distL="114300" distR="114300">
                  <wp:extent cx="5436235" cy="3560445"/>
                  <wp:effectExtent l="0" t="0" r="12065" b="190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2"/>
                          <a:stretch>
                            <a:fillRect/>
                          </a:stretch>
                        </pic:blipFill>
                        <pic:spPr>
                          <a:xfrm>
                            <a:off x="0" y="0"/>
                            <a:ext cx="5436235" cy="3560445"/>
                          </a:xfrm>
                          <a:prstGeom prst="rect">
                            <a:avLst/>
                          </a:prstGeom>
                          <a:noFill/>
                          <a:ln>
                            <a:noFill/>
                          </a:ln>
                        </pic:spPr>
                      </pic:pic>
                    </a:graphicData>
                  </a:graphic>
                </wp:inline>
              </w:drawing>
            </w:r>
          </w:p>
          <w:p w14:paraId="1D4FC5F4">
            <w:pPr>
              <w:keepNext/>
              <w:keepLines/>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宋体" w:cs="Times New Roman"/>
                <w:b/>
                <w:bCs w:val="0"/>
                <w:color w:val="auto"/>
                <w:kern w:val="2"/>
                <w:sz w:val="24"/>
                <w:szCs w:val="24"/>
                <w:highlight w:val="none"/>
                <w:lang w:val="en-US" w:eastAsia="zh-CN" w:bidi="ar-SA"/>
              </w:rPr>
            </w:pPr>
            <w:r>
              <w:rPr>
                <w:rFonts w:hint="eastAsia" w:ascii="Times New Roman" w:hAnsi="Times New Roman" w:eastAsia="宋体" w:cs="Times New Roman"/>
                <w:b/>
                <w:bCs w:val="0"/>
                <w:color w:val="auto"/>
                <w:kern w:val="2"/>
                <w:sz w:val="24"/>
                <w:szCs w:val="24"/>
                <w:highlight w:val="none"/>
                <w:lang w:val="en-US" w:eastAsia="zh-CN" w:bidi="ar-SA"/>
              </w:rPr>
              <w:t>图4-1     和静县污水处理厂工艺流程图</w:t>
            </w:r>
          </w:p>
          <w:p w14:paraId="48AF2264">
            <w:pPr>
              <w:keepNext/>
              <w:keepLines/>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Times New Roman" w:hAnsi="Times New Roman" w:eastAsia="宋体" w:cs="Times New Roman"/>
                <w:b/>
                <w:bCs/>
                <w:kern w:val="2"/>
                <w:sz w:val="24"/>
                <w:szCs w:val="32"/>
                <w:highlight w:val="none"/>
                <w:lang w:val="en-US" w:eastAsia="zh-CN" w:bidi="ar-SA"/>
              </w:rPr>
            </w:pPr>
            <w:r>
              <w:rPr>
                <w:rFonts w:hint="eastAsia" w:ascii="Times New Roman" w:hAnsi="Times New Roman" w:eastAsia="宋体" w:cs="Times New Roman"/>
                <w:b w:val="0"/>
                <w:bCs/>
                <w:color w:val="auto"/>
                <w:kern w:val="2"/>
                <w:sz w:val="24"/>
                <w:szCs w:val="24"/>
                <w:highlight w:val="none"/>
                <w:lang w:val="en-US" w:eastAsia="zh-CN" w:bidi="ar-SA"/>
              </w:rPr>
              <w:t>本项目污水排放量为</w:t>
            </w:r>
            <w:r>
              <w:rPr>
                <w:rFonts w:hint="eastAsia" w:ascii="Times New Roman" w:hAnsi="Times New Roman" w:eastAsia="宋体" w:cs="Times New Roman"/>
                <w:bCs/>
                <w:sz w:val="24"/>
                <w:highlight w:val="none"/>
                <w:lang w:val="en-US" w:eastAsia="zh-CN"/>
              </w:rPr>
              <w:t>288</w:t>
            </w:r>
            <w:r>
              <w:rPr>
                <w:rFonts w:hint="default" w:ascii="Times New Roman" w:hAnsi="Times New Roman" w:eastAsia="宋体" w:cs="Times New Roman"/>
                <w:color w:val="000000"/>
                <w:spacing w:val="0"/>
                <w:kern w:val="0"/>
                <w:position w:val="0"/>
                <w:sz w:val="24"/>
                <w:szCs w:val="24"/>
                <w:highlight w:val="none"/>
                <w:lang w:val="en-US" w:eastAsia="zh-CN" w:bidi="zh-CN"/>
              </w:rPr>
              <w:t>m</w:t>
            </w:r>
            <w:r>
              <w:rPr>
                <w:rFonts w:hint="default" w:ascii="Times New Roman" w:hAnsi="Times New Roman" w:eastAsia="宋体" w:cs="Times New Roman"/>
                <w:color w:val="000000"/>
                <w:spacing w:val="0"/>
                <w:kern w:val="0"/>
                <w:position w:val="0"/>
                <w:sz w:val="24"/>
                <w:szCs w:val="24"/>
                <w:highlight w:val="none"/>
                <w:vertAlign w:val="superscript"/>
                <w:lang w:val="en-US" w:eastAsia="zh-CN" w:bidi="zh-CN"/>
              </w:rPr>
              <w:t>3</w:t>
            </w:r>
            <w:r>
              <w:rPr>
                <w:rFonts w:hint="eastAsia" w:ascii="Times New Roman" w:hAnsi="Times New Roman" w:eastAsia="宋体" w:cs="Times New Roman"/>
                <w:bCs/>
                <w:sz w:val="24"/>
                <w:highlight w:val="none"/>
              </w:rPr>
              <w:t>/a</w:t>
            </w:r>
            <w:r>
              <w:rPr>
                <w:rFonts w:hint="eastAsia" w:ascii="Times New Roman" w:hAnsi="Times New Roman" w:eastAsia="宋体" w:cs="Times New Roman"/>
                <w:bCs/>
                <w:sz w:val="24"/>
                <w:highlight w:val="none"/>
                <w:lang w:eastAsia="zh-CN"/>
              </w:rPr>
              <w:t>（</w:t>
            </w:r>
            <w:r>
              <w:rPr>
                <w:rFonts w:hint="eastAsia" w:ascii="Times New Roman" w:hAnsi="Times New Roman" w:eastAsia="宋体" w:cs="Times New Roman"/>
                <w:bCs/>
                <w:sz w:val="24"/>
                <w:highlight w:val="none"/>
                <w:lang w:val="en-US" w:eastAsia="zh-CN"/>
              </w:rPr>
              <w:t>0.96</w:t>
            </w:r>
            <w:r>
              <w:rPr>
                <w:rFonts w:hint="default" w:ascii="Times New Roman" w:hAnsi="Times New Roman" w:eastAsia="宋体" w:cs="Times New Roman"/>
                <w:color w:val="000000"/>
                <w:spacing w:val="0"/>
                <w:kern w:val="0"/>
                <w:position w:val="0"/>
                <w:sz w:val="24"/>
                <w:szCs w:val="24"/>
                <w:highlight w:val="none"/>
                <w:lang w:val="en-US" w:eastAsia="zh-CN" w:bidi="zh-CN"/>
              </w:rPr>
              <w:t>m</w:t>
            </w:r>
            <w:r>
              <w:rPr>
                <w:rFonts w:hint="default" w:ascii="Times New Roman" w:hAnsi="Times New Roman" w:eastAsia="宋体" w:cs="Times New Roman"/>
                <w:color w:val="000000"/>
                <w:spacing w:val="0"/>
                <w:kern w:val="0"/>
                <w:position w:val="0"/>
                <w:sz w:val="24"/>
                <w:szCs w:val="24"/>
                <w:highlight w:val="none"/>
                <w:vertAlign w:val="superscript"/>
                <w:lang w:val="en-US" w:eastAsia="zh-CN" w:bidi="zh-CN"/>
              </w:rPr>
              <w:t>3</w:t>
            </w:r>
            <w:r>
              <w:rPr>
                <w:rFonts w:hint="default" w:ascii="Times New Roman" w:hAnsi="Times New Roman" w:eastAsia="宋体" w:cs="Times New Roman"/>
                <w:color w:val="000000"/>
                <w:spacing w:val="0"/>
                <w:kern w:val="0"/>
                <w:position w:val="0"/>
                <w:sz w:val="24"/>
                <w:szCs w:val="24"/>
                <w:highlight w:val="none"/>
                <w:lang w:val="en-US" w:eastAsia="zh-CN" w:bidi="zh-CN"/>
              </w:rPr>
              <w:t>/d</w:t>
            </w:r>
            <w:r>
              <w:rPr>
                <w:rFonts w:hint="eastAsia" w:ascii="Times New Roman" w:hAnsi="Times New Roman" w:eastAsia="宋体" w:cs="Times New Roman"/>
                <w:bCs/>
                <w:sz w:val="24"/>
                <w:highlight w:val="none"/>
                <w:lang w:eastAsia="zh-CN"/>
              </w:rPr>
              <w:t>）</w:t>
            </w:r>
            <w:r>
              <w:rPr>
                <w:rFonts w:hint="eastAsia" w:ascii="Times New Roman" w:hAnsi="Times New Roman" w:eastAsia="宋体" w:cs="Times New Roman"/>
                <w:b w:val="0"/>
                <w:bCs/>
                <w:color w:val="auto"/>
                <w:kern w:val="2"/>
                <w:sz w:val="24"/>
                <w:szCs w:val="24"/>
                <w:highlight w:val="none"/>
                <w:lang w:val="en-US" w:eastAsia="zh-CN" w:bidi="ar-SA"/>
              </w:rPr>
              <w:t>，和静县污水处理厂设计处理规模为2.0万m</w:t>
            </w:r>
            <w:r>
              <w:rPr>
                <w:rFonts w:hint="eastAsia" w:ascii="Times New Roman" w:hAnsi="Times New Roman" w:eastAsia="宋体" w:cs="Times New Roman"/>
                <w:b w:val="0"/>
                <w:bCs/>
                <w:color w:val="auto"/>
                <w:kern w:val="2"/>
                <w:sz w:val="24"/>
                <w:szCs w:val="24"/>
                <w:highlight w:val="none"/>
                <w:vertAlign w:val="superscript"/>
                <w:lang w:val="en-US" w:eastAsia="zh-CN" w:bidi="ar-SA"/>
              </w:rPr>
              <w:t>3</w:t>
            </w:r>
            <w:r>
              <w:rPr>
                <w:rFonts w:hint="eastAsia" w:ascii="Times New Roman" w:hAnsi="Times New Roman" w:eastAsia="宋体" w:cs="Times New Roman"/>
                <w:b w:val="0"/>
                <w:bCs/>
                <w:color w:val="auto"/>
                <w:kern w:val="2"/>
                <w:sz w:val="24"/>
                <w:szCs w:val="24"/>
                <w:highlight w:val="none"/>
                <w:lang w:val="en-US" w:eastAsia="zh-CN" w:bidi="ar-SA"/>
              </w:rPr>
              <w:t>/a，目前实际进水量约为1.0万m</w:t>
            </w:r>
            <w:r>
              <w:rPr>
                <w:rFonts w:hint="eastAsia" w:ascii="Times New Roman" w:hAnsi="Times New Roman" w:eastAsia="宋体" w:cs="Times New Roman"/>
                <w:b w:val="0"/>
                <w:bCs/>
                <w:color w:val="auto"/>
                <w:kern w:val="2"/>
                <w:sz w:val="24"/>
                <w:szCs w:val="24"/>
                <w:highlight w:val="none"/>
                <w:vertAlign w:val="superscript"/>
                <w:lang w:val="en-US" w:eastAsia="zh-CN" w:bidi="ar-SA"/>
              </w:rPr>
              <w:t>3</w:t>
            </w:r>
            <w:r>
              <w:rPr>
                <w:rFonts w:hint="eastAsia" w:ascii="Times New Roman" w:hAnsi="Times New Roman" w:eastAsia="宋体" w:cs="Times New Roman"/>
                <w:b w:val="0"/>
                <w:bCs/>
                <w:color w:val="auto"/>
                <w:kern w:val="2"/>
                <w:sz w:val="24"/>
                <w:szCs w:val="24"/>
                <w:highlight w:val="none"/>
                <w:lang w:val="en-US" w:eastAsia="zh-CN" w:bidi="ar-SA"/>
              </w:rPr>
              <w:t>/a，污水处理厂余量可消纳本项目产生的污水。</w:t>
            </w:r>
          </w:p>
          <w:p w14:paraId="2440CC5F">
            <w:pPr>
              <w:pStyle w:val="59"/>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hint="eastAsia" w:ascii="Times New Roman" w:hAnsi="Times New Roman" w:eastAsia="宋体" w:cs="Times New Roman"/>
                <w:b/>
                <w:bCs/>
                <w:spacing w:val="0"/>
                <w:sz w:val="24"/>
                <w:szCs w:val="24"/>
                <w:highlight w:val="none"/>
                <w:lang w:val="en-US" w:eastAsia="zh-CN"/>
              </w:rPr>
            </w:pPr>
            <w:r>
              <w:rPr>
                <w:rFonts w:hint="eastAsia" w:ascii="Times New Roman" w:hAnsi="Times New Roman" w:eastAsia="宋体" w:cs="Times New Roman"/>
                <w:b/>
                <w:bCs/>
                <w:spacing w:val="0"/>
                <w:sz w:val="24"/>
                <w:szCs w:val="24"/>
                <w:highlight w:val="none"/>
                <w:lang w:val="en-US" w:eastAsia="zh-CN"/>
              </w:rPr>
              <w:t>3、噪声</w:t>
            </w:r>
          </w:p>
          <w:p w14:paraId="0428DB50">
            <w:pPr>
              <w:keepNext/>
              <w:keepLines/>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本项目运营期噪声主要为</w:t>
            </w:r>
            <w:r>
              <w:rPr>
                <w:rFonts w:hint="eastAsia" w:ascii="Times New Roman" w:hAnsi="Times New Roman" w:eastAsia="宋体" w:cs="Times New Roman"/>
                <w:b w:val="0"/>
                <w:bCs/>
                <w:color w:val="auto"/>
                <w:kern w:val="2"/>
                <w:sz w:val="24"/>
                <w:szCs w:val="24"/>
                <w:highlight w:val="none"/>
                <w:lang w:val="en-US" w:eastAsia="zh-CN" w:bidi="ar-SA"/>
              </w:rPr>
              <w:t>颚式破碎机、雷蒙磨</w:t>
            </w:r>
            <w:r>
              <w:rPr>
                <w:rFonts w:hint="default" w:ascii="Times New Roman" w:hAnsi="Times New Roman" w:eastAsia="宋体" w:cs="Times New Roman"/>
                <w:b w:val="0"/>
                <w:bCs/>
                <w:color w:val="auto"/>
                <w:kern w:val="2"/>
                <w:sz w:val="24"/>
                <w:szCs w:val="24"/>
                <w:highlight w:val="none"/>
                <w:lang w:val="en-US" w:eastAsia="zh-CN" w:bidi="ar-SA"/>
              </w:rPr>
              <w:t>等生产设备产生的噪声，通过选用低噪设备，对设备安装减振垫，生产设备布置在车间内，利用房间进行隔声。本项目设备噪声源强详见表4-</w:t>
            </w:r>
            <w:r>
              <w:rPr>
                <w:rFonts w:hint="eastAsia" w:ascii="Times New Roman" w:hAnsi="Times New Roman" w:eastAsia="宋体" w:cs="Times New Roman"/>
                <w:b w:val="0"/>
                <w:bCs/>
                <w:color w:val="auto"/>
                <w:kern w:val="2"/>
                <w:sz w:val="24"/>
                <w:szCs w:val="24"/>
                <w:highlight w:val="none"/>
                <w:lang w:val="en-US" w:eastAsia="zh-CN" w:bidi="ar-SA"/>
              </w:rPr>
              <w:t>5</w:t>
            </w:r>
            <w:r>
              <w:rPr>
                <w:rFonts w:hint="default" w:ascii="Times New Roman" w:hAnsi="Times New Roman" w:eastAsia="宋体" w:cs="Times New Roman"/>
                <w:b w:val="0"/>
                <w:bCs/>
                <w:color w:val="auto"/>
                <w:kern w:val="2"/>
                <w:sz w:val="24"/>
                <w:szCs w:val="24"/>
                <w:highlight w:val="none"/>
                <w:lang w:val="en-US" w:eastAsia="zh-CN" w:bidi="ar-SA"/>
              </w:rPr>
              <w:t>。</w:t>
            </w:r>
          </w:p>
          <w:p w14:paraId="72E749FF">
            <w:pPr>
              <w:rPr>
                <w:rFonts w:hint="eastAsia"/>
                <w:highlight w:val="none"/>
                <w:lang w:val="en-US" w:eastAsia="zh-CN"/>
              </w:rPr>
            </w:pPr>
          </w:p>
          <w:p w14:paraId="5319599D">
            <w:pPr>
              <w:pStyle w:val="59"/>
              <w:rPr>
                <w:rFonts w:hint="eastAsia"/>
                <w:highlight w:val="none"/>
                <w:lang w:val="en-US" w:eastAsia="zh-CN"/>
              </w:rPr>
            </w:pPr>
          </w:p>
          <w:p w14:paraId="749B216A">
            <w:pPr>
              <w:rPr>
                <w:rFonts w:hint="eastAsia"/>
                <w:highlight w:val="none"/>
                <w:lang w:val="en-US" w:eastAsia="zh-CN"/>
              </w:rPr>
            </w:pPr>
          </w:p>
          <w:p w14:paraId="29EAC7BD">
            <w:pPr>
              <w:pStyle w:val="59"/>
              <w:rPr>
                <w:rFonts w:hint="default"/>
                <w:highlight w:val="none"/>
                <w:lang w:val="en-US" w:eastAsia="zh-CN"/>
              </w:rPr>
            </w:pPr>
          </w:p>
          <w:p w14:paraId="7BD5E222">
            <w:pPr>
              <w:rPr>
                <w:rFonts w:hint="default"/>
                <w:highlight w:val="none"/>
                <w:lang w:val="en-US" w:eastAsia="zh-CN"/>
              </w:rPr>
            </w:pPr>
          </w:p>
          <w:p w14:paraId="7D919381">
            <w:pPr>
              <w:pStyle w:val="59"/>
              <w:rPr>
                <w:rFonts w:hint="default"/>
                <w:highlight w:val="none"/>
                <w:lang w:val="en-US" w:eastAsia="zh-CN"/>
              </w:rPr>
            </w:pPr>
          </w:p>
          <w:p w14:paraId="1F4879CE">
            <w:pPr>
              <w:rPr>
                <w:rFonts w:hint="default"/>
                <w:highlight w:val="none"/>
                <w:lang w:val="en-US" w:eastAsia="zh-CN"/>
              </w:rPr>
            </w:pPr>
          </w:p>
        </w:tc>
      </w:tr>
    </w:tbl>
    <w:p w14:paraId="425B2258">
      <w:pPr>
        <w:adjustRightInd w:val="0"/>
        <w:snapToGrid w:val="0"/>
        <w:spacing w:line="360" w:lineRule="auto"/>
        <w:rPr>
          <w:rFonts w:hint="eastAsia" w:ascii="宋体" w:cs="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autofit"/>
        <w:tblCellMar>
          <w:top w:w="0" w:type="dxa"/>
          <w:left w:w="108" w:type="dxa"/>
          <w:bottom w:w="0" w:type="dxa"/>
          <w:right w:w="108" w:type="dxa"/>
        </w:tblCellMar>
      </w:tblPr>
      <w:tblGrid>
        <w:gridCol w:w="457"/>
        <w:gridCol w:w="12771"/>
      </w:tblGrid>
      <w:tr w14:paraId="23CE78FA">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c>
          <w:tcPr>
            <w:tcW w:w="132" w:type="pct"/>
            <w:tcBorders>
              <w:tl2br w:val="nil"/>
              <w:tr2bl w:val="nil"/>
            </w:tcBorders>
            <w:noWrap w:val="0"/>
            <w:vAlign w:val="top"/>
          </w:tcPr>
          <w:p w14:paraId="35ECB171">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vertAlign w:val="baseline"/>
              </w:rPr>
            </w:pPr>
            <w:r>
              <w:rPr>
                <w:rFonts w:hint="eastAsia"/>
                <w:b/>
                <w:bCs/>
                <w:sz w:val="24"/>
                <w:szCs w:val="24"/>
                <w:vertAlign w:val="baseline"/>
              </w:rPr>
              <w:t>运营期环境影响和保护措施</w:t>
            </w:r>
          </w:p>
        </w:tc>
        <w:tc>
          <w:tcPr>
            <w:tcW w:w="4867" w:type="pct"/>
            <w:tcBorders>
              <w:tl2br w:val="nil"/>
              <w:tr2bl w:val="nil"/>
            </w:tcBorders>
            <w:noWrap w:val="0"/>
            <w:vAlign w:val="top"/>
          </w:tcPr>
          <w:tbl>
            <w:tblPr>
              <w:tblStyle w:val="23"/>
              <w:tblpPr w:leftFromText="180" w:rightFromText="180" w:vertAnchor="text" w:horzAnchor="page" w:tblpXSpec="center" w:tblpY="323"/>
              <w:tblOverlap w:val="never"/>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53"/>
              <w:gridCol w:w="559"/>
              <w:gridCol w:w="700"/>
              <w:gridCol w:w="738"/>
              <w:gridCol w:w="668"/>
              <w:gridCol w:w="480"/>
              <w:gridCol w:w="480"/>
              <w:gridCol w:w="296"/>
              <w:gridCol w:w="384"/>
              <w:gridCol w:w="482"/>
              <w:gridCol w:w="384"/>
              <w:gridCol w:w="495"/>
              <w:gridCol w:w="399"/>
              <w:gridCol w:w="399"/>
              <w:gridCol w:w="399"/>
              <w:gridCol w:w="404"/>
              <w:gridCol w:w="1248"/>
              <w:gridCol w:w="414"/>
              <w:gridCol w:w="414"/>
              <w:gridCol w:w="414"/>
              <w:gridCol w:w="419"/>
              <w:gridCol w:w="378"/>
              <w:gridCol w:w="378"/>
              <w:gridCol w:w="378"/>
              <w:gridCol w:w="378"/>
              <w:gridCol w:w="414"/>
            </w:tblGrid>
            <w:tr w14:paraId="104234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2" w:hRule="exact"/>
                <w:jc w:val="center"/>
              </w:trPr>
              <w:tc>
                <w:tcPr>
                  <w:tcW w:w="181" w:type="pct"/>
                  <w:vMerge w:val="restart"/>
                  <w:tcBorders>
                    <w:tl2br w:val="nil"/>
                    <w:tr2bl w:val="nil"/>
                  </w:tcBorders>
                  <w:shd w:val="clear" w:color="auto" w:fill="auto"/>
                  <w:vAlign w:val="center"/>
                </w:tcPr>
                <w:p w14:paraId="1707416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bookmarkStart w:id="17" w:name="PT_6"/>
                  <w:r>
                    <w:rPr>
                      <w:sz w:val="21"/>
                    </w:rPr>
                    <mc:AlternateContent>
                      <mc:Choice Requires="wps">
                        <w:drawing>
                          <wp:anchor distT="0" distB="0" distL="114300" distR="114300" simplePos="0" relativeHeight="251659264" behindDoc="0" locked="0" layoutInCell="1" allowOverlap="1">
                            <wp:simplePos x="0" y="0"/>
                            <wp:positionH relativeFrom="column">
                              <wp:posOffset>173990</wp:posOffset>
                            </wp:positionH>
                            <wp:positionV relativeFrom="paragraph">
                              <wp:posOffset>-263525</wp:posOffset>
                            </wp:positionV>
                            <wp:extent cx="4233545" cy="261620"/>
                            <wp:effectExtent l="0" t="0" r="0" b="0"/>
                            <wp:wrapNone/>
                            <wp:docPr id="26" name="文本框 26"/>
                            <wp:cNvGraphicFramePr/>
                            <a:graphic xmlns:a="http://schemas.openxmlformats.org/drawingml/2006/main">
                              <a:graphicData uri="http://schemas.microsoft.com/office/word/2010/wordprocessingShape">
                                <wps:wsp>
                                  <wps:cNvSpPr txBox="1"/>
                                  <wps:spPr>
                                    <a:xfrm>
                                      <a:off x="1844040" y="1025525"/>
                                      <a:ext cx="4233545"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9A2D3">
                                        <w:pPr>
                                          <w:rPr>
                                            <w:rFonts w:hint="eastAsia"/>
                                            <w:b/>
                                            <w:bCs/>
                                          </w:rPr>
                                        </w:pPr>
                                        <w:r>
                                          <w:rPr>
                                            <w:rFonts w:hint="eastAsia"/>
                                            <w:b/>
                                            <w:bCs/>
                                            <w:lang w:eastAsia="zh-CN"/>
                                          </w:rPr>
                                          <w:t>表</w:t>
                                        </w:r>
                                        <w:r>
                                          <w:rPr>
                                            <w:rFonts w:hint="eastAsia"/>
                                            <w:b/>
                                            <w:bCs/>
                                            <w:lang w:val="en-US" w:eastAsia="zh-CN"/>
                                          </w:rPr>
                                          <w:t>4-5</w:t>
                                        </w:r>
                                        <w:r>
                                          <w:rPr>
                                            <w:rFonts w:hint="eastAsia"/>
                                            <w:b/>
                                            <w:bCs/>
                                            <w:lang w:eastAsia="zh-CN"/>
                                          </w:rPr>
                                          <w:tab/>
                                        </w:r>
                                        <w:r>
                                          <w:rPr>
                                            <w:rFonts w:hint="eastAsia"/>
                                            <w:b/>
                                            <w:bCs/>
                                            <w:lang w:val="en-US" w:eastAsia="zh-CN"/>
                                          </w:rPr>
                                          <w:t xml:space="preserve">               </w:t>
                                        </w:r>
                                        <w:r>
                                          <w:rPr>
                                            <w:rFonts w:hint="eastAsia"/>
                                            <w:b/>
                                            <w:bCs/>
                                            <w:lang w:eastAsia="zh-CN"/>
                                          </w:rPr>
                                          <w:t>工业企业噪声源强调查清单（室内声源）</w:t>
                                        </w:r>
                                      </w:p>
                                      <w:p w14:paraId="1529A50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7pt;margin-top:-20.75pt;height:20.6pt;width:333.35pt;z-index:251659264;mso-width-relative:page;mso-height-relative:page;" filled="f" stroked="f" coordsize="21600,21600" o:gfxdata="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Eg7x12gAAAAgBAAAPAAAAAAAA&#10;AAEAIAAAACIAAABkcnMvZG93bnJldi54bWxQSwECFAAUAAAACACHTuJAJHlgn0kCAAB0BAAADgAA&#10;AAAAAAABACAAAAApAQAAZHJzL2Uyb0RvYy54bWxQSwUGAAAAAAYABgBZAQAA5AUAAAAA&#10;">
                            <v:fill on="f" focussize="0,0"/>
                            <v:stroke on="f" weight="0.5pt"/>
                            <v:imagedata o:title=""/>
                            <o:lock v:ext="edit" aspectratio="f"/>
                            <v:textbox>
                              <w:txbxContent>
                                <w:p w14:paraId="19A9A2D3">
                                  <w:pPr>
                                    <w:rPr>
                                      <w:rFonts w:hint="eastAsia"/>
                                      <w:b/>
                                      <w:bCs/>
                                    </w:rPr>
                                  </w:pPr>
                                  <w:r>
                                    <w:rPr>
                                      <w:rFonts w:hint="eastAsia"/>
                                      <w:b/>
                                      <w:bCs/>
                                      <w:lang w:eastAsia="zh-CN"/>
                                    </w:rPr>
                                    <w:t>表</w:t>
                                  </w:r>
                                  <w:r>
                                    <w:rPr>
                                      <w:rFonts w:hint="eastAsia"/>
                                      <w:b/>
                                      <w:bCs/>
                                      <w:lang w:val="en-US" w:eastAsia="zh-CN"/>
                                    </w:rPr>
                                    <w:t>4-5</w:t>
                                  </w:r>
                                  <w:r>
                                    <w:rPr>
                                      <w:rFonts w:hint="eastAsia"/>
                                      <w:b/>
                                      <w:bCs/>
                                      <w:lang w:eastAsia="zh-CN"/>
                                    </w:rPr>
                                    <w:tab/>
                                  </w:r>
                                  <w:r>
                                    <w:rPr>
                                      <w:rFonts w:hint="eastAsia"/>
                                      <w:b/>
                                      <w:bCs/>
                                      <w:lang w:val="en-US" w:eastAsia="zh-CN"/>
                                    </w:rPr>
                                    <w:t xml:space="preserve">               </w:t>
                                  </w:r>
                                  <w:r>
                                    <w:rPr>
                                      <w:rFonts w:hint="eastAsia"/>
                                      <w:b/>
                                      <w:bCs/>
                                      <w:lang w:eastAsia="zh-CN"/>
                                    </w:rPr>
                                    <w:t>工业企业噪声源强调查清单（室内声源）</w:t>
                                  </w:r>
                                </w:p>
                                <w:p w14:paraId="1529A503"/>
                              </w:txbxContent>
                            </v:textbox>
                          </v:shape>
                        </w:pict>
                      </mc:Fallback>
                    </mc:AlternateContent>
                  </w:r>
                  <w:r>
                    <w:rPr>
                      <w:rFonts w:hint="default" w:ascii="Times New Roman" w:hAnsi="Times New Roman" w:cs="Times New Roman" w:eastAsiaTheme="minorEastAsia"/>
                      <w:b w:val="0"/>
                      <w:bCs/>
                      <w:sz w:val="21"/>
                      <w:szCs w:val="21"/>
                    </w:rPr>
                    <w:t>序号</w:t>
                  </w:r>
                </w:p>
              </w:tc>
              <w:tc>
                <w:tcPr>
                  <w:tcW w:w="223" w:type="pct"/>
                  <w:vMerge w:val="restart"/>
                  <w:tcBorders>
                    <w:tl2br w:val="nil"/>
                    <w:tr2bl w:val="nil"/>
                  </w:tcBorders>
                  <w:shd w:val="clear" w:color="auto" w:fill="auto"/>
                  <w:vAlign w:val="center"/>
                </w:tcPr>
                <w:p w14:paraId="7D4F9D6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建筑物名称</w:t>
                  </w:r>
                </w:p>
              </w:tc>
              <w:tc>
                <w:tcPr>
                  <w:tcW w:w="279" w:type="pct"/>
                  <w:vMerge w:val="restart"/>
                  <w:tcBorders>
                    <w:tl2br w:val="nil"/>
                    <w:tr2bl w:val="nil"/>
                  </w:tcBorders>
                  <w:shd w:val="clear" w:color="auto" w:fill="auto"/>
                  <w:vAlign w:val="center"/>
                </w:tcPr>
                <w:p w14:paraId="4B96BBA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声源名称</w:t>
                  </w:r>
                </w:p>
              </w:tc>
              <w:tc>
                <w:tcPr>
                  <w:tcW w:w="294" w:type="pct"/>
                  <w:tcBorders>
                    <w:tl2br w:val="nil"/>
                    <w:tr2bl w:val="nil"/>
                  </w:tcBorders>
                  <w:shd w:val="clear" w:color="auto" w:fill="auto"/>
                  <w:vAlign w:val="center"/>
                </w:tcPr>
                <w:p w14:paraId="06C528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lang w:eastAsia="zh-CN"/>
                    </w:rPr>
                  </w:pPr>
                  <w:r>
                    <w:rPr>
                      <w:rFonts w:hint="default" w:ascii="Times New Roman" w:hAnsi="Times New Roman" w:cs="Times New Roman" w:eastAsiaTheme="minorEastAsia"/>
                      <w:b w:val="0"/>
                      <w:bCs/>
                      <w:sz w:val="21"/>
                      <w:szCs w:val="21"/>
                      <w:lang w:eastAsia="zh-CN"/>
                    </w:rPr>
                    <w:t>声源源强</w:t>
                  </w:r>
                </w:p>
              </w:tc>
              <w:tc>
                <w:tcPr>
                  <w:tcW w:w="266" w:type="pct"/>
                  <w:vMerge w:val="restart"/>
                  <w:tcBorders>
                    <w:tl2br w:val="nil"/>
                    <w:tr2bl w:val="nil"/>
                  </w:tcBorders>
                  <w:shd w:val="clear" w:color="auto" w:fill="auto"/>
                  <w:vAlign w:val="center"/>
                </w:tcPr>
                <w:p w14:paraId="13BE25F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声源控制措施</w:t>
                  </w:r>
                </w:p>
              </w:tc>
              <w:tc>
                <w:tcPr>
                  <w:tcW w:w="500" w:type="pct"/>
                  <w:gridSpan w:val="3"/>
                  <w:tcBorders>
                    <w:tl2br w:val="nil"/>
                    <w:tr2bl w:val="nil"/>
                  </w:tcBorders>
                  <w:shd w:val="clear" w:color="auto" w:fill="auto"/>
                  <w:vAlign w:val="center"/>
                </w:tcPr>
                <w:p w14:paraId="6D58927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空间相对位置/m</w:t>
                  </w:r>
                </w:p>
              </w:tc>
              <w:tc>
                <w:tcPr>
                  <w:tcW w:w="695" w:type="pct"/>
                  <w:gridSpan w:val="4"/>
                  <w:tcBorders>
                    <w:tl2br w:val="nil"/>
                    <w:tr2bl w:val="nil"/>
                  </w:tcBorders>
                  <w:shd w:val="clear" w:color="auto" w:fill="auto"/>
                  <w:vAlign w:val="center"/>
                </w:tcPr>
                <w:p w14:paraId="5949E9C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距室内边界距离/m</w:t>
                  </w:r>
                </w:p>
              </w:tc>
              <w:tc>
                <w:tcPr>
                  <w:tcW w:w="638" w:type="pct"/>
                  <w:gridSpan w:val="4"/>
                  <w:tcBorders>
                    <w:tl2br w:val="nil"/>
                    <w:tr2bl w:val="nil"/>
                  </w:tcBorders>
                  <w:shd w:val="clear" w:color="auto" w:fill="auto"/>
                  <w:vAlign w:val="center"/>
                </w:tcPr>
                <w:p w14:paraId="6C1BFE8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室内边界声级/dB(A)</w:t>
                  </w:r>
                </w:p>
              </w:tc>
              <w:tc>
                <w:tcPr>
                  <w:tcW w:w="497" w:type="pct"/>
                  <w:vMerge w:val="restart"/>
                  <w:tcBorders>
                    <w:tl2br w:val="nil"/>
                    <w:tr2bl w:val="nil"/>
                  </w:tcBorders>
                  <w:shd w:val="clear" w:color="auto" w:fill="auto"/>
                  <w:vAlign w:val="center"/>
                </w:tcPr>
                <w:p w14:paraId="075115C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运行时段</w:t>
                  </w:r>
                </w:p>
              </w:tc>
              <w:tc>
                <w:tcPr>
                  <w:tcW w:w="662" w:type="pct"/>
                  <w:gridSpan w:val="4"/>
                  <w:tcBorders>
                    <w:tl2br w:val="nil"/>
                    <w:tr2bl w:val="nil"/>
                  </w:tcBorders>
                  <w:shd w:val="clear" w:color="auto" w:fill="auto"/>
                  <w:vAlign w:val="center"/>
                </w:tcPr>
                <w:p w14:paraId="6E33D4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建筑物插入损失 / dB(A)</w:t>
                  </w:r>
                  <w:bookmarkStart w:id="18" w:name="PT_10"/>
                  <w:bookmarkEnd w:id="18"/>
                </w:p>
              </w:tc>
              <w:tc>
                <w:tcPr>
                  <w:tcW w:w="760" w:type="pct"/>
                  <w:gridSpan w:val="5"/>
                  <w:tcBorders>
                    <w:tl2br w:val="nil"/>
                    <w:tr2bl w:val="nil"/>
                  </w:tcBorders>
                  <w:shd w:val="clear" w:color="auto" w:fill="auto"/>
                  <w:vAlign w:val="center"/>
                </w:tcPr>
                <w:p w14:paraId="12947CA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建筑物外噪声声压级/dB(A)</w:t>
                  </w:r>
                </w:p>
              </w:tc>
            </w:tr>
            <w:tr w14:paraId="7AAEEB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1" w:type="pct"/>
                  <w:vMerge w:val="continue"/>
                  <w:tcBorders>
                    <w:tl2br w:val="nil"/>
                    <w:tr2bl w:val="nil"/>
                  </w:tcBorders>
                  <w:shd w:val="clear" w:color="auto" w:fill="auto"/>
                  <w:tcMar>
                    <w:top w:w="0" w:type="dxa"/>
                    <w:left w:w="0" w:type="dxa"/>
                    <w:bottom w:w="0" w:type="dxa"/>
                    <w:right w:w="0" w:type="dxa"/>
                  </w:tcMar>
                  <w:vAlign w:val="center"/>
                </w:tcPr>
                <w:p w14:paraId="2A93D3D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lang w:val="en-US" w:eastAsia="zh-CN"/>
                    </w:rPr>
                  </w:pPr>
                </w:p>
              </w:tc>
              <w:tc>
                <w:tcPr>
                  <w:tcW w:w="223" w:type="pct"/>
                  <w:vMerge w:val="continue"/>
                  <w:tcBorders>
                    <w:tl2br w:val="nil"/>
                    <w:tr2bl w:val="nil"/>
                  </w:tcBorders>
                  <w:shd w:val="clear" w:color="auto" w:fill="auto"/>
                  <w:tcMar>
                    <w:top w:w="0" w:type="dxa"/>
                    <w:left w:w="0" w:type="dxa"/>
                    <w:bottom w:w="0" w:type="dxa"/>
                    <w:right w:w="0" w:type="dxa"/>
                  </w:tcMar>
                  <w:vAlign w:val="center"/>
                </w:tcPr>
                <w:p w14:paraId="633610D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279" w:type="pct"/>
                  <w:vMerge w:val="continue"/>
                  <w:tcBorders>
                    <w:tl2br w:val="nil"/>
                    <w:tr2bl w:val="nil"/>
                  </w:tcBorders>
                  <w:shd w:val="clear" w:color="auto" w:fill="auto"/>
                  <w:tcMar>
                    <w:top w:w="0" w:type="dxa"/>
                    <w:left w:w="0" w:type="dxa"/>
                    <w:bottom w:w="0" w:type="dxa"/>
                    <w:right w:w="0" w:type="dxa"/>
                  </w:tcMar>
                  <w:vAlign w:val="center"/>
                </w:tcPr>
                <w:p w14:paraId="1CD9CC2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294" w:type="pct"/>
                  <w:tcBorders>
                    <w:tl2br w:val="nil"/>
                    <w:tr2bl w:val="nil"/>
                  </w:tcBorders>
                  <w:shd w:val="clear" w:color="auto" w:fill="auto"/>
                  <w:tcMar>
                    <w:top w:w="0" w:type="dxa"/>
                    <w:left w:w="0" w:type="dxa"/>
                    <w:bottom w:w="0" w:type="dxa"/>
                    <w:right w:w="0" w:type="dxa"/>
                  </w:tcMar>
                  <w:vAlign w:val="center"/>
                </w:tcPr>
                <w:p w14:paraId="1B6C832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声功率级/dB(A)</w:t>
                  </w:r>
                </w:p>
              </w:tc>
              <w:tc>
                <w:tcPr>
                  <w:tcW w:w="266" w:type="pct"/>
                  <w:vMerge w:val="continue"/>
                  <w:tcBorders>
                    <w:tl2br w:val="nil"/>
                    <w:tr2bl w:val="nil"/>
                  </w:tcBorders>
                  <w:shd w:val="clear" w:color="auto" w:fill="auto"/>
                  <w:tcMar>
                    <w:top w:w="0" w:type="dxa"/>
                    <w:left w:w="0" w:type="dxa"/>
                    <w:bottom w:w="0" w:type="dxa"/>
                    <w:right w:w="0" w:type="dxa"/>
                  </w:tcMar>
                  <w:vAlign w:val="center"/>
                </w:tcPr>
                <w:p w14:paraId="3659FC9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91" w:type="pct"/>
                  <w:tcBorders>
                    <w:tl2br w:val="nil"/>
                    <w:tr2bl w:val="nil"/>
                  </w:tcBorders>
                  <w:shd w:val="clear" w:color="auto" w:fill="auto"/>
                  <w:tcMar>
                    <w:top w:w="0" w:type="dxa"/>
                    <w:left w:w="0" w:type="dxa"/>
                    <w:bottom w:w="0" w:type="dxa"/>
                    <w:right w:w="0" w:type="dxa"/>
                  </w:tcMar>
                  <w:vAlign w:val="center"/>
                </w:tcPr>
                <w:p w14:paraId="45C3235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X</w:t>
                  </w:r>
                </w:p>
              </w:tc>
              <w:tc>
                <w:tcPr>
                  <w:tcW w:w="191" w:type="pct"/>
                  <w:tcBorders>
                    <w:tl2br w:val="nil"/>
                    <w:tr2bl w:val="nil"/>
                  </w:tcBorders>
                  <w:shd w:val="clear" w:color="auto" w:fill="auto"/>
                  <w:tcMar>
                    <w:top w:w="0" w:type="dxa"/>
                    <w:left w:w="0" w:type="dxa"/>
                    <w:bottom w:w="0" w:type="dxa"/>
                    <w:right w:w="0" w:type="dxa"/>
                  </w:tcMar>
                  <w:vAlign w:val="center"/>
                </w:tcPr>
                <w:p w14:paraId="60BAAB6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Y</w:t>
                  </w:r>
                </w:p>
              </w:tc>
              <w:tc>
                <w:tcPr>
                  <w:tcW w:w="117" w:type="pct"/>
                  <w:tcBorders>
                    <w:tl2br w:val="nil"/>
                    <w:tr2bl w:val="nil"/>
                  </w:tcBorders>
                  <w:shd w:val="clear" w:color="auto" w:fill="auto"/>
                  <w:tcMar>
                    <w:top w:w="0" w:type="dxa"/>
                    <w:left w:w="0" w:type="dxa"/>
                    <w:bottom w:w="0" w:type="dxa"/>
                    <w:right w:w="0" w:type="dxa"/>
                  </w:tcMar>
                  <w:vAlign w:val="center"/>
                </w:tcPr>
                <w:p w14:paraId="61E6677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Z</w:t>
                  </w:r>
                </w:p>
              </w:tc>
              <w:tc>
                <w:tcPr>
                  <w:tcW w:w="153" w:type="pct"/>
                  <w:tcBorders>
                    <w:tl2br w:val="nil"/>
                    <w:tr2bl w:val="nil"/>
                  </w:tcBorders>
                  <w:shd w:val="clear" w:color="auto" w:fill="auto"/>
                  <w:tcMar>
                    <w:top w:w="0" w:type="dxa"/>
                    <w:left w:w="0" w:type="dxa"/>
                    <w:bottom w:w="0" w:type="dxa"/>
                    <w:right w:w="0" w:type="dxa"/>
                  </w:tcMar>
                  <w:vAlign w:val="center"/>
                </w:tcPr>
                <w:p w14:paraId="45B413C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东</w:t>
                  </w:r>
                </w:p>
              </w:tc>
              <w:tc>
                <w:tcPr>
                  <w:tcW w:w="192" w:type="pct"/>
                  <w:tcBorders>
                    <w:tl2br w:val="nil"/>
                    <w:tr2bl w:val="nil"/>
                  </w:tcBorders>
                  <w:shd w:val="clear" w:color="auto" w:fill="auto"/>
                  <w:tcMar>
                    <w:top w:w="0" w:type="dxa"/>
                    <w:left w:w="0" w:type="dxa"/>
                    <w:bottom w:w="0" w:type="dxa"/>
                    <w:right w:w="0" w:type="dxa"/>
                  </w:tcMar>
                  <w:vAlign w:val="center"/>
                </w:tcPr>
                <w:p w14:paraId="1E1F2A9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南</w:t>
                  </w:r>
                </w:p>
              </w:tc>
              <w:tc>
                <w:tcPr>
                  <w:tcW w:w="153" w:type="pct"/>
                  <w:tcBorders>
                    <w:tl2br w:val="nil"/>
                    <w:tr2bl w:val="nil"/>
                  </w:tcBorders>
                  <w:shd w:val="clear" w:color="auto" w:fill="auto"/>
                  <w:tcMar>
                    <w:top w:w="0" w:type="dxa"/>
                    <w:left w:w="0" w:type="dxa"/>
                    <w:bottom w:w="0" w:type="dxa"/>
                    <w:right w:w="0" w:type="dxa"/>
                  </w:tcMar>
                  <w:vAlign w:val="center"/>
                </w:tcPr>
                <w:p w14:paraId="09DDC7A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西</w:t>
                  </w:r>
                </w:p>
              </w:tc>
              <w:tc>
                <w:tcPr>
                  <w:tcW w:w="197" w:type="pct"/>
                  <w:tcBorders>
                    <w:tl2br w:val="nil"/>
                    <w:tr2bl w:val="nil"/>
                  </w:tcBorders>
                  <w:shd w:val="clear" w:color="auto" w:fill="auto"/>
                  <w:tcMar>
                    <w:top w:w="0" w:type="dxa"/>
                    <w:left w:w="0" w:type="dxa"/>
                    <w:bottom w:w="0" w:type="dxa"/>
                    <w:right w:w="0" w:type="dxa"/>
                  </w:tcMar>
                  <w:vAlign w:val="center"/>
                </w:tcPr>
                <w:p w14:paraId="34A1224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北</w:t>
                  </w:r>
                </w:p>
              </w:tc>
              <w:tc>
                <w:tcPr>
                  <w:tcW w:w="159" w:type="pct"/>
                  <w:tcBorders>
                    <w:tl2br w:val="nil"/>
                    <w:tr2bl w:val="nil"/>
                  </w:tcBorders>
                  <w:shd w:val="clear" w:color="auto" w:fill="auto"/>
                  <w:tcMar>
                    <w:top w:w="0" w:type="dxa"/>
                    <w:left w:w="0" w:type="dxa"/>
                    <w:bottom w:w="0" w:type="dxa"/>
                    <w:right w:w="0" w:type="dxa"/>
                  </w:tcMar>
                  <w:vAlign w:val="center"/>
                </w:tcPr>
                <w:p w14:paraId="45BE481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东</w:t>
                  </w:r>
                </w:p>
              </w:tc>
              <w:tc>
                <w:tcPr>
                  <w:tcW w:w="159" w:type="pct"/>
                  <w:tcBorders>
                    <w:tl2br w:val="nil"/>
                    <w:tr2bl w:val="nil"/>
                  </w:tcBorders>
                  <w:shd w:val="clear" w:color="auto" w:fill="auto"/>
                  <w:tcMar>
                    <w:top w:w="0" w:type="dxa"/>
                    <w:left w:w="0" w:type="dxa"/>
                    <w:bottom w:w="0" w:type="dxa"/>
                    <w:right w:w="0" w:type="dxa"/>
                  </w:tcMar>
                  <w:vAlign w:val="center"/>
                </w:tcPr>
                <w:p w14:paraId="315A221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南</w:t>
                  </w:r>
                </w:p>
              </w:tc>
              <w:tc>
                <w:tcPr>
                  <w:tcW w:w="159" w:type="pct"/>
                  <w:tcBorders>
                    <w:tl2br w:val="nil"/>
                    <w:tr2bl w:val="nil"/>
                  </w:tcBorders>
                  <w:shd w:val="clear" w:color="auto" w:fill="auto"/>
                  <w:tcMar>
                    <w:top w:w="0" w:type="dxa"/>
                    <w:left w:w="0" w:type="dxa"/>
                    <w:bottom w:w="0" w:type="dxa"/>
                    <w:right w:w="0" w:type="dxa"/>
                  </w:tcMar>
                  <w:vAlign w:val="center"/>
                </w:tcPr>
                <w:p w14:paraId="4FEC4D9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西</w:t>
                  </w:r>
                </w:p>
              </w:tc>
              <w:tc>
                <w:tcPr>
                  <w:tcW w:w="161" w:type="pct"/>
                  <w:tcBorders>
                    <w:tl2br w:val="nil"/>
                    <w:tr2bl w:val="nil"/>
                  </w:tcBorders>
                  <w:shd w:val="clear" w:color="auto" w:fill="auto"/>
                  <w:tcMar>
                    <w:top w:w="0" w:type="dxa"/>
                    <w:left w:w="0" w:type="dxa"/>
                    <w:bottom w:w="0" w:type="dxa"/>
                    <w:right w:w="0" w:type="dxa"/>
                  </w:tcMar>
                  <w:vAlign w:val="center"/>
                </w:tcPr>
                <w:p w14:paraId="4FBD47C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北</w:t>
                  </w:r>
                </w:p>
              </w:tc>
              <w:tc>
                <w:tcPr>
                  <w:tcW w:w="497" w:type="pct"/>
                  <w:vMerge w:val="continue"/>
                  <w:tcBorders>
                    <w:tl2br w:val="nil"/>
                    <w:tr2bl w:val="nil"/>
                  </w:tcBorders>
                  <w:shd w:val="clear" w:color="auto" w:fill="auto"/>
                  <w:tcMar>
                    <w:top w:w="0" w:type="dxa"/>
                    <w:left w:w="0" w:type="dxa"/>
                    <w:bottom w:w="0" w:type="dxa"/>
                    <w:right w:w="0" w:type="dxa"/>
                  </w:tcMar>
                  <w:vAlign w:val="center"/>
                </w:tcPr>
                <w:p w14:paraId="6CAEB5F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65" w:type="pct"/>
                  <w:tcBorders>
                    <w:tl2br w:val="nil"/>
                    <w:tr2bl w:val="nil"/>
                  </w:tcBorders>
                  <w:shd w:val="clear" w:color="auto" w:fill="auto"/>
                  <w:tcMar>
                    <w:top w:w="0" w:type="dxa"/>
                    <w:left w:w="0" w:type="dxa"/>
                    <w:bottom w:w="0" w:type="dxa"/>
                    <w:right w:w="0" w:type="dxa"/>
                  </w:tcMar>
                  <w:vAlign w:val="center"/>
                </w:tcPr>
                <w:p w14:paraId="61B5DF7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东</w:t>
                  </w:r>
                </w:p>
              </w:tc>
              <w:tc>
                <w:tcPr>
                  <w:tcW w:w="165" w:type="pct"/>
                  <w:tcBorders>
                    <w:tl2br w:val="nil"/>
                    <w:tr2bl w:val="nil"/>
                  </w:tcBorders>
                  <w:shd w:val="clear" w:color="auto" w:fill="auto"/>
                  <w:tcMar>
                    <w:top w:w="0" w:type="dxa"/>
                    <w:left w:w="0" w:type="dxa"/>
                    <w:bottom w:w="0" w:type="dxa"/>
                    <w:right w:w="0" w:type="dxa"/>
                  </w:tcMar>
                  <w:vAlign w:val="center"/>
                </w:tcPr>
                <w:p w14:paraId="181F9D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南</w:t>
                  </w:r>
                </w:p>
              </w:tc>
              <w:tc>
                <w:tcPr>
                  <w:tcW w:w="165" w:type="pct"/>
                  <w:tcBorders>
                    <w:tl2br w:val="nil"/>
                    <w:tr2bl w:val="nil"/>
                  </w:tcBorders>
                  <w:shd w:val="clear" w:color="auto" w:fill="auto"/>
                  <w:tcMar>
                    <w:top w:w="0" w:type="dxa"/>
                    <w:left w:w="0" w:type="dxa"/>
                    <w:bottom w:w="0" w:type="dxa"/>
                    <w:right w:w="0" w:type="dxa"/>
                  </w:tcMar>
                  <w:vAlign w:val="center"/>
                </w:tcPr>
                <w:p w14:paraId="119DC7F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西</w:t>
                  </w:r>
                </w:p>
              </w:tc>
              <w:tc>
                <w:tcPr>
                  <w:tcW w:w="167" w:type="pct"/>
                  <w:tcBorders>
                    <w:tl2br w:val="nil"/>
                    <w:tr2bl w:val="nil"/>
                  </w:tcBorders>
                  <w:shd w:val="clear" w:color="auto" w:fill="auto"/>
                  <w:tcMar>
                    <w:top w:w="0" w:type="dxa"/>
                    <w:left w:w="0" w:type="dxa"/>
                    <w:bottom w:w="0" w:type="dxa"/>
                    <w:right w:w="0" w:type="dxa"/>
                  </w:tcMar>
                  <w:vAlign w:val="center"/>
                </w:tcPr>
                <w:p w14:paraId="3180A0E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北</w:t>
                  </w:r>
                </w:p>
              </w:tc>
              <w:tc>
                <w:tcPr>
                  <w:tcW w:w="150" w:type="pct"/>
                  <w:tcBorders>
                    <w:tl2br w:val="nil"/>
                    <w:tr2bl w:val="nil"/>
                  </w:tcBorders>
                  <w:shd w:val="clear" w:color="auto" w:fill="auto"/>
                  <w:tcMar>
                    <w:top w:w="0" w:type="dxa"/>
                    <w:left w:w="0" w:type="dxa"/>
                    <w:bottom w:w="0" w:type="dxa"/>
                    <w:right w:w="0" w:type="dxa"/>
                  </w:tcMar>
                  <w:vAlign w:val="center"/>
                </w:tcPr>
                <w:p w14:paraId="26B029B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东</w:t>
                  </w:r>
                </w:p>
              </w:tc>
              <w:tc>
                <w:tcPr>
                  <w:tcW w:w="150" w:type="pct"/>
                  <w:tcBorders>
                    <w:tl2br w:val="nil"/>
                    <w:tr2bl w:val="nil"/>
                  </w:tcBorders>
                  <w:shd w:val="clear" w:color="auto" w:fill="auto"/>
                  <w:tcMar>
                    <w:top w:w="0" w:type="dxa"/>
                    <w:left w:w="0" w:type="dxa"/>
                    <w:bottom w:w="0" w:type="dxa"/>
                    <w:right w:w="0" w:type="dxa"/>
                  </w:tcMar>
                  <w:vAlign w:val="center"/>
                </w:tcPr>
                <w:p w14:paraId="2E4D4F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南</w:t>
                  </w:r>
                </w:p>
              </w:tc>
              <w:tc>
                <w:tcPr>
                  <w:tcW w:w="150" w:type="pct"/>
                  <w:tcBorders>
                    <w:tl2br w:val="nil"/>
                    <w:tr2bl w:val="nil"/>
                  </w:tcBorders>
                  <w:shd w:val="clear" w:color="auto" w:fill="auto"/>
                  <w:tcMar>
                    <w:top w:w="0" w:type="dxa"/>
                    <w:left w:w="0" w:type="dxa"/>
                    <w:bottom w:w="0" w:type="dxa"/>
                    <w:right w:w="0" w:type="dxa"/>
                  </w:tcMar>
                  <w:vAlign w:val="center"/>
                </w:tcPr>
                <w:p w14:paraId="5A82110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西</w:t>
                  </w:r>
                </w:p>
              </w:tc>
              <w:tc>
                <w:tcPr>
                  <w:tcW w:w="150" w:type="pct"/>
                  <w:tcBorders>
                    <w:tl2br w:val="nil"/>
                    <w:tr2bl w:val="nil"/>
                  </w:tcBorders>
                  <w:shd w:val="clear" w:color="auto" w:fill="auto"/>
                  <w:tcMar>
                    <w:top w:w="0" w:type="dxa"/>
                    <w:left w:w="0" w:type="dxa"/>
                    <w:bottom w:w="0" w:type="dxa"/>
                    <w:right w:w="0" w:type="dxa"/>
                  </w:tcMar>
                  <w:vAlign w:val="center"/>
                </w:tcPr>
                <w:p w14:paraId="240EAF5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北</w:t>
                  </w:r>
                </w:p>
              </w:tc>
              <w:tc>
                <w:tcPr>
                  <w:tcW w:w="158" w:type="pct"/>
                  <w:tcBorders>
                    <w:tl2br w:val="nil"/>
                    <w:tr2bl w:val="nil"/>
                  </w:tcBorders>
                  <w:shd w:val="clear" w:color="auto" w:fill="auto"/>
                  <w:tcMar>
                    <w:top w:w="0" w:type="dxa"/>
                    <w:left w:w="0" w:type="dxa"/>
                    <w:bottom w:w="0" w:type="dxa"/>
                    <w:right w:w="0" w:type="dxa"/>
                  </w:tcMar>
                  <w:vAlign w:val="center"/>
                </w:tcPr>
                <w:p w14:paraId="144AA43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建筑物外距离</w:t>
                  </w:r>
                </w:p>
              </w:tc>
            </w:tr>
            <w:tr w14:paraId="1D44F7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1" w:type="pct"/>
                  <w:tcBorders>
                    <w:tl2br w:val="nil"/>
                    <w:tr2bl w:val="nil"/>
                  </w:tcBorders>
                  <w:shd w:val="clear" w:color="auto" w:fill="auto"/>
                  <w:tcMar>
                    <w:top w:w="0" w:type="dxa"/>
                    <w:left w:w="0" w:type="dxa"/>
                    <w:bottom w:w="0" w:type="dxa"/>
                    <w:right w:w="0" w:type="dxa"/>
                  </w:tcMar>
                  <w:vAlign w:val="center"/>
                </w:tcPr>
                <w:p w14:paraId="29D3905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w:t>
                  </w:r>
                </w:p>
              </w:tc>
              <w:tc>
                <w:tcPr>
                  <w:tcW w:w="223" w:type="pct"/>
                  <w:tcBorders>
                    <w:tl2br w:val="nil"/>
                    <w:tr2bl w:val="nil"/>
                  </w:tcBorders>
                  <w:shd w:val="clear" w:color="auto" w:fill="auto"/>
                  <w:tcMar>
                    <w:top w:w="0" w:type="dxa"/>
                    <w:left w:w="0" w:type="dxa"/>
                    <w:bottom w:w="0" w:type="dxa"/>
                    <w:right w:w="0" w:type="dxa"/>
                  </w:tcMar>
                  <w:vAlign w:val="center"/>
                </w:tcPr>
                <w:p w14:paraId="1A60626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1#厂房</w:t>
                  </w:r>
                </w:p>
              </w:tc>
              <w:tc>
                <w:tcPr>
                  <w:tcW w:w="279" w:type="pct"/>
                  <w:tcBorders>
                    <w:tl2br w:val="nil"/>
                    <w:tr2bl w:val="nil"/>
                  </w:tcBorders>
                  <w:shd w:val="clear" w:color="auto" w:fill="auto"/>
                  <w:tcMar>
                    <w:top w:w="0" w:type="dxa"/>
                    <w:left w:w="0" w:type="dxa"/>
                    <w:bottom w:w="0" w:type="dxa"/>
                    <w:right w:w="0" w:type="dxa"/>
                  </w:tcMar>
                  <w:vAlign w:val="center"/>
                </w:tcPr>
                <w:p w14:paraId="3D23A59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雷蒙磨1</w:t>
                  </w:r>
                </w:p>
              </w:tc>
              <w:tc>
                <w:tcPr>
                  <w:tcW w:w="294" w:type="pct"/>
                  <w:tcBorders>
                    <w:tl2br w:val="nil"/>
                    <w:tr2bl w:val="nil"/>
                  </w:tcBorders>
                  <w:shd w:val="clear" w:color="auto" w:fill="auto"/>
                  <w:tcMar>
                    <w:top w:w="0" w:type="dxa"/>
                    <w:left w:w="0" w:type="dxa"/>
                    <w:bottom w:w="0" w:type="dxa"/>
                    <w:right w:w="0" w:type="dxa"/>
                  </w:tcMar>
                  <w:vAlign w:val="center"/>
                </w:tcPr>
                <w:p w14:paraId="03E1F42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105</w:t>
                  </w:r>
                </w:p>
              </w:tc>
              <w:tc>
                <w:tcPr>
                  <w:tcW w:w="266" w:type="pct"/>
                  <w:vMerge w:val="restart"/>
                  <w:tcBorders>
                    <w:tl2br w:val="nil"/>
                    <w:tr2bl w:val="nil"/>
                  </w:tcBorders>
                  <w:shd w:val="clear" w:color="auto" w:fill="auto"/>
                  <w:tcMar>
                    <w:top w:w="0" w:type="dxa"/>
                    <w:left w:w="0" w:type="dxa"/>
                    <w:bottom w:w="0" w:type="dxa"/>
                    <w:right w:w="0" w:type="dxa"/>
                  </w:tcMar>
                  <w:vAlign w:val="center"/>
                </w:tcPr>
                <w:p w14:paraId="2BADAD0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lang w:val="en-US" w:eastAsia="zh-CN"/>
                    </w:rPr>
                  </w:pPr>
                  <w:r>
                    <w:rPr>
                      <w:rFonts w:hint="eastAsia" w:ascii="Times New Roman" w:hAnsi="Times New Roman" w:cs="Times New Roman" w:eastAsiaTheme="minorEastAsia"/>
                      <w:b w:val="0"/>
                      <w:bCs/>
                      <w:sz w:val="21"/>
                      <w:szCs w:val="21"/>
                      <w:lang w:val="en-US" w:eastAsia="zh-CN"/>
                    </w:rPr>
                    <w:t>基础建筑，厂房隔声</w:t>
                  </w:r>
                </w:p>
              </w:tc>
              <w:tc>
                <w:tcPr>
                  <w:tcW w:w="191" w:type="pct"/>
                  <w:tcBorders>
                    <w:tl2br w:val="nil"/>
                    <w:tr2bl w:val="nil"/>
                  </w:tcBorders>
                  <w:shd w:val="clear" w:color="auto" w:fill="auto"/>
                  <w:tcMar>
                    <w:top w:w="0" w:type="dxa"/>
                    <w:left w:w="0" w:type="dxa"/>
                    <w:bottom w:w="0" w:type="dxa"/>
                    <w:right w:w="0" w:type="dxa"/>
                  </w:tcMar>
                  <w:vAlign w:val="center"/>
                </w:tcPr>
                <w:p w14:paraId="258A26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-18.9</w:t>
                  </w:r>
                </w:p>
              </w:tc>
              <w:tc>
                <w:tcPr>
                  <w:tcW w:w="191" w:type="pct"/>
                  <w:tcBorders>
                    <w:tl2br w:val="nil"/>
                    <w:tr2bl w:val="nil"/>
                  </w:tcBorders>
                  <w:shd w:val="clear" w:color="auto" w:fill="auto"/>
                  <w:tcMar>
                    <w:top w:w="0" w:type="dxa"/>
                    <w:left w:w="0" w:type="dxa"/>
                    <w:bottom w:w="0" w:type="dxa"/>
                    <w:right w:w="0" w:type="dxa"/>
                  </w:tcMar>
                  <w:vAlign w:val="center"/>
                </w:tcPr>
                <w:p w14:paraId="2C1B0E4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-15.8</w:t>
                  </w:r>
                </w:p>
              </w:tc>
              <w:tc>
                <w:tcPr>
                  <w:tcW w:w="117" w:type="pct"/>
                  <w:tcBorders>
                    <w:tl2br w:val="nil"/>
                    <w:tr2bl w:val="nil"/>
                  </w:tcBorders>
                  <w:shd w:val="clear" w:color="auto" w:fill="auto"/>
                  <w:tcMar>
                    <w:top w:w="0" w:type="dxa"/>
                    <w:left w:w="0" w:type="dxa"/>
                    <w:bottom w:w="0" w:type="dxa"/>
                    <w:right w:w="0" w:type="dxa"/>
                  </w:tcMar>
                  <w:vAlign w:val="center"/>
                </w:tcPr>
                <w:p w14:paraId="6ABEF8D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w:t>
                  </w:r>
                </w:p>
              </w:tc>
              <w:tc>
                <w:tcPr>
                  <w:tcW w:w="153" w:type="pct"/>
                  <w:tcBorders>
                    <w:tl2br w:val="nil"/>
                    <w:tr2bl w:val="nil"/>
                  </w:tcBorders>
                  <w:shd w:val="clear" w:color="auto" w:fill="auto"/>
                  <w:tcMar>
                    <w:top w:w="0" w:type="dxa"/>
                    <w:left w:w="0" w:type="dxa"/>
                    <w:bottom w:w="0" w:type="dxa"/>
                    <w:right w:w="0" w:type="dxa"/>
                  </w:tcMar>
                  <w:vAlign w:val="center"/>
                </w:tcPr>
                <w:p w14:paraId="5B57378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4.9</w:t>
                  </w:r>
                </w:p>
              </w:tc>
              <w:tc>
                <w:tcPr>
                  <w:tcW w:w="192" w:type="pct"/>
                  <w:tcBorders>
                    <w:tl2br w:val="nil"/>
                    <w:tr2bl w:val="nil"/>
                  </w:tcBorders>
                  <w:shd w:val="clear" w:color="auto" w:fill="auto"/>
                  <w:tcMar>
                    <w:top w:w="0" w:type="dxa"/>
                    <w:left w:w="0" w:type="dxa"/>
                    <w:bottom w:w="0" w:type="dxa"/>
                    <w:right w:w="0" w:type="dxa"/>
                  </w:tcMar>
                  <w:vAlign w:val="center"/>
                </w:tcPr>
                <w:p w14:paraId="2158B6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49.0</w:t>
                  </w:r>
                </w:p>
              </w:tc>
              <w:tc>
                <w:tcPr>
                  <w:tcW w:w="153" w:type="pct"/>
                  <w:tcBorders>
                    <w:tl2br w:val="nil"/>
                    <w:tr2bl w:val="nil"/>
                  </w:tcBorders>
                  <w:shd w:val="clear" w:color="auto" w:fill="auto"/>
                  <w:tcMar>
                    <w:top w:w="0" w:type="dxa"/>
                    <w:left w:w="0" w:type="dxa"/>
                    <w:bottom w:w="0" w:type="dxa"/>
                    <w:right w:w="0" w:type="dxa"/>
                  </w:tcMar>
                  <w:vAlign w:val="center"/>
                </w:tcPr>
                <w:p w14:paraId="6B68628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28.1</w:t>
                  </w:r>
                </w:p>
              </w:tc>
              <w:tc>
                <w:tcPr>
                  <w:tcW w:w="197" w:type="pct"/>
                  <w:tcBorders>
                    <w:tl2br w:val="nil"/>
                    <w:tr2bl w:val="nil"/>
                  </w:tcBorders>
                  <w:shd w:val="clear" w:color="auto" w:fill="auto"/>
                  <w:tcMar>
                    <w:top w:w="0" w:type="dxa"/>
                    <w:left w:w="0" w:type="dxa"/>
                    <w:bottom w:w="0" w:type="dxa"/>
                    <w:right w:w="0" w:type="dxa"/>
                  </w:tcMar>
                  <w:vAlign w:val="center"/>
                </w:tcPr>
                <w:p w14:paraId="3CDC748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95.1</w:t>
                  </w:r>
                </w:p>
              </w:tc>
              <w:tc>
                <w:tcPr>
                  <w:tcW w:w="159" w:type="pct"/>
                  <w:tcBorders>
                    <w:tl2br w:val="nil"/>
                    <w:tr2bl w:val="nil"/>
                  </w:tcBorders>
                  <w:shd w:val="clear" w:color="auto" w:fill="auto"/>
                  <w:tcMar>
                    <w:top w:w="0" w:type="dxa"/>
                    <w:left w:w="0" w:type="dxa"/>
                    <w:bottom w:w="0" w:type="dxa"/>
                    <w:right w:w="0" w:type="dxa"/>
                  </w:tcMar>
                  <w:vAlign w:val="center"/>
                </w:tcPr>
                <w:p w14:paraId="69DB24E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88.7</w:t>
                  </w:r>
                </w:p>
              </w:tc>
              <w:tc>
                <w:tcPr>
                  <w:tcW w:w="159" w:type="pct"/>
                  <w:tcBorders>
                    <w:tl2br w:val="nil"/>
                    <w:tr2bl w:val="nil"/>
                  </w:tcBorders>
                  <w:shd w:val="clear" w:color="auto" w:fill="auto"/>
                  <w:tcMar>
                    <w:top w:w="0" w:type="dxa"/>
                    <w:left w:w="0" w:type="dxa"/>
                    <w:bottom w:w="0" w:type="dxa"/>
                    <w:right w:w="0" w:type="dxa"/>
                  </w:tcMar>
                  <w:vAlign w:val="center"/>
                </w:tcPr>
                <w:p w14:paraId="2DF241A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88.0</w:t>
                  </w:r>
                </w:p>
              </w:tc>
              <w:tc>
                <w:tcPr>
                  <w:tcW w:w="159" w:type="pct"/>
                  <w:tcBorders>
                    <w:tl2br w:val="nil"/>
                    <w:tr2bl w:val="nil"/>
                  </w:tcBorders>
                  <w:shd w:val="clear" w:color="auto" w:fill="auto"/>
                  <w:tcMar>
                    <w:top w:w="0" w:type="dxa"/>
                    <w:left w:w="0" w:type="dxa"/>
                    <w:bottom w:w="0" w:type="dxa"/>
                    <w:right w:w="0" w:type="dxa"/>
                  </w:tcMar>
                  <w:vAlign w:val="center"/>
                </w:tcPr>
                <w:p w14:paraId="5DFF357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88.0</w:t>
                  </w:r>
                </w:p>
              </w:tc>
              <w:tc>
                <w:tcPr>
                  <w:tcW w:w="161" w:type="pct"/>
                  <w:tcBorders>
                    <w:tl2br w:val="nil"/>
                    <w:tr2bl w:val="nil"/>
                  </w:tcBorders>
                  <w:shd w:val="clear" w:color="auto" w:fill="auto"/>
                  <w:tcMar>
                    <w:top w:w="0" w:type="dxa"/>
                    <w:left w:w="0" w:type="dxa"/>
                    <w:bottom w:w="0" w:type="dxa"/>
                    <w:right w:w="0" w:type="dxa"/>
                  </w:tcMar>
                  <w:vAlign w:val="center"/>
                </w:tcPr>
                <w:p w14:paraId="0620A31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88.0</w:t>
                  </w:r>
                </w:p>
              </w:tc>
              <w:tc>
                <w:tcPr>
                  <w:tcW w:w="497" w:type="pct"/>
                  <w:vMerge w:val="restart"/>
                  <w:tcBorders>
                    <w:tl2br w:val="nil"/>
                    <w:tr2bl w:val="nil"/>
                  </w:tcBorders>
                  <w:shd w:val="clear" w:color="auto" w:fill="auto"/>
                  <w:tcMar>
                    <w:top w:w="0" w:type="dxa"/>
                    <w:left w:w="0" w:type="dxa"/>
                    <w:bottom w:w="0" w:type="dxa"/>
                    <w:right w:w="0" w:type="dxa"/>
                  </w:tcMar>
                  <w:vAlign w:val="center"/>
                </w:tcPr>
                <w:p w14:paraId="607205D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lang w:val="en-US" w:eastAsia="zh-CN"/>
                    </w:rPr>
                  </w:pPr>
                  <w:r>
                    <w:rPr>
                      <w:rFonts w:hint="default" w:ascii="Times New Roman" w:hAnsi="Times New Roman" w:cs="Times New Roman" w:eastAsiaTheme="minorEastAsia"/>
                      <w:b w:val="0"/>
                      <w:bCs/>
                      <w:sz w:val="21"/>
                      <w:szCs w:val="21"/>
                      <w:lang w:val="en-US" w:eastAsia="zh-CN"/>
                    </w:rPr>
                    <w:t>10:00-14:00；</w:t>
                  </w:r>
                </w:p>
                <w:p w14:paraId="5D52565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16:00-20:00</w:t>
                  </w:r>
                </w:p>
              </w:tc>
              <w:tc>
                <w:tcPr>
                  <w:tcW w:w="165" w:type="pct"/>
                  <w:tcBorders>
                    <w:tl2br w:val="nil"/>
                    <w:tr2bl w:val="nil"/>
                  </w:tcBorders>
                  <w:shd w:val="clear" w:color="auto" w:fill="auto"/>
                  <w:tcMar>
                    <w:top w:w="0" w:type="dxa"/>
                    <w:left w:w="0" w:type="dxa"/>
                    <w:bottom w:w="0" w:type="dxa"/>
                    <w:right w:w="0" w:type="dxa"/>
                  </w:tcMar>
                  <w:vAlign w:val="center"/>
                </w:tcPr>
                <w:p w14:paraId="2792A7F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5" w:type="pct"/>
                  <w:tcBorders>
                    <w:tl2br w:val="nil"/>
                    <w:tr2bl w:val="nil"/>
                  </w:tcBorders>
                  <w:shd w:val="clear" w:color="auto" w:fill="auto"/>
                  <w:tcMar>
                    <w:top w:w="0" w:type="dxa"/>
                    <w:left w:w="0" w:type="dxa"/>
                    <w:bottom w:w="0" w:type="dxa"/>
                    <w:right w:w="0" w:type="dxa"/>
                  </w:tcMar>
                  <w:vAlign w:val="center"/>
                </w:tcPr>
                <w:p w14:paraId="592C8DE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5" w:type="pct"/>
                  <w:tcBorders>
                    <w:tl2br w:val="nil"/>
                    <w:tr2bl w:val="nil"/>
                  </w:tcBorders>
                  <w:shd w:val="clear" w:color="auto" w:fill="auto"/>
                  <w:tcMar>
                    <w:top w:w="0" w:type="dxa"/>
                    <w:left w:w="0" w:type="dxa"/>
                    <w:bottom w:w="0" w:type="dxa"/>
                    <w:right w:w="0" w:type="dxa"/>
                  </w:tcMar>
                  <w:vAlign w:val="center"/>
                </w:tcPr>
                <w:p w14:paraId="34C700C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7" w:type="pct"/>
                  <w:tcBorders>
                    <w:tl2br w:val="nil"/>
                    <w:tr2bl w:val="nil"/>
                  </w:tcBorders>
                  <w:shd w:val="clear" w:color="auto" w:fill="auto"/>
                  <w:tcMar>
                    <w:top w:w="0" w:type="dxa"/>
                    <w:left w:w="0" w:type="dxa"/>
                    <w:bottom w:w="0" w:type="dxa"/>
                    <w:right w:w="0" w:type="dxa"/>
                  </w:tcMar>
                  <w:vAlign w:val="center"/>
                </w:tcPr>
                <w:p w14:paraId="19F0C2B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50" w:type="pct"/>
                  <w:tcBorders>
                    <w:tl2br w:val="nil"/>
                    <w:tr2bl w:val="nil"/>
                  </w:tcBorders>
                  <w:shd w:val="clear" w:color="auto" w:fill="auto"/>
                  <w:tcMar>
                    <w:top w:w="0" w:type="dxa"/>
                    <w:left w:w="0" w:type="dxa"/>
                    <w:bottom w:w="0" w:type="dxa"/>
                    <w:right w:w="0" w:type="dxa"/>
                  </w:tcMar>
                  <w:vAlign w:val="center"/>
                </w:tcPr>
                <w:p w14:paraId="5EE7655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67.7</w:t>
                  </w:r>
                </w:p>
              </w:tc>
              <w:tc>
                <w:tcPr>
                  <w:tcW w:w="150" w:type="pct"/>
                  <w:tcBorders>
                    <w:tl2br w:val="nil"/>
                    <w:tr2bl w:val="nil"/>
                  </w:tcBorders>
                  <w:shd w:val="clear" w:color="auto" w:fill="auto"/>
                  <w:tcMar>
                    <w:top w:w="0" w:type="dxa"/>
                    <w:left w:w="0" w:type="dxa"/>
                    <w:bottom w:w="0" w:type="dxa"/>
                    <w:right w:w="0" w:type="dxa"/>
                  </w:tcMar>
                  <w:vAlign w:val="center"/>
                </w:tcPr>
                <w:p w14:paraId="6696AA2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67.0</w:t>
                  </w:r>
                </w:p>
              </w:tc>
              <w:tc>
                <w:tcPr>
                  <w:tcW w:w="150" w:type="pct"/>
                  <w:tcBorders>
                    <w:tl2br w:val="nil"/>
                    <w:tr2bl w:val="nil"/>
                  </w:tcBorders>
                  <w:shd w:val="clear" w:color="auto" w:fill="auto"/>
                  <w:tcMar>
                    <w:top w:w="0" w:type="dxa"/>
                    <w:left w:w="0" w:type="dxa"/>
                    <w:bottom w:w="0" w:type="dxa"/>
                    <w:right w:w="0" w:type="dxa"/>
                  </w:tcMar>
                  <w:vAlign w:val="center"/>
                </w:tcPr>
                <w:p w14:paraId="6FD1725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67.0</w:t>
                  </w:r>
                </w:p>
              </w:tc>
              <w:tc>
                <w:tcPr>
                  <w:tcW w:w="150" w:type="pct"/>
                  <w:tcBorders>
                    <w:tl2br w:val="nil"/>
                    <w:tr2bl w:val="nil"/>
                  </w:tcBorders>
                  <w:shd w:val="clear" w:color="auto" w:fill="auto"/>
                  <w:tcMar>
                    <w:top w:w="0" w:type="dxa"/>
                    <w:left w:w="0" w:type="dxa"/>
                    <w:bottom w:w="0" w:type="dxa"/>
                    <w:right w:w="0" w:type="dxa"/>
                  </w:tcMar>
                  <w:vAlign w:val="center"/>
                </w:tcPr>
                <w:p w14:paraId="65D90B6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67.0</w:t>
                  </w:r>
                </w:p>
              </w:tc>
              <w:tc>
                <w:tcPr>
                  <w:tcW w:w="158" w:type="pct"/>
                  <w:tcBorders>
                    <w:tl2br w:val="nil"/>
                    <w:tr2bl w:val="nil"/>
                  </w:tcBorders>
                  <w:shd w:val="clear" w:color="auto" w:fill="auto"/>
                  <w:tcMar>
                    <w:top w:w="0" w:type="dxa"/>
                    <w:left w:w="0" w:type="dxa"/>
                    <w:bottom w:w="0" w:type="dxa"/>
                    <w:right w:w="0" w:type="dxa"/>
                  </w:tcMar>
                  <w:vAlign w:val="center"/>
                </w:tcPr>
                <w:p w14:paraId="155598E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w:t>
                  </w:r>
                </w:p>
              </w:tc>
            </w:tr>
            <w:tr w14:paraId="368B69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1" w:type="pct"/>
                  <w:tcBorders>
                    <w:tl2br w:val="nil"/>
                    <w:tr2bl w:val="nil"/>
                  </w:tcBorders>
                  <w:shd w:val="clear" w:color="auto" w:fill="auto"/>
                  <w:tcMar>
                    <w:top w:w="0" w:type="dxa"/>
                    <w:left w:w="0" w:type="dxa"/>
                    <w:bottom w:w="0" w:type="dxa"/>
                    <w:right w:w="0" w:type="dxa"/>
                  </w:tcMar>
                  <w:vAlign w:val="center"/>
                </w:tcPr>
                <w:p w14:paraId="176EC0D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w:t>
                  </w:r>
                </w:p>
              </w:tc>
              <w:tc>
                <w:tcPr>
                  <w:tcW w:w="223" w:type="pct"/>
                  <w:tcBorders>
                    <w:tl2br w:val="nil"/>
                    <w:tr2bl w:val="nil"/>
                  </w:tcBorders>
                  <w:shd w:val="clear" w:color="auto" w:fill="auto"/>
                  <w:tcMar>
                    <w:top w:w="0" w:type="dxa"/>
                    <w:left w:w="0" w:type="dxa"/>
                    <w:bottom w:w="0" w:type="dxa"/>
                    <w:right w:w="0" w:type="dxa"/>
                  </w:tcMar>
                  <w:vAlign w:val="center"/>
                </w:tcPr>
                <w:p w14:paraId="1369C08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1#厂房</w:t>
                  </w:r>
                </w:p>
              </w:tc>
              <w:tc>
                <w:tcPr>
                  <w:tcW w:w="279" w:type="pct"/>
                  <w:tcBorders>
                    <w:tl2br w:val="nil"/>
                    <w:tr2bl w:val="nil"/>
                  </w:tcBorders>
                  <w:shd w:val="clear" w:color="auto" w:fill="auto"/>
                  <w:tcMar>
                    <w:top w:w="0" w:type="dxa"/>
                    <w:left w:w="0" w:type="dxa"/>
                    <w:bottom w:w="0" w:type="dxa"/>
                    <w:right w:w="0" w:type="dxa"/>
                  </w:tcMar>
                  <w:vAlign w:val="center"/>
                </w:tcPr>
                <w:p w14:paraId="1CB1177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雷蒙磨2</w:t>
                  </w:r>
                </w:p>
              </w:tc>
              <w:tc>
                <w:tcPr>
                  <w:tcW w:w="294" w:type="pct"/>
                  <w:tcBorders>
                    <w:tl2br w:val="nil"/>
                    <w:tr2bl w:val="nil"/>
                  </w:tcBorders>
                  <w:shd w:val="clear" w:color="auto" w:fill="auto"/>
                  <w:tcMar>
                    <w:top w:w="0" w:type="dxa"/>
                    <w:left w:w="0" w:type="dxa"/>
                    <w:bottom w:w="0" w:type="dxa"/>
                    <w:right w:w="0" w:type="dxa"/>
                  </w:tcMar>
                  <w:vAlign w:val="center"/>
                </w:tcPr>
                <w:p w14:paraId="798C28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105</w:t>
                  </w:r>
                </w:p>
              </w:tc>
              <w:tc>
                <w:tcPr>
                  <w:tcW w:w="266" w:type="pct"/>
                  <w:vMerge w:val="continue"/>
                  <w:tcBorders>
                    <w:tl2br w:val="nil"/>
                    <w:tr2bl w:val="nil"/>
                  </w:tcBorders>
                  <w:shd w:val="clear" w:color="auto" w:fill="auto"/>
                  <w:tcMar>
                    <w:top w:w="0" w:type="dxa"/>
                    <w:left w:w="0" w:type="dxa"/>
                    <w:bottom w:w="0" w:type="dxa"/>
                    <w:right w:w="0" w:type="dxa"/>
                  </w:tcMar>
                  <w:vAlign w:val="center"/>
                </w:tcPr>
                <w:p w14:paraId="6C2709F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91" w:type="pct"/>
                  <w:tcBorders>
                    <w:tl2br w:val="nil"/>
                    <w:tr2bl w:val="nil"/>
                  </w:tcBorders>
                  <w:shd w:val="clear" w:color="auto" w:fill="auto"/>
                  <w:tcMar>
                    <w:top w:w="0" w:type="dxa"/>
                    <w:left w:w="0" w:type="dxa"/>
                    <w:bottom w:w="0" w:type="dxa"/>
                    <w:right w:w="0" w:type="dxa"/>
                  </w:tcMar>
                  <w:vAlign w:val="center"/>
                </w:tcPr>
                <w:p w14:paraId="1FFD79C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-22.4</w:t>
                  </w:r>
                </w:p>
              </w:tc>
              <w:tc>
                <w:tcPr>
                  <w:tcW w:w="191" w:type="pct"/>
                  <w:tcBorders>
                    <w:tl2br w:val="nil"/>
                    <w:tr2bl w:val="nil"/>
                  </w:tcBorders>
                  <w:shd w:val="clear" w:color="auto" w:fill="auto"/>
                  <w:tcMar>
                    <w:top w:w="0" w:type="dxa"/>
                    <w:left w:w="0" w:type="dxa"/>
                    <w:bottom w:w="0" w:type="dxa"/>
                    <w:right w:w="0" w:type="dxa"/>
                  </w:tcMar>
                  <w:vAlign w:val="center"/>
                </w:tcPr>
                <w:p w14:paraId="6962967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-9.7</w:t>
                  </w:r>
                </w:p>
              </w:tc>
              <w:tc>
                <w:tcPr>
                  <w:tcW w:w="117" w:type="pct"/>
                  <w:tcBorders>
                    <w:tl2br w:val="nil"/>
                    <w:tr2bl w:val="nil"/>
                  </w:tcBorders>
                  <w:shd w:val="clear" w:color="auto" w:fill="auto"/>
                  <w:tcMar>
                    <w:top w:w="0" w:type="dxa"/>
                    <w:left w:w="0" w:type="dxa"/>
                    <w:bottom w:w="0" w:type="dxa"/>
                    <w:right w:w="0" w:type="dxa"/>
                  </w:tcMar>
                  <w:vAlign w:val="center"/>
                </w:tcPr>
                <w:p w14:paraId="6106A61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w:t>
                  </w:r>
                </w:p>
              </w:tc>
              <w:tc>
                <w:tcPr>
                  <w:tcW w:w="153" w:type="pct"/>
                  <w:tcBorders>
                    <w:tl2br w:val="nil"/>
                    <w:tr2bl w:val="nil"/>
                  </w:tcBorders>
                  <w:shd w:val="clear" w:color="auto" w:fill="auto"/>
                  <w:tcMar>
                    <w:top w:w="0" w:type="dxa"/>
                    <w:left w:w="0" w:type="dxa"/>
                    <w:bottom w:w="0" w:type="dxa"/>
                    <w:right w:w="0" w:type="dxa"/>
                  </w:tcMar>
                  <w:vAlign w:val="center"/>
                </w:tcPr>
                <w:p w14:paraId="034429A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5.4</w:t>
                  </w:r>
                </w:p>
              </w:tc>
              <w:tc>
                <w:tcPr>
                  <w:tcW w:w="192" w:type="pct"/>
                  <w:tcBorders>
                    <w:tl2br w:val="nil"/>
                    <w:tr2bl w:val="nil"/>
                  </w:tcBorders>
                  <w:shd w:val="clear" w:color="auto" w:fill="auto"/>
                  <w:tcMar>
                    <w:top w:w="0" w:type="dxa"/>
                    <w:left w:w="0" w:type="dxa"/>
                    <w:bottom w:w="0" w:type="dxa"/>
                    <w:right w:w="0" w:type="dxa"/>
                  </w:tcMar>
                  <w:vAlign w:val="center"/>
                </w:tcPr>
                <w:p w14:paraId="6A8930D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56.0</w:t>
                  </w:r>
                </w:p>
              </w:tc>
              <w:tc>
                <w:tcPr>
                  <w:tcW w:w="153" w:type="pct"/>
                  <w:tcBorders>
                    <w:tl2br w:val="nil"/>
                    <w:tr2bl w:val="nil"/>
                  </w:tcBorders>
                  <w:shd w:val="clear" w:color="auto" w:fill="auto"/>
                  <w:tcMar>
                    <w:top w:w="0" w:type="dxa"/>
                    <w:left w:w="0" w:type="dxa"/>
                    <w:bottom w:w="0" w:type="dxa"/>
                    <w:right w:w="0" w:type="dxa"/>
                  </w:tcMar>
                  <w:vAlign w:val="center"/>
                </w:tcPr>
                <w:p w14:paraId="316F126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27.6</w:t>
                  </w:r>
                </w:p>
              </w:tc>
              <w:tc>
                <w:tcPr>
                  <w:tcW w:w="197" w:type="pct"/>
                  <w:tcBorders>
                    <w:tl2br w:val="nil"/>
                    <w:tr2bl w:val="nil"/>
                  </w:tcBorders>
                  <w:shd w:val="clear" w:color="auto" w:fill="auto"/>
                  <w:tcMar>
                    <w:top w:w="0" w:type="dxa"/>
                    <w:left w:w="0" w:type="dxa"/>
                    <w:bottom w:w="0" w:type="dxa"/>
                    <w:right w:w="0" w:type="dxa"/>
                  </w:tcMar>
                  <w:vAlign w:val="center"/>
                </w:tcPr>
                <w:p w14:paraId="61498A5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88.1</w:t>
                  </w:r>
                </w:p>
              </w:tc>
              <w:tc>
                <w:tcPr>
                  <w:tcW w:w="159" w:type="pct"/>
                  <w:tcBorders>
                    <w:tl2br w:val="nil"/>
                    <w:tr2bl w:val="nil"/>
                  </w:tcBorders>
                  <w:shd w:val="clear" w:color="auto" w:fill="auto"/>
                  <w:tcMar>
                    <w:top w:w="0" w:type="dxa"/>
                    <w:left w:w="0" w:type="dxa"/>
                    <w:bottom w:w="0" w:type="dxa"/>
                    <w:right w:w="0" w:type="dxa"/>
                  </w:tcMar>
                  <w:vAlign w:val="center"/>
                </w:tcPr>
                <w:p w14:paraId="2312B4F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88.6</w:t>
                  </w:r>
                </w:p>
              </w:tc>
              <w:tc>
                <w:tcPr>
                  <w:tcW w:w="159" w:type="pct"/>
                  <w:tcBorders>
                    <w:tl2br w:val="nil"/>
                    <w:tr2bl w:val="nil"/>
                  </w:tcBorders>
                  <w:shd w:val="clear" w:color="auto" w:fill="auto"/>
                  <w:tcMar>
                    <w:top w:w="0" w:type="dxa"/>
                    <w:left w:w="0" w:type="dxa"/>
                    <w:bottom w:w="0" w:type="dxa"/>
                    <w:right w:w="0" w:type="dxa"/>
                  </w:tcMar>
                  <w:vAlign w:val="center"/>
                </w:tcPr>
                <w:p w14:paraId="6D8BB36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88.0</w:t>
                  </w:r>
                </w:p>
              </w:tc>
              <w:tc>
                <w:tcPr>
                  <w:tcW w:w="159" w:type="pct"/>
                  <w:tcBorders>
                    <w:tl2br w:val="nil"/>
                    <w:tr2bl w:val="nil"/>
                  </w:tcBorders>
                  <w:shd w:val="clear" w:color="auto" w:fill="auto"/>
                  <w:tcMar>
                    <w:top w:w="0" w:type="dxa"/>
                    <w:left w:w="0" w:type="dxa"/>
                    <w:bottom w:w="0" w:type="dxa"/>
                    <w:right w:w="0" w:type="dxa"/>
                  </w:tcMar>
                  <w:vAlign w:val="center"/>
                </w:tcPr>
                <w:p w14:paraId="4B43079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88.0</w:t>
                  </w:r>
                </w:p>
              </w:tc>
              <w:tc>
                <w:tcPr>
                  <w:tcW w:w="161" w:type="pct"/>
                  <w:tcBorders>
                    <w:tl2br w:val="nil"/>
                    <w:tr2bl w:val="nil"/>
                  </w:tcBorders>
                  <w:shd w:val="clear" w:color="auto" w:fill="auto"/>
                  <w:tcMar>
                    <w:top w:w="0" w:type="dxa"/>
                    <w:left w:w="0" w:type="dxa"/>
                    <w:bottom w:w="0" w:type="dxa"/>
                    <w:right w:w="0" w:type="dxa"/>
                  </w:tcMar>
                  <w:vAlign w:val="center"/>
                </w:tcPr>
                <w:p w14:paraId="108D0B9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88.0</w:t>
                  </w:r>
                </w:p>
              </w:tc>
              <w:tc>
                <w:tcPr>
                  <w:tcW w:w="497" w:type="pct"/>
                  <w:vMerge w:val="continue"/>
                  <w:tcBorders>
                    <w:tl2br w:val="nil"/>
                    <w:tr2bl w:val="nil"/>
                  </w:tcBorders>
                  <w:shd w:val="clear" w:color="auto" w:fill="auto"/>
                  <w:tcMar>
                    <w:top w:w="0" w:type="dxa"/>
                    <w:left w:w="0" w:type="dxa"/>
                    <w:bottom w:w="0" w:type="dxa"/>
                    <w:right w:w="0" w:type="dxa"/>
                  </w:tcMar>
                  <w:vAlign w:val="center"/>
                </w:tcPr>
                <w:p w14:paraId="028FE4C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65" w:type="pct"/>
                  <w:tcBorders>
                    <w:tl2br w:val="nil"/>
                    <w:tr2bl w:val="nil"/>
                  </w:tcBorders>
                  <w:shd w:val="clear" w:color="auto" w:fill="auto"/>
                  <w:tcMar>
                    <w:top w:w="0" w:type="dxa"/>
                    <w:left w:w="0" w:type="dxa"/>
                    <w:bottom w:w="0" w:type="dxa"/>
                    <w:right w:w="0" w:type="dxa"/>
                  </w:tcMar>
                  <w:vAlign w:val="center"/>
                </w:tcPr>
                <w:p w14:paraId="39FF231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5" w:type="pct"/>
                  <w:tcBorders>
                    <w:tl2br w:val="nil"/>
                    <w:tr2bl w:val="nil"/>
                  </w:tcBorders>
                  <w:shd w:val="clear" w:color="auto" w:fill="auto"/>
                  <w:tcMar>
                    <w:top w:w="0" w:type="dxa"/>
                    <w:left w:w="0" w:type="dxa"/>
                    <w:bottom w:w="0" w:type="dxa"/>
                    <w:right w:w="0" w:type="dxa"/>
                  </w:tcMar>
                  <w:vAlign w:val="center"/>
                </w:tcPr>
                <w:p w14:paraId="7C50B71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5" w:type="pct"/>
                  <w:tcBorders>
                    <w:tl2br w:val="nil"/>
                    <w:tr2bl w:val="nil"/>
                  </w:tcBorders>
                  <w:shd w:val="clear" w:color="auto" w:fill="auto"/>
                  <w:tcMar>
                    <w:top w:w="0" w:type="dxa"/>
                    <w:left w:w="0" w:type="dxa"/>
                    <w:bottom w:w="0" w:type="dxa"/>
                    <w:right w:w="0" w:type="dxa"/>
                  </w:tcMar>
                  <w:vAlign w:val="center"/>
                </w:tcPr>
                <w:p w14:paraId="0234CA6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7" w:type="pct"/>
                  <w:tcBorders>
                    <w:tl2br w:val="nil"/>
                    <w:tr2bl w:val="nil"/>
                  </w:tcBorders>
                  <w:shd w:val="clear" w:color="auto" w:fill="auto"/>
                  <w:tcMar>
                    <w:top w:w="0" w:type="dxa"/>
                    <w:left w:w="0" w:type="dxa"/>
                    <w:bottom w:w="0" w:type="dxa"/>
                    <w:right w:w="0" w:type="dxa"/>
                  </w:tcMar>
                  <w:vAlign w:val="center"/>
                </w:tcPr>
                <w:p w14:paraId="6855D2D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50" w:type="pct"/>
                  <w:tcBorders>
                    <w:tl2br w:val="nil"/>
                    <w:tr2bl w:val="nil"/>
                  </w:tcBorders>
                  <w:shd w:val="clear" w:color="auto" w:fill="auto"/>
                  <w:tcMar>
                    <w:top w:w="0" w:type="dxa"/>
                    <w:left w:w="0" w:type="dxa"/>
                    <w:bottom w:w="0" w:type="dxa"/>
                    <w:right w:w="0" w:type="dxa"/>
                  </w:tcMar>
                  <w:vAlign w:val="center"/>
                </w:tcPr>
                <w:p w14:paraId="7538607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67.6</w:t>
                  </w:r>
                </w:p>
              </w:tc>
              <w:tc>
                <w:tcPr>
                  <w:tcW w:w="150" w:type="pct"/>
                  <w:tcBorders>
                    <w:tl2br w:val="nil"/>
                    <w:tr2bl w:val="nil"/>
                  </w:tcBorders>
                  <w:shd w:val="clear" w:color="auto" w:fill="auto"/>
                  <w:tcMar>
                    <w:top w:w="0" w:type="dxa"/>
                    <w:left w:w="0" w:type="dxa"/>
                    <w:bottom w:w="0" w:type="dxa"/>
                    <w:right w:w="0" w:type="dxa"/>
                  </w:tcMar>
                  <w:vAlign w:val="center"/>
                </w:tcPr>
                <w:p w14:paraId="12B64E2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67.0</w:t>
                  </w:r>
                </w:p>
              </w:tc>
              <w:tc>
                <w:tcPr>
                  <w:tcW w:w="150" w:type="pct"/>
                  <w:tcBorders>
                    <w:tl2br w:val="nil"/>
                    <w:tr2bl w:val="nil"/>
                  </w:tcBorders>
                  <w:shd w:val="clear" w:color="auto" w:fill="auto"/>
                  <w:tcMar>
                    <w:top w:w="0" w:type="dxa"/>
                    <w:left w:w="0" w:type="dxa"/>
                    <w:bottom w:w="0" w:type="dxa"/>
                    <w:right w:w="0" w:type="dxa"/>
                  </w:tcMar>
                  <w:vAlign w:val="center"/>
                </w:tcPr>
                <w:p w14:paraId="39150B4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67.0</w:t>
                  </w:r>
                </w:p>
              </w:tc>
              <w:tc>
                <w:tcPr>
                  <w:tcW w:w="150" w:type="pct"/>
                  <w:tcBorders>
                    <w:tl2br w:val="nil"/>
                    <w:tr2bl w:val="nil"/>
                  </w:tcBorders>
                  <w:shd w:val="clear" w:color="auto" w:fill="auto"/>
                  <w:tcMar>
                    <w:top w:w="0" w:type="dxa"/>
                    <w:left w:w="0" w:type="dxa"/>
                    <w:bottom w:w="0" w:type="dxa"/>
                    <w:right w:w="0" w:type="dxa"/>
                  </w:tcMar>
                  <w:vAlign w:val="center"/>
                </w:tcPr>
                <w:p w14:paraId="476555C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67.0</w:t>
                  </w:r>
                </w:p>
              </w:tc>
              <w:tc>
                <w:tcPr>
                  <w:tcW w:w="158" w:type="pct"/>
                  <w:tcBorders>
                    <w:tl2br w:val="nil"/>
                    <w:tr2bl w:val="nil"/>
                  </w:tcBorders>
                  <w:shd w:val="clear" w:color="auto" w:fill="auto"/>
                  <w:tcMar>
                    <w:top w:w="0" w:type="dxa"/>
                    <w:left w:w="0" w:type="dxa"/>
                    <w:bottom w:w="0" w:type="dxa"/>
                    <w:right w:w="0" w:type="dxa"/>
                  </w:tcMar>
                  <w:vAlign w:val="center"/>
                </w:tcPr>
                <w:p w14:paraId="72A7A41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w:t>
                  </w:r>
                </w:p>
              </w:tc>
            </w:tr>
            <w:tr w14:paraId="7515D5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1" w:type="pct"/>
                  <w:tcBorders>
                    <w:tl2br w:val="nil"/>
                    <w:tr2bl w:val="nil"/>
                  </w:tcBorders>
                  <w:shd w:val="clear" w:color="auto" w:fill="auto"/>
                  <w:tcMar>
                    <w:top w:w="0" w:type="dxa"/>
                    <w:left w:w="0" w:type="dxa"/>
                    <w:bottom w:w="0" w:type="dxa"/>
                    <w:right w:w="0" w:type="dxa"/>
                  </w:tcMar>
                  <w:vAlign w:val="center"/>
                </w:tcPr>
                <w:p w14:paraId="16BDD81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w:t>
                  </w:r>
                </w:p>
              </w:tc>
              <w:tc>
                <w:tcPr>
                  <w:tcW w:w="223" w:type="pct"/>
                  <w:tcBorders>
                    <w:tl2br w:val="nil"/>
                    <w:tr2bl w:val="nil"/>
                  </w:tcBorders>
                  <w:shd w:val="clear" w:color="auto" w:fill="auto"/>
                  <w:tcMar>
                    <w:top w:w="0" w:type="dxa"/>
                    <w:left w:w="0" w:type="dxa"/>
                    <w:bottom w:w="0" w:type="dxa"/>
                    <w:right w:w="0" w:type="dxa"/>
                  </w:tcMar>
                  <w:vAlign w:val="center"/>
                </w:tcPr>
                <w:p w14:paraId="564749C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1#厂房</w:t>
                  </w:r>
                </w:p>
              </w:tc>
              <w:tc>
                <w:tcPr>
                  <w:tcW w:w="279" w:type="pct"/>
                  <w:tcBorders>
                    <w:tl2br w:val="nil"/>
                    <w:tr2bl w:val="nil"/>
                  </w:tcBorders>
                  <w:shd w:val="clear" w:color="auto" w:fill="auto"/>
                  <w:tcMar>
                    <w:top w:w="0" w:type="dxa"/>
                    <w:left w:w="0" w:type="dxa"/>
                    <w:bottom w:w="0" w:type="dxa"/>
                    <w:right w:w="0" w:type="dxa"/>
                  </w:tcMar>
                  <w:vAlign w:val="center"/>
                </w:tcPr>
                <w:p w14:paraId="31F63F9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颚式破碎机</w:t>
                  </w:r>
                </w:p>
              </w:tc>
              <w:tc>
                <w:tcPr>
                  <w:tcW w:w="294" w:type="pct"/>
                  <w:tcBorders>
                    <w:tl2br w:val="nil"/>
                    <w:tr2bl w:val="nil"/>
                  </w:tcBorders>
                  <w:shd w:val="clear" w:color="auto" w:fill="auto"/>
                  <w:tcMar>
                    <w:top w:w="0" w:type="dxa"/>
                    <w:left w:w="0" w:type="dxa"/>
                    <w:bottom w:w="0" w:type="dxa"/>
                    <w:right w:w="0" w:type="dxa"/>
                  </w:tcMar>
                  <w:vAlign w:val="center"/>
                </w:tcPr>
                <w:p w14:paraId="71C182E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105</w:t>
                  </w:r>
                </w:p>
              </w:tc>
              <w:tc>
                <w:tcPr>
                  <w:tcW w:w="266" w:type="pct"/>
                  <w:vMerge w:val="continue"/>
                  <w:tcBorders>
                    <w:tl2br w:val="nil"/>
                    <w:tr2bl w:val="nil"/>
                  </w:tcBorders>
                  <w:shd w:val="clear" w:color="auto" w:fill="auto"/>
                  <w:tcMar>
                    <w:top w:w="0" w:type="dxa"/>
                    <w:left w:w="0" w:type="dxa"/>
                    <w:bottom w:w="0" w:type="dxa"/>
                    <w:right w:w="0" w:type="dxa"/>
                  </w:tcMar>
                  <w:vAlign w:val="center"/>
                </w:tcPr>
                <w:p w14:paraId="54FC7CE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91" w:type="pct"/>
                  <w:tcBorders>
                    <w:tl2br w:val="nil"/>
                    <w:tr2bl w:val="nil"/>
                  </w:tcBorders>
                  <w:shd w:val="clear" w:color="auto" w:fill="auto"/>
                  <w:tcMar>
                    <w:top w:w="0" w:type="dxa"/>
                    <w:left w:w="0" w:type="dxa"/>
                    <w:bottom w:w="0" w:type="dxa"/>
                    <w:right w:w="0" w:type="dxa"/>
                  </w:tcMar>
                  <w:vAlign w:val="center"/>
                </w:tcPr>
                <w:p w14:paraId="3F40DC5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-28.4</w:t>
                  </w:r>
                </w:p>
              </w:tc>
              <w:tc>
                <w:tcPr>
                  <w:tcW w:w="191" w:type="pct"/>
                  <w:tcBorders>
                    <w:tl2br w:val="nil"/>
                    <w:tr2bl w:val="nil"/>
                  </w:tcBorders>
                  <w:shd w:val="clear" w:color="auto" w:fill="auto"/>
                  <w:tcMar>
                    <w:top w:w="0" w:type="dxa"/>
                    <w:left w:w="0" w:type="dxa"/>
                    <w:bottom w:w="0" w:type="dxa"/>
                    <w:right w:w="0" w:type="dxa"/>
                  </w:tcMar>
                  <w:vAlign w:val="center"/>
                </w:tcPr>
                <w:p w14:paraId="51D4EE0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w:t>
                  </w:r>
                </w:p>
              </w:tc>
              <w:tc>
                <w:tcPr>
                  <w:tcW w:w="117" w:type="pct"/>
                  <w:tcBorders>
                    <w:tl2br w:val="nil"/>
                    <w:tr2bl w:val="nil"/>
                  </w:tcBorders>
                  <w:shd w:val="clear" w:color="auto" w:fill="auto"/>
                  <w:tcMar>
                    <w:top w:w="0" w:type="dxa"/>
                    <w:left w:w="0" w:type="dxa"/>
                    <w:bottom w:w="0" w:type="dxa"/>
                    <w:right w:w="0" w:type="dxa"/>
                  </w:tcMar>
                  <w:vAlign w:val="center"/>
                </w:tcPr>
                <w:p w14:paraId="28B6D31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w:t>
                  </w:r>
                </w:p>
              </w:tc>
              <w:tc>
                <w:tcPr>
                  <w:tcW w:w="153" w:type="pct"/>
                  <w:tcBorders>
                    <w:tl2br w:val="nil"/>
                    <w:tr2bl w:val="nil"/>
                  </w:tcBorders>
                  <w:shd w:val="clear" w:color="auto" w:fill="auto"/>
                  <w:tcMar>
                    <w:top w:w="0" w:type="dxa"/>
                    <w:left w:w="0" w:type="dxa"/>
                    <w:bottom w:w="0" w:type="dxa"/>
                    <w:right w:w="0" w:type="dxa"/>
                  </w:tcMar>
                  <w:vAlign w:val="center"/>
                </w:tcPr>
                <w:p w14:paraId="79DE0C5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3.8</w:t>
                  </w:r>
                </w:p>
              </w:tc>
              <w:tc>
                <w:tcPr>
                  <w:tcW w:w="192" w:type="pct"/>
                  <w:tcBorders>
                    <w:tl2br w:val="nil"/>
                    <w:tr2bl w:val="nil"/>
                  </w:tcBorders>
                  <w:shd w:val="clear" w:color="auto" w:fill="auto"/>
                  <w:tcMar>
                    <w:top w:w="0" w:type="dxa"/>
                    <w:left w:w="0" w:type="dxa"/>
                    <w:bottom w:w="0" w:type="dxa"/>
                    <w:right w:w="0" w:type="dxa"/>
                  </w:tcMar>
                  <w:vAlign w:val="center"/>
                </w:tcPr>
                <w:p w14:paraId="561846D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72.7</w:t>
                  </w:r>
                </w:p>
              </w:tc>
              <w:tc>
                <w:tcPr>
                  <w:tcW w:w="153" w:type="pct"/>
                  <w:tcBorders>
                    <w:tl2br w:val="nil"/>
                    <w:tr2bl w:val="nil"/>
                  </w:tcBorders>
                  <w:shd w:val="clear" w:color="auto" w:fill="auto"/>
                  <w:tcMar>
                    <w:top w:w="0" w:type="dxa"/>
                    <w:left w:w="0" w:type="dxa"/>
                    <w:bottom w:w="0" w:type="dxa"/>
                    <w:right w:w="0" w:type="dxa"/>
                  </w:tcMar>
                  <w:vAlign w:val="center"/>
                </w:tcPr>
                <w:p w14:paraId="3A77D4F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29.1</w:t>
                  </w:r>
                </w:p>
              </w:tc>
              <w:tc>
                <w:tcPr>
                  <w:tcW w:w="197" w:type="pct"/>
                  <w:tcBorders>
                    <w:tl2br w:val="nil"/>
                    <w:tr2bl w:val="nil"/>
                  </w:tcBorders>
                  <w:shd w:val="clear" w:color="auto" w:fill="auto"/>
                  <w:tcMar>
                    <w:top w:w="0" w:type="dxa"/>
                    <w:left w:w="0" w:type="dxa"/>
                    <w:bottom w:w="0" w:type="dxa"/>
                    <w:right w:w="0" w:type="dxa"/>
                  </w:tcMar>
                  <w:vAlign w:val="center"/>
                </w:tcPr>
                <w:p w14:paraId="07DD013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71.5</w:t>
                  </w:r>
                </w:p>
              </w:tc>
              <w:tc>
                <w:tcPr>
                  <w:tcW w:w="159" w:type="pct"/>
                  <w:tcBorders>
                    <w:tl2br w:val="nil"/>
                    <w:tr2bl w:val="nil"/>
                  </w:tcBorders>
                  <w:shd w:val="clear" w:color="auto" w:fill="auto"/>
                  <w:tcMar>
                    <w:top w:w="0" w:type="dxa"/>
                    <w:left w:w="0" w:type="dxa"/>
                    <w:bottom w:w="0" w:type="dxa"/>
                    <w:right w:w="0" w:type="dxa"/>
                  </w:tcMar>
                  <w:vAlign w:val="center"/>
                </w:tcPr>
                <w:p w14:paraId="67AD8A3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89.1</w:t>
                  </w:r>
                </w:p>
              </w:tc>
              <w:tc>
                <w:tcPr>
                  <w:tcW w:w="159" w:type="pct"/>
                  <w:tcBorders>
                    <w:tl2br w:val="nil"/>
                    <w:tr2bl w:val="nil"/>
                  </w:tcBorders>
                  <w:shd w:val="clear" w:color="auto" w:fill="auto"/>
                  <w:tcMar>
                    <w:top w:w="0" w:type="dxa"/>
                    <w:left w:w="0" w:type="dxa"/>
                    <w:bottom w:w="0" w:type="dxa"/>
                    <w:right w:w="0" w:type="dxa"/>
                  </w:tcMar>
                  <w:vAlign w:val="center"/>
                </w:tcPr>
                <w:p w14:paraId="22915D1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88.0</w:t>
                  </w:r>
                </w:p>
              </w:tc>
              <w:tc>
                <w:tcPr>
                  <w:tcW w:w="159" w:type="pct"/>
                  <w:tcBorders>
                    <w:tl2br w:val="nil"/>
                    <w:tr2bl w:val="nil"/>
                  </w:tcBorders>
                  <w:shd w:val="clear" w:color="auto" w:fill="auto"/>
                  <w:tcMar>
                    <w:top w:w="0" w:type="dxa"/>
                    <w:left w:w="0" w:type="dxa"/>
                    <w:bottom w:w="0" w:type="dxa"/>
                    <w:right w:w="0" w:type="dxa"/>
                  </w:tcMar>
                  <w:vAlign w:val="center"/>
                </w:tcPr>
                <w:p w14:paraId="2242944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88.0</w:t>
                  </w:r>
                </w:p>
              </w:tc>
              <w:tc>
                <w:tcPr>
                  <w:tcW w:w="161" w:type="pct"/>
                  <w:tcBorders>
                    <w:tl2br w:val="nil"/>
                    <w:tr2bl w:val="nil"/>
                  </w:tcBorders>
                  <w:shd w:val="clear" w:color="auto" w:fill="auto"/>
                  <w:tcMar>
                    <w:top w:w="0" w:type="dxa"/>
                    <w:left w:w="0" w:type="dxa"/>
                    <w:bottom w:w="0" w:type="dxa"/>
                    <w:right w:w="0" w:type="dxa"/>
                  </w:tcMar>
                  <w:vAlign w:val="center"/>
                </w:tcPr>
                <w:p w14:paraId="61ECC6F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88.0</w:t>
                  </w:r>
                </w:p>
              </w:tc>
              <w:tc>
                <w:tcPr>
                  <w:tcW w:w="497" w:type="pct"/>
                  <w:vMerge w:val="continue"/>
                  <w:tcBorders>
                    <w:tl2br w:val="nil"/>
                    <w:tr2bl w:val="nil"/>
                  </w:tcBorders>
                  <w:shd w:val="clear" w:color="auto" w:fill="auto"/>
                  <w:tcMar>
                    <w:top w:w="0" w:type="dxa"/>
                    <w:left w:w="0" w:type="dxa"/>
                    <w:bottom w:w="0" w:type="dxa"/>
                    <w:right w:w="0" w:type="dxa"/>
                  </w:tcMar>
                  <w:vAlign w:val="center"/>
                </w:tcPr>
                <w:p w14:paraId="0997AE1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65" w:type="pct"/>
                  <w:tcBorders>
                    <w:tl2br w:val="nil"/>
                    <w:tr2bl w:val="nil"/>
                  </w:tcBorders>
                  <w:shd w:val="clear" w:color="auto" w:fill="auto"/>
                  <w:tcMar>
                    <w:top w:w="0" w:type="dxa"/>
                    <w:left w:w="0" w:type="dxa"/>
                    <w:bottom w:w="0" w:type="dxa"/>
                    <w:right w:w="0" w:type="dxa"/>
                  </w:tcMar>
                  <w:vAlign w:val="center"/>
                </w:tcPr>
                <w:p w14:paraId="6759B39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5" w:type="pct"/>
                  <w:tcBorders>
                    <w:tl2br w:val="nil"/>
                    <w:tr2bl w:val="nil"/>
                  </w:tcBorders>
                  <w:shd w:val="clear" w:color="auto" w:fill="auto"/>
                  <w:tcMar>
                    <w:top w:w="0" w:type="dxa"/>
                    <w:left w:w="0" w:type="dxa"/>
                    <w:bottom w:w="0" w:type="dxa"/>
                    <w:right w:w="0" w:type="dxa"/>
                  </w:tcMar>
                  <w:vAlign w:val="center"/>
                </w:tcPr>
                <w:p w14:paraId="31252BD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5" w:type="pct"/>
                  <w:tcBorders>
                    <w:tl2br w:val="nil"/>
                    <w:tr2bl w:val="nil"/>
                  </w:tcBorders>
                  <w:shd w:val="clear" w:color="auto" w:fill="auto"/>
                  <w:tcMar>
                    <w:top w:w="0" w:type="dxa"/>
                    <w:left w:w="0" w:type="dxa"/>
                    <w:bottom w:w="0" w:type="dxa"/>
                    <w:right w:w="0" w:type="dxa"/>
                  </w:tcMar>
                  <w:vAlign w:val="center"/>
                </w:tcPr>
                <w:p w14:paraId="53915D9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7" w:type="pct"/>
                  <w:tcBorders>
                    <w:tl2br w:val="nil"/>
                    <w:tr2bl w:val="nil"/>
                  </w:tcBorders>
                  <w:shd w:val="clear" w:color="auto" w:fill="auto"/>
                  <w:tcMar>
                    <w:top w:w="0" w:type="dxa"/>
                    <w:left w:w="0" w:type="dxa"/>
                    <w:bottom w:w="0" w:type="dxa"/>
                    <w:right w:w="0" w:type="dxa"/>
                  </w:tcMar>
                  <w:vAlign w:val="center"/>
                </w:tcPr>
                <w:p w14:paraId="62D5506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50" w:type="pct"/>
                  <w:tcBorders>
                    <w:tl2br w:val="nil"/>
                    <w:tr2bl w:val="nil"/>
                  </w:tcBorders>
                  <w:shd w:val="clear" w:color="auto" w:fill="auto"/>
                  <w:tcMar>
                    <w:top w:w="0" w:type="dxa"/>
                    <w:left w:w="0" w:type="dxa"/>
                    <w:bottom w:w="0" w:type="dxa"/>
                    <w:right w:w="0" w:type="dxa"/>
                  </w:tcMar>
                  <w:vAlign w:val="center"/>
                </w:tcPr>
                <w:p w14:paraId="0FC01BC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68.1</w:t>
                  </w:r>
                </w:p>
              </w:tc>
              <w:tc>
                <w:tcPr>
                  <w:tcW w:w="150" w:type="pct"/>
                  <w:tcBorders>
                    <w:tl2br w:val="nil"/>
                    <w:tr2bl w:val="nil"/>
                  </w:tcBorders>
                  <w:shd w:val="clear" w:color="auto" w:fill="auto"/>
                  <w:tcMar>
                    <w:top w:w="0" w:type="dxa"/>
                    <w:left w:w="0" w:type="dxa"/>
                    <w:bottom w:w="0" w:type="dxa"/>
                    <w:right w:w="0" w:type="dxa"/>
                  </w:tcMar>
                  <w:vAlign w:val="center"/>
                </w:tcPr>
                <w:p w14:paraId="124FA2B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67.0</w:t>
                  </w:r>
                </w:p>
              </w:tc>
              <w:tc>
                <w:tcPr>
                  <w:tcW w:w="150" w:type="pct"/>
                  <w:tcBorders>
                    <w:tl2br w:val="nil"/>
                    <w:tr2bl w:val="nil"/>
                  </w:tcBorders>
                  <w:shd w:val="clear" w:color="auto" w:fill="auto"/>
                  <w:tcMar>
                    <w:top w:w="0" w:type="dxa"/>
                    <w:left w:w="0" w:type="dxa"/>
                    <w:bottom w:w="0" w:type="dxa"/>
                    <w:right w:w="0" w:type="dxa"/>
                  </w:tcMar>
                  <w:vAlign w:val="center"/>
                </w:tcPr>
                <w:p w14:paraId="308A8F0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67.0</w:t>
                  </w:r>
                </w:p>
              </w:tc>
              <w:tc>
                <w:tcPr>
                  <w:tcW w:w="150" w:type="pct"/>
                  <w:tcBorders>
                    <w:tl2br w:val="nil"/>
                    <w:tr2bl w:val="nil"/>
                  </w:tcBorders>
                  <w:shd w:val="clear" w:color="auto" w:fill="auto"/>
                  <w:tcMar>
                    <w:top w:w="0" w:type="dxa"/>
                    <w:left w:w="0" w:type="dxa"/>
                    <w:bottom w:w="0" w:type="dxa"/>
                    <w:right w:w="0" w:type="dxa"/>
                  </w:tcMar>
                  <w:vAlign w:val="center"/>
                </w:tcPr>
                <w:p w14:paraId="72ADFCC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67.0</w:t>
                  </w:r>
                </w:p>
              </w:tc>
              <w:tc>
                <w:tcPr>
                  <w:tcW w:w="158" w:type="pct"/>
                  <w:tcBorders>
                    <w:tl2br w:val="nil"/>
                    <w:tr2bl w:val="nil"/>
                  </w:tcBorders>
                  <w:shd w:val="clear" w:color="auto" w:fill="auto"/>
                  <w:tcMar>
                    <w:top w:w="0" w:type="dxa"/>
                    <w:left w:w="0" w:type="dxa"/>
                    <w:bottom w:w="0" w:type="dxa"/>
                    <w:right w:w="0" w:type="dxa"/>
                  </w:tcMar>
                  <w:vAlign w:val="center"/>
                </w:tcPr>
                <w:p w14:paraId="32D7052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w:t>
                  </w:r>
                </w:p>
              </w:tc>
            </w:tr>
            <w:tr w14:paraId="69AAB6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1" w:type="pct"/>
                  <w:tcBorders>
                    <w:tl2br w:val="nil"/>
                    <w:tr2bl w:val="nil"/>
                  </w:tcBorders>
                  <w:shd w:val="clear" w:color="auto" w:fill="auto"/>
                  <w:tcMar>
                    <w:top w:w="0" w:type="dxa"/>
                    <w:left w:w="0" w:type="dxa"/>
                    <w:bottom w:w="0" w:type="dxa"/>
                    <w:right w:w="0" w:type="dxa"/>
                  </w:tcMar>
                  <w:vAlign w:val="center"/>
                </w:tcPr>
                <w:p w14:paraId="0B0A78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w:t>
                  </w:r>
                </w:p>
              </w:tc>
              <w:tc>
                <w:tcPr>
                  <w:tcW w:w="223" w:type="pct"/>
                  <w:tcBorders>
                    <w:tl2br w:val="nil"/>
                    <w:tr2bl w:val="nil"/>
                  </w:tcBorders>
                  <w:shd w:val="clear" w:color="auto" w:fill="auto"/>
                  <w:tcMar>
                    <w:top w:w="0" w:type="dxa"/>
                    <w:left w:w="0" w:type="dxa"/>
                    <w:bottom w:w="0" w:type="dxa"/>
                    <w:right w:w="0" w:type="dxa"/>
                  </w:tcMar>
                  <w:vAlign w:val="center"/>
                </w:tcPr>
                <w:p w14:paraId="39D1E1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1#厂房</w:t>
                  </w:r>
                </w:p>
              </w:tc>
              <w:tc>
                <w:tcPr>
                  <w:tcW w:w="279" w:type="pct"/>
                  <w:tcBorders>
                    <w:tl2br w:val="nil"/>
                    <w:tr2bl w:val="nil"/>
                  </w:tcBorders>
                  <w:shd w:val="clear" w:color="auto" w:fill="auto"/>
                  <w:tcMar>
                    <w:top w:w="0" w:type="dxa"/>
                    <w:left w:w="0" w:type="dxa"/>
                    <w:bottom w:w="0" w:type="dxa"/>
                    <w:right w:w="0" w:type="dxa"/>
                  </w:tcMar>
                  <w:vAlign w:val="center"/>
                </w:tcPr>
                <w:p w14:paraId="11C039A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高效分级机（分选机）</w:t>
                  </w:r>
                </w:p>
              </w:tc>
              <w:tc>
                <w:tcPr>
                  <w:tcW w:w="294" w:type="pct"/>
                  <w:tcBorders>
                    <w:tl2br w:val="nil"/>
                    <w:tr2bl w:val="nil"/>
                  </w:tcBorders>
                  <w:shd w:val="clear" w:color="auto" w:fill="auto"/>
                  <w:tcMar>
                    <w:top w:w="0" w:type="dxa"/>
                    <w:left w:w="0" w:type="dxa"/>
                    <w:bottom w:w="0" w:type="dxa"/>
                    <w:right w:w="0" w:type="dxa"/>
                  </w:tcMar>
                  <w:vAlign w:val="center"/>
                </w:tcPr>
                <w:p w14:paraId="71AB78A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85</w:t>
                  </w:r>
                </w:p>
              </w:tc>
              <w:tc>
                <w:tcPr>
                  <w:tcW w:w="266" w:type="pct"/>
                  <w:vMerge w:val="continue"/>
                  <w:tcBorders>
                    <w:tl2br w:val="nil"/>
                    <w:tr2bl w:val="nil"/>
                  </w:tcBorders>
                  <w:shd w:val="clear" w:color="auto" w:fill="auto"/>
                  <w:tcMar>
                    <w:top w:w="0" w:type="dxa"/>
                    <w:left w:w="0" w:type="dxa"/>
                    <w:bottom w:w="0" w:type="dxa"/>
                    <w:right w:w="0" w:type="dxa"/>
                  </w:tcMar>
                  <w:vAlign w:val="center"/>
                </w:tcPr>
                <w:p w14:paraId="133053F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91" w:type="pct"/>
                  <w:tcBorders>
                    <w:tl2br w:val="nil"/>
                    <w:tr2bl w:val="nil"/>
                  </w:tcBorders>
                  <w:shd w:val="clear" w:color="auto" w:fill="auto"/>
                  <w:tcMar>
                    <w:top w:w="0" w:type="dxa"/>
                    <w:left w:w="0" w:type="dxa"/>
                    <w:bottom w:w="0" w:type="dxa"/>
                    <w:right w:w="0" w:type="dxa"/>
                  </w:tcMar>
                  <w:vAlign w:val="center"/>
                </w:tcPr>
                <w:p w14:paraId="5776A81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-20.9</w:t>
                  </w:r>
                </w:p>
              </w:tc>
              <w:tc>
                <w:tcPr>
                  <w:tcW w:w="191" w:type="pct"/>
                  <w:tcBorders>
                    <w:tl2br w:val="nil"/>
                    <w:tr2bl w:val="nil"/>
                  </w:tcBorders>
                  <w:shd w:val="clear" w:color="auto" w:fill="auto"/>
                  <w:tcMar>
                    <w:top w:w="0" w:type="dxa"/>
                    <w:left w:w="0" w:type="dxa"/>
                    <w:bottom w:w="0" w:type="dxa"/>
                    <w:right w:w="0" w:type="dxa"/>
                  </w:tcMar>
                  <w:vAlign w:val="center"/>
                </w:tcPr>
                <w:p w14:paraId="6AC72DB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-23.3</w:t>
                  </w:r>
                </w:p>
              </w:tc>
              <w:tc>
                <w:tcPr>
                  <w:tcW w:w="117" w:type="pct"/>
                  <w:tcBorders>
                    <w:tl2br w:val="nil"/>
                    <w:tr2bl w:val="nil"/>
                  </w:tcBorders>
                  <w:shd w:val="clear" w:color="auto" w:fill="auto"/>
                  <w:tcMar>
                    <w:top w:w="0" w:type="dxa"/>
                    <w:left w:w="0" w:type="dxa"/>
                    <w:bottom w:w="0" w:type="dxa"/>
                    <w:right w:w="0" w:type="dxa"/>
                  </w:tcMar>
                  <w:vAlign w:val="center"/>
                </w:tcPr>
                <w:p w14:paraId="3001085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w:t>
                  </w:r>
                </w:p>
              </w:tc>
              <w:tc>
                <w:tcPr>
                  <w:tcW w:w="153" w:type="pct"/>
                  <w:tcBorders>
                    <w:tl2br w:val="nil"/>
                    <w:tr2bl w:val="nil"/>
                  </w:tcBorders>
                  <w:shd w:val="clear" w:color="auto" w:fill="auto"/>
                  <w:tcMar>
                    <w:top w:w="0" w:type="dxa"/>
                    <w:left w:w="0" w:type="dxa"/>
                    <w:bottom w:w="0" w:type="dxa"/>
                    <w:right w:w="0" w:type="dxa"/>
                  </w:tcMar>
                  <w:vAlign w:val="center"/>
                </w:tcPr>
                <w:p w14:paraId="29F1F53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10.0</w:t>
                  </w:r>
                </w:p>
              </w:tc>
              <w:tc>
                <w:tcPr>
                  <w:tcW w:w="192" w:type="pct"/>
                  <w:tcBorders>
                    <w:tl2br w:val="nil"/>
                    <w:tr2bl w:val="nil"/>
                  </w:tcBorders>
                  <w:shd w:val="clear" w:color="auto" w:fill="auto"/>
                  <w:tcMar>
                    <w:top w:w="0" w:type="dxa"/>
                    <w:left w:w="0" w:type="dxa"/>
                    <w:bottom w:w="0" w:type="dxa"/>
                    <w:right w:w="0" w:type="dxa"/>
                  </w:tcMar>
                  <w:vAlign w:val="center"/>
                </w:tcPr>
                <w:p w14:paraId="1629A4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43.4</w:t>
                  </w:r>
                </w:p>
              </w:tc>
              <w:tc>
                <w:tcPr>
                  <w:tcW w:w="153" w:type="pct"/>
                  <w:tcBorders>
                    <w:tl2br w:val="nil"/>
                    <w:tr2bl w:val="nil"/>
                  </w:tcBorders>
                  <w:shd w:val="clear" w:color="auto" w:fill="auto"/>
                  <w:tcMar>
                    <w:top w:w="0" w:type="dxa"/>
                    <w:left w:w="0" w:type="dxa"/>
                    <w:bottom w:w="0" w:type="dxa"/>
                    <w:right w:w="0" w:type="dxa"/>
                  </w:tcMar>
                  <w:vAlign w:val="center"/>
                </w:tcPr>
                <w:p w14:paraId="4F4DB7F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23.0</w:t>
                  </w:r>
                </w:p>
              </w:tc>
              <w:tc>
                <w:tcPr>
                  <w:tcW w:w="197" w:type="pct"/>
                  <w:tcBorders>
                    <w:tl2br w:val="nil"/>
                    <w:tr2bl w:val="nil"/>
                  </w:tcBorders>
                  <w:shd w:val="clear" w:color="auto" w:fill="auto"/>
                  <w:tcMar>
                    <w:top w:w="0" w:type="dxa"/>
                    <w:left w:w="0" w:type="dxa"/>
                    <w:bottom w:w="0" w:type="dxa"/>
                    <w:right w:w="0" w:type="dxa"/>
                  </w:tcMar>
                  <w:vAlign w:val="center"/>
                </w:tcPr>
                <w:p w14:paraId="79AA509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100.7</w:t>
                  </w:r>
                </w:p>
              </w:tc>
              <w:tc>
                <w:tcPr>
                  <w:tcW w:w="159" w:type="pct"/>
                  <w:tcBorders>
                    <w:tl2br w:val="nil"/>
                    <w:tr2bl w:val="nil"/>
                  </w:tcBorders>
                  <w:shd w:val="clear" w:color="auto" w:fill="auto"/>
                  <w:tcMar>
                    <w:top w:w="0" w:type="dxa"/>
                    <w:left w:w="0" w:type="dxa"/>
                    <w:bottom w:w="0" w:type="dxa"/>
                    <w:right w:w="0" w:type="dxa"/>
                  </w:tcMar>
                  <w:vAlign w:val="center"/>
                </w:tcPr>
                <w:p w14:paraId="1C29720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68.2</w:t>
                  </w:r>
                </w:p>
              </w:tc>
              <w:tc>
                <w:tcPr>
                  <w:tcW w:w="159" w:type="pct"/>
                  <w:tcBorders>
                    <w:tl2br w:val="nil"/>
                    <w:tr2bl w:val="nil"/>
                  </w:tcBorders>
                  <w:shd w:val="clear" w:color="auto" w:fill="auto"/>
                  <w:tcMar>
                    <w:top w:w="0" w:type="dxa"/>
                    <w:left w:w="0" w:type="dxa"/>
                    <w:bottom w:w="0" w:type="dxa"/>
                    <w:right w:w="0" w:type="dxa"/>
                  </w:tcMar>
                  <w:vAlign w:val="center"/>
                </w:tcPr>
                <w:p w14:paraId="4687085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68.0</w:t>
                  </w:r>
                </w:p>
              </w:tc>
              <w:tc>
                <w:tcPr>
                  <w:tcW w:w="159" w:type="pct"/>
                  <w:tcBorders>
                    <w:tl2br w:val="nil"/>
                    <w:tr2bl w:val="nil"/>
                  </w:tcBorders>
                  <w:shd w:val="clear" w:color="auto" w:fill="auto"/>
                  <w:tcMar>
                    <w:top w:w="0" w:type="dxa"/>
                    <w:left w:w="0" w:type="dxa"/>
                    <w:bottom w:w="0" w:type="dxa"/>
                    <w:right w:w="0" w:type="dxa"/>
                  </w:tcMar>
                  <w:vAlign w:val="center"/>
                </w:tcPr>
                <w:p w14:paraId="0A04067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68.0</w:t>
                  </w:r>
                </w:p>
              </w:tc>
              <w:tc>
                <w:tcPr>
                  <w:tcW w:w="161" w:type="pct"/>
                  <w:tcBorders>
                    <w:tl2br w:val="nil"/>
                    <w:tr2bl w:val="nil"/>
                  </w:tcBorders>
                  <w:shd w:val="clear" w:color="auto" w:fill="auto"/>
                  <w:tcMar>
                    <w:top w:w="0" w:type="dxa"/>
                    <w:left w:w="0" w:type="dxa"/>
                    <w:bottom w:w="0" w:type="dxa"/>
                    <w:right w:w="0" w:type="dxa"/>
                  </w:tcMar>
                  <w:vAlign w:val="center"/>
                </w:tcPr>
                <w:p w14:paraId="1E9200E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68.0</w:t>
                  </w:r>
                </w:p>
              </w:tc>
              <w:tc>
                <w:tcPr>
                  <w:tcW w:w="497" w:type="pct"/>
                  <w:vMerge w:val="continue"/>
                  <w:tcBorders>
                    <w:tl2br w:val="nil"/>
                    <w:tr2bl w:val="nil"/>
                  </w:tcBorders>
                  <w:shd w:val="clear" w:color="auto" w:fill="auto"/>
                  <w:tcMar>
                    <w:top w:w="0" w:type="dxa"/>
                    <w:left w:w="0" w:type="dxa"/>
                    <w:bottom w:w="0" w:type="dxa"/>
                    <w:right w:w="0" w:type="dxa"/>
                  </w:tcMar>
                  <w:vAlign w:val="center"/>
                </w:tcPr>
                <w:p w14:paraId="773836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65" w:type="pct"/>
                  <w:tcBorders>
                    <w:tl2br w:val="nil"/>
                    <w:tr2bl w:val="nil"/>
                  </w:tcBorders>
                  <w:shd w:val="clear" w:color="auto" w:fill="auto"/>
                  <w:tcMar>
                    <w:top w:w="0" w:type="dxa"/>
                    <w:left w:w="0" w:type="dxa"/>
                    <w:bottom w:w="0" w:type="dxa"/>
                    <w:right w:w="0" w:type="dxa"/>
                  </w:tcMar>
                  <w:vAlign w:val="center"/>
                </w:tcPr>
                <w:p w14:paraId="7DD20D5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5" w:type="pct"/>
                  <w:tcBorders>
                    <w:tl2br w:val="nil"/>
                    <w:tr2bl w:val="nil"/>
                  </w:tcBorders>
                  <w:shd w:val="clear" w:color="auto" w:fill="auto"/>
                  <w:tcMar>
                    <w:top w:w="0" w:type="dxa"/>
                    <w:left w:w="0" w:type="dxa"/>
                    <w:bottom w:w="0" w:type="dxa"/>
                    <w:right w:w="0" w:type="dxa"/>
                  </w:tcMar>
                  <w:vAlign w:val="center"/>
                </w:tcPr>
                <w:p w14:paraId="0A03196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5" w:type="pct"/>
                  <w:tcBorders>
                    <w:tl2br w:val="nil"/>
                    <w:tr2bl w:val="nil"/>
                  </w:tcBorders>
                  <w:shd w:val="clear" w:color="auto" w:fill="auto"/>
                  <w:tcMar>
                    <w:top w:w="0" w:type="dxa"/>
                    <w:left w:w="0" w:type="dxa"/>
                    <w:bottom w:w="0" w:type="dxa"/>
                    <w:right w:w="0" w:type="dxa"/>
                  </w:tcMar>
                  <w:vAlign w:val="center"/>
                </w:tcPr>
                <w:p w14:paraId="09C873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7" w:type="pct"/>
                  <w:tcBorders>
                    <w:tl2br w:val="nil"/>
                    <w:tr2bl w:val="nil"/>
                  </w:tcBorders>
                  <w:shd w:val="clear" w:color="auto" w:fill="auto"/>
                  <w:tcMar>
                    <w:top w:w="0" w:type="dxa"/>
                    <w:left w:w="0" w:type="dxa"/>
                    <w:bottom w:w="0" w:type="dxa"/>
                    <w:right w:w="0" w:type="dxa"/>
                  </w:tcMar>
                  <w:vAlign w:val="center"/>
                </w:tcPr>
                <w:p w14:paraId="400940D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50" w:type="pct"/>
                  <w:tcBorders>
                    <w:tl2br w:val="nil"/>
                    <w:tr2bl w:val="nil"/>
                  </w:tcBorders>
                  <w:shd w:val="clear" w:color="auto" w:fill="auto"/>
                  <w:tcMar>
                    <w:top w:w="0" w:type="dxa"/>
                    <w:left w:w="0" w:type="dxa"/>
                    <w:bottom w:w="0" w:type="dxa"/>
                    <w:right w:w="0" w:type="dxa"/>
                  </w:tcMar>
                  <w:vAlign w:val="center"/>
                </w:tcPr>
                <w:p w14:paraId="281C317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47.2</w:t>
                  </w:r>
                </w:p>
              </w:tc>
              <w:tc>
                <w:tcPr>
                  <w:tcW w:w="150" w:type="pct"/>
                  <w:tcBorders>
                    <w:tl2br w:val="nil"/>
                    <w:tr2bl w:val="nil"/>
                  </w:tcBorders>
                  <w:shd w:val="clear" w:color="auto" w:fill="auto"/>
                  <w:tcMar>
                    <w:top w:w="0" w:type="dxa"/>
                    <w:left w:w="0" w:type="dxa"/>
                    <w:bottom w:w="0" w:type="dxa"/>
                    <w:right w:w="0" w:type="dxa"/>
                  </w:tcMar>
                  <w:vAlign w:val="center"/>
                </w:tcPr>
                <w:p w14:paraId="5553E4C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47.0</w:t>
                  </w:r>
                </w:p>
              </w:tc>
              <w:tc>
                <w:tcPr>
                  <w:tcW w:w="150" w:type="pct"/>
                  <w:tcBorders>
                    <w:tl2br w:val="nil"/>
                    <w:tr2bl w:val="nil"/>
                  </w:tcBorders>
                  <w:shd w:val="clear" w:color="auto" w:fill="auto"/>
                  <w:tcMar>
                    <w:top w:w="0" w:type="dxa"/>
                    <w:left w:w="0" w:type="dxa"/>
                    <w:bottom w:w="0" w:type="dxa"/>
                    <w:right w:w="0" w:type="dxa"/>
                  </w:tcMar>
                  <w:vAlign w:val="center"/>
                </w:tcPr>
                <w:p w14:paraId="159EBAF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47.0</w:t>
                  </w:r>
                </w:p>
              </w:tc>
              <w:tc>
                <w:tcPr>
                  <w:tcW w:w="150" w:type="pct"/>
                  <w:tcBorders>
                    <w:tl2br w:val="nil"/>
                    <w:tr2bl w:val="nil"/>
                  </w:tcBorders>
                  <w:shd w:val="clear" w:color="auto" w:fill="auto"/>
                  <w:tcMar>
                    <w:top w:w="0" w:type="dxa"/>
                    <w:left w:w="0" w:type="dxa"/>
                    <w:bottom w:w="0" w:type="dxa"/>
                    <w:right w:w="0" w:type="dxa"/>
                  </w:tcMar>
                  <w:vAlign w:val="center"/>
                </w:tcPr>
                <w:p w14:paraId="70D5C66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47.0</w:t>
                  </w:r>
                </w:p>
              </w:tc>
              <w:tc>
                <w:tcPr>
                  <w:tcW w:w="158" w:type="pct"/>
                  <w:tcBorders>
                    <w:tl2br w:val="nil"/>
                    <w:tr2bl w:val="nil"/>
                  </w:tcBorders>
                  <w:shd w:val="clear" w:color="auto" w:fill="auto"/>
                  <w:tcMar>
                    <w:top w:w="0" w:type="dxa"/>
                    <w:left w:w="0" w:type="dxa"/>
                    <w:bottom w:w="0" w:type="dxa"/>
                    <w:right w:w="0" w:type="dxa"/>
                  </w:tcMar>
                  <w:vAlign w:val="center"/>
                </w:tcPr>
                <w:p w14:paraId="128BF3C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w:t>
                  </w:r>
                </w:p>
              </w:tc>
            </w:tr>
            <w:tr w14:paraId="6C3569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1" w:type="pct"/>
                  <w:tcBorders>
                    <w:tl2br w:val="nil"/>
                    <w:tr2bl w:val="nil"/>
                  </w:tcBorders>
                  <w:shd w:val="clear" w:color="auto" w:fill="auto"/>
                  <w:tcMar>
                    <w:top w:w="0" w:type="dxa"/>
                    <w:left w:w="0" w:type="dxa"/>
                    <w:bottom w:w="0" w:type="dxa"/>
                    <w:right w:w="0" w:type="dxa"/>
                  </w:tcMar>
                  <w:vAlign w:val="center"/>
                </w:tcPr>
                <w:p w14:paraId="6818A49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5</w:t>
                  </w:r>
                </w:p>
              </w:tc>
              <w:tc>
                <w:tcPr>
                  <w:tcW w:w="223" w:type="pct"/>
                  <w:tcBorders>
                    <w:tl2br w:val="nil"/>
                    <w:tr2bl w:val="nil"/>
                  </w:tcBorders>
                  <w:shd w:val="clear" w:color="auto" w:fill="auto"/>
                  <w:tcMar>
                    <w:top w:w="0" w:type="dxa"/>
                    <w:left w:w="0" w:type="dxa"/>
                    <w:bottom w:w="0" w:type="dxa"/>
                    <w:right w:w="0" w:type="dxa"/>
                  </w:tcMar>
                  <w:vAlign w:val="center"/>
                </w:tcPr>
                <w:p w14:paraId="534D34A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1#厂房</w:t>
                  </w:r>
                </w:p>
              </w:tc>
              <w:tc>
                <w:tcPr>
                  <w:tcW w:w="279" w:type="pct"/>
                  <w:tcBorders>
                    <w:tl2br w:val="nil"/>
                    <w:tr2bl w:val="nil"/>
                  </w:tcBorders>
                  <w:shd w:val="clear" w:color="auto" w:fill="auto"/>
                  <w:tcMar>
                    <w:top w:w="0" w:type="dxa"/>
                    <w:left w:w="0" w:type="dxa"/>
                    <w:bottom w:w="0" w:type="dxa"/>
                    <w:right w:w="0" w:type="dxa"/>
                  </w:tcMar>
                  <w:vAlign w:val="center"/>
                </w:tcPr>
                <w:p w14:paraId="0C8BDED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振动筛（筛选机）</w:t>
                  </w:r>
                </w:p>
              </w:tc>
              <w:tc>
                <w:tcPr>
                  <w:tcW w:w="294" w:type="pct"/>
                  <w:tcBorders>
                    <w:tl2br w:val="nil"/>
                    <w:tr2bl w:val="nil"/>
                  </w:tcBorders>
                  <w:shd w:val="clear" w:color="auto" w:fill="auto"/>
                  <w:tcMar>
                    <w:top w:w="0" w:type="dxa"/>
                    <w:left w:w="0" w:type="dxa"/>
                    <w:bottom w:w="0" w:type="dxa"/>
                    <w:right w:w="0" w:type="dxa"/>
                  </w:tcMar>
                  <w:vAlign w:val="center"/>
                </w:tcPr>
                <w:p w14:paraId="6F7C9EE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85</w:t>
                  </w:r>
                </w:p>
              </w:tc>
              <w:tc>
                <w:tcPr>
                  <w:tcW w:w="266" w:type="pct"/>
                  <w:vMerge w:val="continue"/>
                  <w:tcBorders>
                    <w:tl2br w:val="nil"/>
                    <w:tr2bl w:val="nil"/>
                  </w:tcBorders>
                  <w:shd w:val="clear" w:color="auto" w:fill="auto"/>
                  <w:tcMar>
                    <w:top w:w="0" w:type="dxa"/>
                    <w:left w:w="0" w:type="dxa"/>
                    <w:bottom w:w="0" w:type="dxa"/>
                    <w:right w:w="0" w:type="dxa"/>
                  </w:tcMar>
                  <w:vAlign w:val="center"/>
                </w:tcPr>
                <w:p w14:paraId="253F472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91" w:type="pct"/>
                  <w:tcBorders>
                    <w:tl2br w:val="nil"/>
                    <w:tr2bl w:val="nil"/>
                  </w:tcBorders>
                  <w:shd w:val="clear" w:color="auto" w:fill="auto"/>
                  <w:tcMar>
                    <w:top w:w="0" w:type="dxa"/>
                    <w:left w:w="0" w:type="dxa"/>
                    <w:bottom w:w="0" w:type="dxa"/>
                    <w:right w:w="0" w:type="dxa"/>
                  </w:tcMar>
                  <w:vAlign w:val="center"/>
                </w:tcPr>
                <w:p w14:paraId="1896CBE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-36.1</w:t>
                  </w:r>
                </w:p>
              </w:tc>
              <w:tc>
                <w:tcPr>
                  <w:tcW w:w="191" w:type="pct"/>
                  <w:tcBorders>
                    <w:tl2br w:val="nil"/>
                    <w:tr2bl w:val="nil"/>
                  </w:tcBorders>
                  <w:shd w:val="clear" w:color="auto" w:fill="auto"/>
                  <w:tcMar>
                    <w:top w:w="0" w:type="dxa"/>
                    <w:left w:w="0" w:type="dxa"/>
                    <w:bottom w:w="0" w:type="dxa"/>
                    <w:right w:w="0" w:type="dxa"/>
                  </w:tcMar>
                  <w:vAlign w:val="center"/>
                </w:tcPr>
                <w:p w14:paraId="31D3CAF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4.2</w:t>
                  </w:r>
                </w:p>
              </w:tc>
              <w:tc>
                <w:tcPr>
                  <w:tcW w:w="117" w:type="pct"/>
                  <w:tcBorders>
                    <w:tl2br w:val="nil"/>
                    <w:tr2bl w:val="nil"/>
                  </w:tcBorders>
                  <w:shd w:val="clear" w:color="auto" w:fill="auto"/>
                  <w:tcMar>
                    <w:top w:w="0" w:type="dxa"/>
                    <w:left w:w="0" w:type="dxa"/>
                    <w:bottom w:w="0" w:type="dxa"/>
                    <w:right w:w="0" w:type="dxa"/>
                  </w:tcMar>
                  <w:vAlign w:val="center"/>
                </w:tcPr>
                <w:p w14:paraId="0D7D7A8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w:t>
                  </w:r>
                </w:p>
              </w:tc>
              <w:tc>
                <w:tcPr>
                  <w:tcW w:w="153" w:type="pct"/>
                  <w:tcBorders>
                    <w:tl2br w:val="nil"/>
                    <w:tr2bl w:val="nil"/>
                  </w:tcBorders>
                  <w:shd w:val="clear" w:color="auto" w:fill="auto"/>
                  <w:tcMar>
                    <w:top w:w="0" w:type="dxa"/>
                    <w:left w:w="0" w:type="dxa"/>
                    <w:bottom w:w="0" w:type="dxa"/>
                    <w:right w:w="0" w:type="dxa"/>
                  </w:tcMar>
                  <w:vAlign w:val="center"/>
                </w:tcPr>
                <w:p w14:paraId="3222CE4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11.6</w:t>
                  </w:r>
                </w:p>
              </w:tc>
              <w:tc>
                <w:tcPr>
                  <w:tcW w:w="192" w:type="pct"/>
                  <w:tcBorders>
                    <w:tl2br w:val="nil"/>
                    <w:tr2bl w:val="nil"/>
                  </w:tcBorders>
                  <w:shd w:val="clear" w:color="auto" w:fill="auto"/>
                  <w:tcMar>
                    <w:top w:w="0" w:type="dxa"/>
                    <w:left w:w="0" w:type="dxa"/>
                    <w:bottom w:w="0" w:type="dxa"/>
                    <w:right w:w="0" w:type="dxa"/>
                  </w:tcMar>
                  <w:vAlign w:val="center"/>
                </w:tcPr>
                <w:p w14:paraId="43F729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74.8</w:t>
                  </w:r>
                </w:p>
              </w:tc>
              <w:tc>
                <w:tcPr>
                  <w:tcW w:w="153" w:type="pct"/>
                  <w:tcBorders>
                    <w:tl2br w:val="nil"/>
                    <w:tr2bl w:val="nil"/>
                  </w:tcBorders>
                  <w:shd w:val="clear" w:color="auto" w:fill="auto"/>
                  <w:tcMar>
                    <w:top w:w="0" w:type="dxa"/>
                    <w:left w:w="0" w:type="dxa"/>
                    <w:bottom w:w="0" w:type="dxa"/>
                    <w:right w:w="0" w:type="dxa"/>
                  </w:tcMar>
                  <w:vAlign w:val="center"/>
                </w:tcPr>
                <w:p w14:paraId="447B2FE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21.4</w:t>
                  </w:r>
                </w:p>
              </w:tc>
              <w:tc>
                <w:tcPr>
                  <w:tcW w:w="197" w:type="pct"/>
                  <w:tcBorders>
                    <w:tl2br w:val="nil"/>
                    <w:tr2bl w:val="nil"/>
                  </w:tcBorders>
                  <w:shd w:val="clear" w:color="auto" w:fill="auto"/>
                  <w:tcMar>
                    <w:top w:w="0" w:type="dxa"/>
                    <w:left w:w="0" w:type="dxa"/>
                    <w:bottom w:w="0" w:type="dxa"/>
                    <w:right w:w="0" w:type="dxa"/>
                  </w:tcMar>
                  <w:vAlign w:val="center"/>
                </w:tcPr>
                <w:p w14:paraId="49B9084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69.2</w:t>
                  </w:r>
                </w:p>
              </w:tc>
              <w:tc>
                <w:tcPr>
                  <w:tcW w:w="159" w:type="pct"/>
                  <w:tcBorders>
                    <w:tl2br w:val="nil"/>
                    <w:tr2bl w:val="nil"/>
                  </w:tcBorders>
                  <w:shd w:val="clear" w:color="auto" w:fill="auto"/>
                  <w:tcMar>
                    <w:top w:w="0" w:type="dxa"/>
                    <w:left w:w="0" w:type="dxa"/>
                    <w:bottom w:w="0" w:type="dxa"/>
                    <w:right w:w="0" w:type="dxa"/>
                  </w:tcMar>
                  <w:vAlign w:val="center"/>
                </w:tcPr>
                <w:p w14:paraId="5CA18A7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68.1</w:t>
                  </w:r>
                </w:p>
              </w:tc>
              <w:tc>
                <w:tcPr>
                  <w:tcW w:w="159" w:type="pct"/>
                  <w:tcBorders>
                    <w:tl2br w:val="nil"/>
                    <w:tr2bl w:val="nil"/>
                  </w:tcBorders>
                  <w:shd w:val="clear" w:color="auto" w:fill="auto"/>
                  <w:tcMar>
                    <w:top w:w="0" w:type="dxa"/>
                    <w:left w:w="0" w:type="dxa"/>
                    <w:bottom w:w="0" w:type="dxa"/>
                    <w:right w:w="0" w:type="dxa"/>
                  </w:tcMar>
                  <w:vAlign w:val="center"/>
                </w:tcPr>
                <w:p w14:paraId="73F6C01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68.0</w:t>
                  </w:r>
                </w:p>
              </w:tc>
              <w:tc>
                <w:tcPr>
                  <w:tcW w:w="159" w:type="pct"/>
                  <w:tcBorders>
                    <w:tl2br w:val="nil"/>
                    <w:tr2bl w:val="nil"/>
                  </w:tcBorders>
                  <w:shd w:val="clear" w:color="auto" w:fill="auto"/>
                  <w:tcMar>
                    <w:top w:w="0" w:type="dxa"/>
                    <w:left w:w="0" w:type="dxa"/>
                    <w:bottom w:w="0" w:type="dxa"/>
                    <w:right w:w="0" w:type="dxa"/>
                  </w:tcMar>
                  <w:vAlign w:val="center"/>
                </w:tcPr>
                <w:p w14:paraId="19C9FF7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68.0</w:t>
                  </w:r>
                </w:p>
              </w:tc>
              <w:tc>
                <w:tcPr>
                  <w:tcW w:w="161" w:type="pct"/>
                  <w:tcBorders>
                    <w:tl2br w:val="nil"/>
                    <w:tr2bl w:val="nil"/>
                  </w:tcBorders>
                  <w:shd w:val="clear" w:color="auto" w:fill="auto"/>
                  <w:tcMar>
                    <w:top w:w="0" w:type="dxa"/>
                    <w:left w:w="0" w:type="dxa"/>
                    <w:bottom w:w="0" w:type="dxa"/>
                    <w:right w:w="0" w:type="dxa"/>
                  </w:tcMar>
                  <w:vAlign w:val="center"/>
                </w:tcPr>
                <w:p w14:paraId="31EE42F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68.0</w:t>
                  </w:r>
                </w:p>
              </w:tc>
              <w:tc>
                <w:tcPr>
                  <w:tcW w:w="497" w:type="pct"/>
                  <w:vMerge w:val="continue"/>
                  <w:tcBorders>
                    <w:tl2br w:val="nil"/>
                    <w:tr2bl w:val="nil"/>
                  </w:tcBorders>
                  <w:shd w:val="clear" w:color="auto" w:fill="auto"/>
                  <w:tcMar>
                    <w:top w:w="0" w:type="dxa"/>
                    <w:left w:w="0" w:type="dxa"/>
                    <w:bottom w:w="0" w:type="dxa"/>
                    <w:right w:w="0" w:type="dxa"/>
                  </w:tcMar>
                  <w:vAlign w:val="center"/>
                </w:tcPr>
                <w:p w14:paraId="60064E9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65" w:type="pct"/>
                  <w:tcBorders>
                    <w:tl2br w:val="nil"/>
                    <w:tr2bl w:val="nil"/>
                  </w:tcBorders>
                  <w:shd w:val="clear" w:color="auto" w:fill="auto"/>
                  <w:tcMar>
                    <w:top w:w="0" w:type="dxa"/>
                    <w:left w:w="0" w:type="dxa"/>
                    <w:bottom w:w="0" w:type="dxa"/>
                    <w:right w:w="0" w:type="dxa"/>
                  </w:tcMar>
                  <w:vAlign w:val="center"/>
                </w:tcPr>
                <w:p w14:paraId="3F3EE44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5" w:type="pct"/>
                  <w:tcBorders>
                    <w:tl2br w:val="nil"/>
                    <w:tr2bl w:val="nil"/>
                  </w:tcBorders>
                  <w:shd w:val="clear" w:color="auto" w:fill="auto"/>
                  <w:tcMar>
                    <w:top w:w="0" w:type="dxa"/>
                    <w:left w:w="0" w:type="dxa"/>
                    <w:bottom w:w="0" w:type="dxa"/>
                    <w:right w:w="0" w:type="dxa"/>
                  </w:tcMar>
                  <w:vAlign w:val="center"/>
                </w:tcPr>
                <w:p w14:paraId="5CAACA6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5" w:type="pct"/>
                  <w:tcBorders>
                    <w:tl2br w:val="nil"/>
                    <w:tr2bl w:val="nil"/>
                  </w:tcBorders>
                  <w:shd w:val="clear" w:color="auto" w:fill="auto"/>
                  <w:tcMar>
                    <w:top w:w="0" w:type="dxa"/>
                    <w:left w:w="0" w:type="dxa"/>
                    <w:bottom w:w="0" w:type="dxa"/>
                    <w:right w:w="0" w:type="dxa"/>
                  </w:tcMar>
                  <w:vAlign w:val="center"/>
                </w:tcPr>
                <w:p w14:paraId="2A97D0E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7" w:type="pct"/>
                  <w:tcBorders>
                    <w:tl2br w:val="nil"/>
                    <w:tr2bl w:val="nil"/>
                  </w:tcBorders>
                  <w:shd w:val="clear" w:color="auto" w:fill="auto"/>
                  <w:tcMar>
                    <w:top w:w="0" w:type="dxa"/>
                    <w:left w:w="0" w:type="dxa"/>
                    <w:bottom w:w="0" w:type="dxa"/>
                    <w:right w:w="0" w:type="dxa"/>
                  </w:tcMar>
                  <w:vAlign w:val="center"/>
                </w:tcPr>
                <w:p w14:paraId="3DAC938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50" w:type="pct"/>
                  <w:tcBorders>
                    <w:tl2br w:val="nil"/>
                    <w:tr2bl w:val="nil"/>
                  </w:tcBorders>
                  <w:shd w:val="clear" w:color="auto" w:fill="auto"/>
                  <w:tcMar>
                    <w:top w:w="0" w:type="dxa"/>
                    <w:left w:w="0" w:type="dxa"/>
                    <w:bottom w:w="0" w:type="dxa"/>
                    <w:right w:w="0" w:type="dxa"/>
                  </w:tcMar>
                  <w:vAlign w:val="center"/>
                </w:tcPr>
                <w:p w14:paraId="020B2D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47.1</w:t>
                  </w:r>
                </w:p>
              </w:tc>
              <w:tc>
                <w:tcPr>
                  <w:tcW w:w="150" w:type="pct"/>
                  <w:tcBorders>
                    <w:tl2br w:val="nil"/>
                    <w:tr2bl w:val="nil"/>
                  </w:tcBorders>
                  <w:shd w:val="clear" w:color="auto" w:fill="auto"/>
                  <w:tcMar>
                    <w:top w:w="0" w:type="dxa"/>
                    <w:left w:w="0" w:type="dxa"/>
                    <w:bottom w:w="0" w:type="dxa"/>
                    <w:right w:w="0" w:type="dxa"/>
                  </w:tcMar>
                  <w:vAlign w:val="center"/>
                </w:tcPr>
                <w:p w14:paraId="67B76C9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47.0</w:t>
                  </w:r>
                </w:p>
              </w:tc>
              <w:tc>
                <w:tcPr>
                  <w:tcW w:w="150" w:type="pct"/>
                  <w:tcBorders>
                    <w:tl2br w:val="nil"/>
                    <w:tr2bl w:val="nil"/>
                  </w:tcBorders>
                  <w:shd w:val="clear" w:color="auto" w:fill="auto"/>
                  <w:tcMar>
                    <w:top w:w="0" w:type="dxa"/>
                    <w:left w:w="0" w:type="dxa"/>
                    <w:bottom w:w="0" w:type="dxa"/>
                    <w:right w:w="0" w:type="dxa"/>
                  </w:tcMar>
                  <w:vAlign w:val="center"/>
                </w:tcPr>
                <w:p w14:paraId="03690C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47.0</w:t>
                  </w:r>
                </w:p>
              </w:tc>
              <w:tc>
                <w:tcPr>
                  <w:tcW w:w="150" w:type="pct"/>
                  <w:tcBorders>
                    <w:tl2br w:val="nil"/>
                    <w:tr2bl w:val="nil"/>
                  </w:tcBorders>
                  <w:shd w:val="clear" w:color="auto" w:fill="auto"/>
                  <w:tcMar>
                    <w:top w:w="0" w:type="dxa"/>
                    <w:left w:w="0" w:type="dxa"/>
                    <w:bottom w:w="0" w:type="dxa"/>
                    <w:right w:w="0" w:type="dxa"/>
                  </w:tcMar>
                  <w:vAlign w:val="center"/>
                </w:tcPr>
                <w:p w14:paraId="38BF09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47.0</w:t>
                  </w:r>
                </w:p>
              </w:tc>
              <w:tc>
                <w:tcPr>
                  <w:tcW w:w="158" w:type="pct"/>
                  <w:tcBorders>
                    <w:tl2br w:val="nil"/>
                    <w:tr2bl w:val="nil"/>
                  </w:tcBorders>
                  <w:shd w:val="clear" w:color="auto" w:fill="auto"/>
                  <w:tcMar>
                    <w:top w:w="0" w:type="dxa"/>
                    <w:left w:w="0" w:type="dxa"/>
                    <w:bottom w:w="0" w:type="dxa"/>
                    <w:right w:w="0" w:type="dxa"/>
                  </w:tcMar>
                  <w:vAlign w:val="center"/>
                </w:tcPr>
                <w:p w14:paraId="3A525A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w:t>
                  </w:r>
                </w:p>
              </w:tc>
            </w:tr>
            <w:tr w14:paraId="08B472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1" w:type="pct"/>
                  <w:tcBorders>
                    <w:tl2br w:val="nil"/>
                    <w:tr2bl w:val="nil"/>
                  </w:tcBorders>
                  <w:shd w:val="clear" w:color="auto" w:fill="auto"/>
                  <w:tcMar>
                    <w:top w:w="0" w:type="dxa"/>
                    <w:left w:w="0" w:type="dxa"/>
                    <w:bottom w:w="0" w:type="dxa"/>
                    <w:right w:w="0" w:type="dxa"/>
                  </w:tcMar>
                  <w:vAlign w:val="center"/>
                </w:tcPr>
                <w:p w14:paraId="424AF8A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w:t>
                  </w:r>
                </w:p>
              </w:tc>
              <w:tc>
                <w:tcPr>
                  <w:tcW w:w="223" w:type="pct"/>
                  <w:tcBorders>
                    <w:tl2br w:val="nil"/>
                    <w:tr2bl w:val="nil"/>
                  </w:tcBorders>
                  <w:shd w:val="clear" w:color="auto" w:fill="auto"/>
                  <w:tcMar>
                    <w:top w:w="0" w:type="dxa"/>
                    <w:left w:w="0" w:type="dxa"/>
                    <w:bottom w:w="0" w:type="dxa"/>
                    <w:right w:w="0" w:type="dxa"/>
                  </w:tcMar>
                  <w:vAlign w:val="center"/>
                </w:tcPr>
                <w:p w14:paraId="2DEB331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1#厂房</w:t>
                  </w:r>
                </w:p>
              </w:tc>
              <w:tc>
                <w:tcPr>
                  <w:tcW w:w="279" w:type="pct"/>
                  <w:tcBorders>
                    <w:tl2br w:val="nil"/>
                    <w:tr2bl w:val="nil"/>
                  </w:tcBorders>
                  <w:shd w:val="clear" w:color="auto" w:fill="auto"/>
                  <w:tcMar>
                    <w:top w:w="0" w:type="dxa"/>
                    <w:left w:w="0" w:type="dxa"/>
                    <w:bottom w:w="0" w:type="dxa"/>
                    <w:right w:w="0" w:type="dxa"/>
                  </w:tcMar>
                  <w:vAlign w:val="center"/>
                </w:tcPr>
                <w:p w14:paraId="5EB2DB2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高效双轴搅拌机</w:t>
                  </w:r>
                </w:p>
              </w:tc>
              <w:tc>
                <w:tcPr>
                  <w:tcW w:w="294" w:type="pct"/>
                  <w:tcBorders>
                    <w:tl2br w:val="nil"/>
                    <w:tr2bl w:val="nil"/>
                  </w:tcBorders>
                  <w:shd w:val="clear" w:color="auto" w:fill="auto"/>
                  <w:tcMar>
                    <w:top w:w="0" w:type="dxa"/>
                    <w:left w:w="0" w:type="dxa"/>
                    <w:bottom w:w="0" w:type="dxa"/>
                    <w:right w:w="0" w:type="dxa"/>
                  </w:tcMar>
                  <w:vAlign w:val="center"/>
                </w:tcPr>
                <w:p w14:paraId="1F5965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85</w:t>
                  </w:r>
                </w:p>
              </w:tc>
              <w:tc>
                <w:tcPr>
                  <w:tcW w:w="266" w:type="pct"/>
                  <w:vMerge w:val="continue"/>
                  <w:tcBorders>
                    <w:tl2br w:val="nil"/>
                    <w:tr2bl w:val="nil"/>
                  </w:tcBorders>
                  <w:shd w:val="clear" w:color="auto" w:fill="auto"/>
                  <w:tcMar>
                    <w:top w:w="0" w:type="dxa"/>
                    <w:left w:w="0" w:type="dxa"/>
                    <w:bottom w:w="0" w:type="dxa"/>
                    <w:right w:w="0" w:type="dxa"/>
                  </w:tcMar>
                  <w:vAlign w:val="center"/>
                </w:tcPr>
                <w:p w14:paraId="676F8E8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91" w:type="pct"/>
                  <w:tcBorders>
                    <w:tl2br w:val="nil"/>
                    <w:tr2bl w:val="nil"/>
                  </w:tcBorders>
                  <w:shd w:val="clear" w:color="auto" w:fill="auto"/>
                  <w:tcMar>
                    <w:top w:w="0" w:type="dxa"/>
                    <w:left w:w="0" w:type="dxa"/>
                    <w:bottom w:w="0" w:type="dxa"/>
                    <w:right w:w="0" w:type="dxa"/>
                  </w:tcMar>
                  <w:vAlign w:val="center"/>
                </w:tcPr>
                <w:p w14:paraId="75A0499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-50.2</w:t>
                  </w:r>
                </w:p>
              </w:tc>
              <w:tc>
                <w:tcPr>
                  <w:tcW w:w="191" w:type="pct"/>
                  <w:tcBorders>
                    <w:tl2br w:val="nil"/>
                    <w:tr2bl w:val="nil"/>
                  </w:tcBorders>
                  <w:shd w:val="clear" w:color="auto" w:fill="auto"/>
                  <w:tcMar>
                    <w:top w:w="0" w:type="dxa"/>
                    <w:left w:w="0" w:type="dxa"/>
                    <w:bottom w:w="0" w:type="dxa"/>
                    <w:right w:w="0" w:type="dxa"/>
                  </w:tcMar>
                  <w:vAlign w:val="center"/>
                </w:tcPr>
                <w:p w14:paraId="6837B51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39.5</w:t>
                  </w:r>
                </w:p>
              </w:tc>
              <w:tc>
                <w:tcPr>
                  <w:tcW w:w="117" w:type="pct"/>
                  <w:tcBorders>
                    <w:tl2br w:val="nil"/>
                    <w:tr2bl w:val="nil"/>
                  </w:tcBorders>
                  <w:shd w:val="clear" w:color="auto" w:fill="auto"/>
                  <w:tcMar>
                    <w:top w:w="0" w:type="dxa"/>
                    <w:left w:w="0" w:type="dxa"/>
                    <w:bottom w:w="0" w:type="dxa"/>
                    <w:right w:w="0" w:type="dxa"/>
                  </w:tcMar>
                  <w:vAlign w:val="center"/>
                </w:tcPr>
                <w:p w14:paraId="7DCC4C2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w:t>
                  </w:r>
                </w:p>
              </w:tc>
              <w:tc>
                <w:tcPr>
                  <w:tcW w:w="153" w:type="pct"/>
                  <w:tcBorders>
                    <w:tl2br w:val="nil"/>
                    <w:tr2bl w:val="nil"/>
                  </w:tcBorders>
                  <w:shd w:val="clear" w:color="auto" w:fill="auto"/>
                  <w:tcMar>
                    <w:top w:w="0" w:type="dxa"/>
                    <w:left w:w="0" w:type="dxa"/>
                    <w:bottom w:w="0" w:type="dxa"/>
                    <w:right w:w="0" w:type="dxa"/>
                  </w:tcMar>
                  <w:vAlign w:val="center"/>
                </w:tcPr>
                <w:p w14:paraId="6251CE5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8.6</w:t>
                  </w:r>
                </w:p>
              </w:tc>
              <w:tc>
                <w:tcPr>
                  <w:tcW w:w="192" w:type="pct"/>
                  <w:tcBorders>
                    <w:tl2br w:val="nil"/>
                    <w:tr2bl w:val="nil"/>
                  </w:tcBorders>
                  <w:shd w:val="clear" w:color="auto" w:fill="auto"/>
                  <w:tcMar>
                    <w:top w:w="0" w:type="dxa"/>
                    <w:left w:w="0" w:type="dxa"/>
                    <w:bottom w:w="0" w:type="dxa"/>
                    <w:right w:w="0" w:type="dxa"/>
                  </w:tcMar>
                  <w:vAlign w:val="center"/>
                </w:tcPr>
                <w:p w14:paraId="698EF79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112.5</w:t>
                  </w:r>
                </w:p>
              </w:tc>
              <w:tc>
                <w:tcPr>
                  <w:tcW w:w="153" w:type="pct"/>
                  <w:tcBorders>
                    <w:tl2br w:val="nil"/>
                    <w:tr2bl w:val="nil"/>
                  </w:tcBorders>
                  <w:shd w:val="clear" w:color="auto" w:fill="auto"/>
                  <w:tcMar>
                    <w:top w:w="0" w:type="dxa"/>
                    <w:left w:w="0" w:type="dxa"/>
                    <w:bottom w:w="0" w:type="dxa"/>
                    <w:right w:w="0" w:type="dxa"/>
                  </w:tcMar>
                  <w:vAlign w:val="center"/>
                </w:tcPr>
                <w:p w14:paraId="49D5676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24.2</w:t>
                  </w:r>
                </w:p>
              </w:tc>
              <w:tc>
                <w:tcPr>
                  <w:tcW w:w="197" w:type="pct"/>
                  <w:tcBorders>
                    <w:tl2br w:val="nil"/>
                    <w:tr2bl w:val="nil"/>
                  </w:tcBorders>
                  <w:shd w:val="clear" w:color="auto" w:fill="auto"/>
                  <w:tcMar>
                    <w:top w:w="0" w:type="dxa"/>
                    <w:left w:w="0" w:type="dxa"/>
                    <w:bottom w:w="0" w:type="dxa"/>
                    <w:right w:w="0" w:type="dxa"/>
                  </w:tcMar>
                  <w:vAlign w:val="center"/>
                </w:tcPr>
                <w:p w14:paraId="7EC96B3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31.5</w:t>
                  </w:r>
                </w:p>
              </w:tc>
              <w:tc>
                <w:tcPr>
                  <w:tcW w:w="159" w:type="pct"/>
                  <w:tcBorders>
                    <w:tl2br w:val="nil"/>
                    <w:tr2bl w:val="nil"/>
                  </w:tcBorders>
                  <w:shd w:val="clear" w:color="auto" w:fill="auto"/>
                  <w:tcMar>
                    <w:top w:w="0" w:type="dxa"/>
                    <w:left w:w="0" w:type="dxa"/>
                    <w:bottom w:w="0" w:type="dxa"/>
                    <w:right w:w="0" w:type="dxa"/>
                  </w:tcMar>
                  <w:vAlign w:val="center"/>
                </w:tcPr>
                <w:p w14:paraId="263CBFC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68.2</w:t>
                  </w:r>
                </w:p>
              </w:tc>
              <w:tc>
                <w:tcPr>
                  <w:tcW w:w="159" w:type="pct"/>
                  <w:tcBorders>
                    <w:tl2br w:val="nil"/>
                    <w:tr2bl w:val="nil"/>
                  </w:tcBorders>
                  <w:shd w:val="clear" w:color="auto" w:fill="auto"/>
                  <w:tcMar>
                    <w:top w:w="0" w:type="dxa"/>
                    <w:left w:w="0" w:type="dxa"/>
                    <w:bottom w:w="0" w:type="dxa"/>
                    <w:right w:w="0" w:type="dxa"/>
                  </w:tcMar>
                  <w:vAlign w:val="center"/>
                </w:tcPr>
                <w:p w14:paraId="338E4F4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68.0</w:t>
                  </w:r>
                </w:p>
              </w:tc>
              <w:tc>
                <w:tcPr>
                  <w:tcW w:w="159" w:type="pct"/>
                  <w:tcBorders>
                    <w:tl2br w:val="nil"/>
                    <w:tr2bl w:val="nil"/>
                  </w:tcBorders>
                  <w:shd w:val="clear" w:color="auto" w:fill="auto"/>
                  <w:tcMar>
                    <w:top w:w="0" w:type="dxa"/>
                    <w:left w:w="0" w:type="dxa"/>
                    <w:bottom w:w="0" w:type="dxa"/>
                    <w:right w:w="0" w:type="dxa"/>
                  </w:tcMar>
                  <w:vAlign w:val="center"/>
                </w:tcPr>
                <w:p w14:paraId="53D3A9E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68.0</w:t>
                  </w:r>
                </w:p>
              </w:tc>
              <w:tc>
                <w:tcPr>
                  <w:tcW w:w="161" w:type="pct"/>
                  <w:tcBorders>
                    <w:tl2br w:val="nil"/>
                    <w:tr2bl w:val="nil"/>
                  </w:tcBorders>
                  <w:shd w:val="clear" w:color="auto" w:fill="auto"/>
                  <w:tcMar>
                    <w:top w:w="0" w:type="dxa"/>
                    <w:left w:w="0" w:type="dxa"/>
                    <w:bottom w:w="0" w:type="dxa"/>
                    <w:right w:w="0" w:type="dxa"/>
                  </w:tcMar>
                  <w:vAlign w:val="center"/>
                </w:tcPr>
                <w:p w14:paraId="1A74691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68.0</w:t>
                  </w:r>
                </w:p>
              </w:tc>
              <w:tc>
                <w:tcPr>
                  <w:tcW w:w="497" w:type="pct"/>
                  <w:vMerge w:val="continue"/>
                  <w:tcBorders>
                    <w:tl2br w:val="nil"/>
                    <w:tr2bl w:val="nil"/>
                  </w:tcBorders>
                  <w:shd w:val="clear" w:color="auto" w:fill="auto"/>
                  <w:tcMar>
                    <w:top w:w="0" w:type="dxa"/>
                    <w:left w:w="0" w:type="dxa"/>
                    <w:bottom w:w="0" w:type="dxa"/>
                    <w:right w:w="0" w:type="dxa"/>
                  </w:tcMar>
                  <w:vAlign w:val="center"/>
                </w:tcPr>
                <w:p w14:paraId="39FE010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65" w:type="pct"/>
                  <w:tcBorders>
                    <w:tl2br w:val="nil"/>
                    <w:tr2bl w:val="nil"/>
                  </w:tcBorders>
                  <w:shd w:val="clear" w:color="auto" w:fill="auto"/>
                  <w:tcMar>
                    <w:top w:w="0" w:type="dxa"/>
                    <w:left w:w="0" w:type="dxa"/>
                    <w:bottom w:w="0" w:type="dxa"/>
                    <w:right w:w="0" w:type="dxa"/>
                  </w:tcMar>
                  <w:vAlign w:val="center"/>
                </w:tcPr>
                <w:p w14:paraId="00B94EA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5" w:type="pct"/>
                  <w:tcBorders>
                    <w:tl2br w:val="nil"/>
                    <w:tr2bl w:val="nil"/>
                  </w:tcBorders>
                  <w:shd w:val="clear" w:color="auto" w:fill="auto"/>
                  <w:tcMar>
                    <w:top w:w="0" w:type="dxa"/>
                    <w:left w:w="0" w:type="dxa"/>
                    <w:bottom w:w="0" w:type="dxa"/>
                    <w:right w:w="0" w:type="dxa"/>
                  </w:tcMar>
                  <w:vAlign w:val="center"/>
                </w:tcPr>
                <w:p w14:paraId="392279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5" w:type="pct"/>
                  <w:tcBorders>
                    <w:tl2br w:val="nil"/>
                    <w:tr2bl w:val="nil"/>
                  </w:tcBorders>
                  <w:shd w:val="clear" w:color="auto" w:fill="auto"/>
                  <w:tcMar>
                    <w:top w:w="0" w:type="dxa"/>
                    <w:left w:w="0" w:type="dxa"/>
                    <w:bottom w:w="0" w:type="dxa"/>
                    <w:right w:w="0" w:type="dxa"/>
                  </w:tcMar>
                  <w:vAlign w:val="center"/>
                </w:tcPr>
                <w:p w14:paraId="1FBAFCF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7" w:type="pct"/>
                  <w:tcBorders>
                    <w:tl2br w:val="nil"/>
                    <w:tr2bl w:val="nil"/>
                  </w:tcBorders>
                  <w:shd w:val="clear" w:color="auto" w:fill="auto"/>
                  <w:tcMar>
                    <w:top w:w="0" w:type="dxa"/>
                    <w:left w:w="0" w:type="dxa"/>
                    <w:bottom w:w="0" w:type="dxa"/>
                    <w:right w:w="0" w:type="dxa"/>
                  </w:tcMar>
                  <w:vAlign w:val="center"/>
                </w:tcPr>
                <w:p w14:paraId="215275A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50" w:type="pct"/>
                  <w:tcBorders>
                    <w:tl2br w:val="nil"/>
                    <w:tr2bl w:val="nil"/>
                  </w:tcBorders>
                  <w:shd w:val="clear" w:color="auto" w:fill="auto"/>
                  <w:tcMar>
                    <w:top w:w="0" w:type="dxa"/>
                    <w:left w:w="0" w:type="dxa"/>
                    <w:bottom w:w="0" w:type="dxa"/>
                    <w:right w:w="0" w:type="dxa"/>
                  </w:tcMar>
                  <w:vAlign w:val="center"/>
                </w:tcPr>
                <w:p w14:paraId="3F88743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47.2</w:t>
                  </w:r>
                </w:p>
              </w:tc>
              <w:tc>
                <w:tcPr>
                  <w:tcW w:w="150" w:type="pct"/>
                  <w:tcBorders>
                    <w:tl2br w:val="nil"/>
                    <w:tr2bl w:val="nil"/>
                  </w:tcBorders>
                  <w:shd w:val="clear" w:color="auto" w:fill="auto"/>
                  <w:tcMar>
                    <w:top w:w="0" w:type="dxa"/>
                    <w:left w:w="0" w:type="dxa"/>
                    <w:bottom w:w="0" w:type="dxa"/>
                    <w:right w:w="0" w:type="dxa"/>
                  </w:tcMar>
                  <w:vAlign w:val="center"/>
                </w:tcPr>
                <w:p w14:paraId="56DB4F0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47.0</w:t>
                  </w:r>
                </w:p>
              </w:tc>
              <w:tc>
                <w:tcPr>
                  <w:tcW w:w="150" w:type="pct"/>
                  <w:tcBorders>
                    <w:tl2br w:val="nil"/>
                    <w:tr2bl w:val="nil"/>
                  </w:tcBorders>
                  <w:shd w:val="clear" w:color="auto" w:fill="auto"/>
                  <w:tcMar>
                    <w:top w:w="0" w:type="dxa"/>
                    <w:left w:w="0" w:type="dxa"/>
                    <w:bottom w:w="0" w:type="dxa"/>
                    <w:right w:w="0" w:type="dxa"/>
                  </w:tcMar>
                  <w:vAlign w:val="center"/>
                </w:tcPr>
                <w:p w14:paraId="02CAC5B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47.0</w:t>
                  </w:r>
                </w:p>
              </w:tc>
              <w:tc>
                <w:tcPr>
                  <w:tcW w:w="150" w:type="pct"/>
                  <w:tcBorders>
                    <w:tl2br w:val="nil"/>
                    <w:tr2bl w:val="nil"/>
                  </w:tcBorders>
                  <w:shd w:val="clear" w:color="auto" w:fill="auto"/>
                  <w:tcMar>
                    <w:top w:w="0" w:type="dxa"/>
                    <w:left w:w="0" w:type="dxa"/>
                    <w:bottom w:w="0" w:type="dxa"/>
                    <w:right w:w="0" w:type="dxa"/>
                  </w:tcMar>
                  <w:vAlign w:val="center"/>
                </w:tcPr>
                <w:p w14:paraId="47AC261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47.0</w:t>
                  </w:r>
                </w:p>
              </w:tc>
              <w:tc>
                <w:tcPr>
                  <w:tcW w:w="158" w:type="pct"/>
                  <w:tcBorders>
                    <w:tl2br w:val="nil"/>
                    <w:tr2bl w:val="nil"/>
                  </w:tcBorders>
                  <w:shd w:val="clear" w:color="auto" w:fill="auto"/>
                  <w:tcMar>
                    <w:top w:w="0" w:type="dxa"/>
                    <w:left w:w="0" w:type="dxa"/>
                    <w:bottom w:w="0" w:type="dxa"/>
                    <w:right w:w="0" w:type="dxa"/>
                  </w:tcMar>
                  <w:vAlign w:val="center"/>
                </w:tcPr>
                <w:p w14:paraId="3FA5A2A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w:t>
                  </w:r>
                </w:p>
              </w:tc>
            </w:tr>
            <w:tr w14:paraId="732274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1" w:type="pct"/>
                  <w:tcBorders>
                    <w:tl2br w:val="nil"/>
                    <w:tr2bl w:val="nil"/>
                  </w:tcBorders>
                  <w:shd w:val="clear" w:color="auto" w:fill="auto"/>
                  <w:tcMar>
                    <w:top w:w="0" w:type="dxa"/>
                    <w:left w:w="0" w:type="dxa"/>
                    <w:bottom w:w="0" w:type="dxa"/>
                    <w:right w:w="0" w:type="dxa"/>
                  </w:tcMar>
                  <w:vAlign w:val="center"/>
                </w:tcPr>
                <w:p w14:paraId="7738F6F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7</w:t>
                  </w:r>
                </w:p>
              </w:tc>
              <w:tc>
                <w:tcPr>
                  <w:tcW w:w="223" w:type="pct"/>
                  <w:tcBorders>
                    <w:tl2br w:val="nil"/>
                    <w:tr2bl w:val="nil"/>
                  </w:tcBorders>
                  <w:shd w:val="clear" w:color="auto" w:fill="auto"/>
                  <w:tcMar>
                    <w:top w:w="0" w:type="dxa"/>
                    <w:left w:w="0" w:type="dxa"/>
                    <w:bottom w:w="0" w:type="dxa"/>
                    <w:right w:w="0" w:type="dxa"/>
                  </w:tcMar>
                  <w:vAlign w:val="center"/>
                </w:tcPr>
                <w:p w14:paraId="2FF49DF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1#厂房</w:t>
                  </w:r>
                </w:p>
              </w:tc>
              <w:tc>
                <w:tcPr>
                  <w:tcW w:w="279" w:type="pct"/>
                  <w:tcBorders>
                    <w:tl2br w:val="nil"/>
                    <w:tr2bl w:val="nil"/>
                  </w:tcBorders>
                  <w:shd w:val="clear" w:color="auto" w:fill="auto"/>
                  <w:tcMar>
                    <w:top w:w="0" w:type="dxa"/>
                    <w:left w:w="0" w:type="dxa"/>
                    <w:bottom w:w="0" w:type="dxa"/>
                    <w:right w:w="0" w:type="dxa"/>
                  </w:tcMar>
                  <w:vAlign w:val="center"/>
                </w:tcPr>
                <w:p w14:paraId="69F96CE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自动化包装机</w:t>
                  </w:r>
                </w:p>
              </w:tc>
              <w:tc>
                <w:tcPr>
                  <w:tcW w:w="294" w:type="pct"/>
                  <w:tcBorders>
                    <w:tl2br w:val="nil"/>
                    <w:tr2bl w:val="nil"/>
                  </w:tcBorders>
                  <w:shd w:val="clear" w:color="auto" w:fill="auto"/>
                  <w:tcMar>
                    <w:top w:w="0" w:type="dxa"/>
                    <w:left w:w="0" w:type="dxa"/>
                    <w:bottom w:w="0" w:type="dxa"/>
                    <w:right w:w="0" w:type="dxa"/>
                  </w:tcMar>
                  <w:vAlign w:val="center"/>
                </w:tcPr>
                <w:p w14:paraId="47DF11F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70</w:t>
                  </w:r>
                </w:p>
              </w:tc>
              <w:tc>
                <w:tcPr>
                  <w:tcW w:w="266" w:type="pct"/>
                  <w:vMerge w:val="continue"/>
                  <w:tcBorders>
                    <w:tl2br w:val="nil"/>
                    <w:tr2bl w:val="nil"/>
                  </w:tcBorders>
                  <w:shd w:val="clear" w:color="auto" w:fill="auto"/>
                  <w:tcMar>
                    <w:top w:w="0" w:type="dxa"/>
                    <w:left w:w="0" w:type="dxa"/>
                    <w:bottom w:w="0" w:type="dxa"/>
                    <w:right w:w="0" w:type="dxa"/>
                  </w:tcMar>
                  <w:vAlign w:val="center"/>
                </w:tcPr>
                <w:p w14:paraId="46C7846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91" w:type="pct"/>
                  <w:tcBorders>
                    <w:tl2br w:val="nil"/>
                    <w:tr2bl w:val="nil"/>
                  </w:tcBorders>
                  <w:shd w:val="clear" w:color="auto" w:fill="auto"/>
                  <w:tcMar>
                    <w:top w:w="0" w:type="dxa"/>
                    <w:left w:w="0" w:type="dxa"/>
                    <w:bottom w:w="0" w:type="dxa"/>
                    <w:right w:w="0" w:type="dxa"/>
                  </w:tcMar>
                  <w:vAlign w:val="center"/>
                </w:tcPr>
                <w:p w14:paraId="51B7A96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-40.3</w:t>
                  </w:r>
                </w:p>
              </w:tc>
              <w:tc>
                <w:tcPr>
                  <w:tcW w:w="191" w:type="pct"/>
                  <w:tcBorders>
                    <w:tl2br w:val="nil"/>
                    <w:tr2bl w:val="nil"/>
                  </w:tcBorders>
                  <w:shd w:val="clear" w:color="auto" w:fill="auto"/>
                  <w:tcMar>
                    <w:top w:w="0" w:type="dxa"/>
                    <w:left w:w="0" w:type="dxa"/>
                    <w:bottom w:w="0" w:type="dxa"/>
                    <w:right w:w="0" w:type="dxa"/>
                  </w:tcMar>
                  <w:vAlign w:val="center"/>
                </w:tcPr>
                <w:p w14:paraId="3D99A8F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-12.1</w:t>
                  </w:r>
                </w:p>
              </w:tc>
              <w:tc>
                <w:tcPr>
                  <w:tcW w:w="117" w:type="pct"/>
                  <w:tcBorders>
                    <w:tl2br w:val="nil"/>
                    <w:tr2bl w:val="nil"/>
                  </w:tcBorders>
                  <w:shd w:val="clear" w:color="auto" w:fill="auto"/>
                  <w:tcMar>
                    <w:top w:w="0" w:type="dxa"/>
                    <w:left w:w="0" w:type="dxa"/>
                    <w:bottom w:w="0" w:type="dxa"/>
                    <w:right w:w="0" w:type="dxa"/>
                  </w:tcMar>
                  <w:vAlign w:val="center"/>
                </w:tcPr>
                <w:p w14:paraId="3F92C2B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w:t>
                  </w:r>
                </w:p>
              </w:tc>
              <w:tc>
                <w:tcPr>
                  <w:tcW w:w="153" w:type="pct"/>
                  <w:tcBorders>
                    <w:tl2br w:val="nil"/>
                    <w:tr2bl w:val="nil"/>
                  </w:tcBorders>
                  <w:shd w:val="clear" w:color="auto" w:fill="auto"/>
                  <w:tcMar>
                    <w:top w:w="0" w:type="dxa"/>
                    <w:left w:w="0" w:type="dxa"/>
                    <w:bottom w:w="0" w:type="dxa"/>
                    <w:right w:w="0" w:type="dxa"/>
                  </w:tcMar>
                  <w:vAlign w:val="center"/>
                </w:tcPr>
                <w:p w14:paraId="5000F34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22.5</w:t>
                  </w:r>
                </w:p>
              </w:tc>
              <w:tc>
                <w:tcPr>
                  <w:tcW w:w="192" w:type="pct"/>
                  <w:tcBorders>
                    <w:tl2br w:val="nil"/>
                    <w:tr2bl w:val="nil"/>
                  </w:tcBorders>
                  <w:shd w:val="clear" w:color="auto" w:fill="auto"/>
                  <w:tcMar>
                    <w:top w:w="0" w:type="dxa"/>
                    <w:left w:w="0" w:type="dxa"/>
                    <w:bottom w:w="0" w:type="dxa"/>
                    <w:right w:w="0" w:type="dxa"/>
                  </w:tcMar>
                  <w:vAlign w:val="center"/>
                </w:tcPr>
                <w:p w14:paraId="3310552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62.6</w:t>
                  </w:r>
                </w:p>
              </w:tc>
              <w:tc>
                <w:tcPr>
                  <w:tcW w:w="153" w:type="pct"/>
                  <w:tcBorders>
                    <w:tl2br w:val="nil"/>
                    <w:tr2bl w:val="nil"/>
                  </w:tcBorders>
                  <w:shd w:val="clear" w:color="auto" w:fill="auto"/>
                  <w:tcMar>
                    <w:top w:w="0" w:type="dxa"/>
                    <w:left w:w="0" w:type="dxa"/>
                    <w:bottom w:w="0" w:type="dxa"/>
                    <w:right w:w="0" w:type="dxa"/>
                  </w:tcMar>
                  <w:vAlign w:val="center"/>
                </w:tcPr>
                <w:p w14:paraId="0561E18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10.5</w:t>
                  </w:r>
                </w:p>
              </w:tc>
              <w:tc>
                <w:tcPr>
                  <w:tcW w:w="197" w:type="pct"/>
                  <w:tcBorders>
                    <w:tl2br w:val="nil"/>
                    <w:tr2bl w:val="nil"/>
                  </w:tcBorders>
                  <w:shd w:val="clear" w:color="auto" w:fill="auto"/>
                  <w:tcMar>
                    <w:top w:w="0" w:type="dxa"/>
                    <w:left w:w="0" w:type="dxa"/>
                    <w:bottom w:w="0" w:type="dxa"/>
                    <w:right w:w="0" w:type="dxa"/>
                  </w:tcMar>
                  <w:vAlign w:val="center"/>
                </w:tcPr>
                <w:p w14:paraId="357FA71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81.3</w:t>
                  </w:r>
                </w:p>
              </w:tc>
              <w:tc>
                <w:tcPr>
                  <w:tcW w:w="159" w:type="pct"/>
                  <w:tcBorders>
                    <w:tl2br w:val="nil"/>
                    <w:tr2bl w:val="nil"/>
                  </w:tcBorders>
                  <w:shd w:val="clear" w:color="auto" w:fill="auto"/>
                  <w:tcMar>
                    <w:top w:w="0" w:type="dxa"/>
                    <w:left w:w="0" w:type="dxa"/>
                    <w:bottom w:w="0" w:type="dxa"/>
                    <w:right w:w="0" w:type="dxa"/>
                  </w:tcMar>
                  <w:vAlign w:val="center"/>
                </w:tcPr>
                <w:p w14:paraId="7318487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53.0</w:t>
                  </w:r>
                </w:p>
              </w:tc>
              <w:tc>
                <w:tcPr>
                  <w:tcW w:w="159" w:type="pct"/>
                  <w:tcBorders>
                    <w:tl2br w:val="nil"/>
                    <w:tr2bl w:val="nil"/>
                  </w:tcBorders>
                  <w:shd w:val="clear" w:color="auto" w:fill="auto"/>
                  <w:tcMar>
                    <w:top w:w="0" w:type="dxa"/>
                    <w:left w:w="0" w:type="dxa"/>
                    <w:bottom w:w="0" w:type="dxa"/>
                    <w:right w:w="0" w:type="dxa"/>
                  </w:tcMar>
                  <w:vAlign w:val="center"/>
                </w:tcPr>
                <w:p w14:paraId="632B9A2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53.0</w:t>
                  </w:r>
                </w:p>
              </w:tc>
              <w:tc>
                <w:tcPr>
                  <w:tcW w:w="159" w:type="pct"/>
                  <w:tcBorders>
                    <w:tl2br w:val="nil"/>
                    <w:tr2bl w:val="nil"/>
                  </w:tcBorders>
                  <w:shd w:val="clear" w:color="auto" w:fill="auto"/>
                  <w:tcMar>
                    <w:top w:w="0" w:type="dxa"/>
                    <w:left w:w="0" w:type="dxa"/>
                    <w:bottom w:w="0" w:type="dxa"/>
                    <w:right w:w="0" w:type="dxa"/>
                  </w:tcMar>
                  <w:vAlign w:val="center"/>
                </w:tcPr>
                <w:p w14:paraId="1711242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53.2</w:t>
                  </w:r>
                </w:p>
              </w:tc>
              <w:tc>
                <w:tcPr>
                  <w:tcW w:w="161" w:type="pct"/>
                  <w:tcBorders>
                    <w:tl2br w:val="nil"/>
                    <w:tr2bl w:val="nil"/>
                  </w:tcBorders>
                  <w:shd w:val="clear" w:color="auto" w:fill="auto"/>
                  <w:tcMar>
                    <w:top w:w="0" w:type="dxa"/>
                    <w:left w:w="0" w:type="dxa"/>
                    <w:bottom w:w="0" w:type="dxa"/>
                    <w:right w:w="0" w:type="dxa"/>
                  </w:tcMar>
                  <w:vAlign w:val="center"/>
                </w:tcPr>
                <w:p w14:paraId="2375043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53.0</w:t>
                  </w:r>
                </w:p>
              </w:tc>
              <w:tc>
                <w:tcPr>
                  <w:tcW w:w="497" w:type="pct"/>
                  <w:vMerge w:val="continue"/>
                  <w:tcBorders>
                    <w:tl2br w:val="nil"/>
                    <w:tr2bl w:val="nil"/>
                  </w:tcBorders>
                  <w:shd w:val="clear" w:color="auto" w:fill="auto"/>
                  <w:tcMar>
                    <w:top w:w="0" w:type="dxa"/>
                    <w:left w:w="0" w:type="dxa"/>
                    <w:bottom w:w="0" w:type="dxa"/>
                    <w:right w:w="0" w:type="dxa"/>
                  </w:tcMar>
                  <w:vAlign w:val="center"/>
                </w:tcPr>
                <w:p w14:paraId="237B707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65" w:type="pct"/>
                  <w:tcBorders>
                    <w:tl2br w:val="nil"/>
                    <w:tr2bl w:val="nil"/>
                  </w:tcBorders>
                  <w:shd w:val="clear" w:color="auto" w:fill="auto"/>
                  <w:tcMar>
                    <w:top w:w="0" w:type="dxa"/>
                    <w:left w:w="0" w:type="dxa"/>
                    <w:bottom w:w="0" w:type="dxa"/>
                    <w:right w:w="0" w:type="dxa"/>
                  </w:tcMar>
                  <w:vAlign w:val="center"/>
                </w:tcPr>
                <w:p w14:paraId="617F762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5" w:type="pct"/>
                  <w:tcBorders>
                    <w:tl2br w:val="nil"/>
                    <w:tr2bl w:val="nil"/>
                  </w:tcBorders>
                  <w:shd w:val="clear" w:color="auto" w:fill="auto"/>
                  <w:tcMar>
                    <w:top w:w="0" w:type="dxa"/>
                    <w:left w:w="0" w:type="dxa"/>
                    <w:bottom w:w="0" w:type="dxa"/>
                    <w:right w:w="0" w:type="dxa"/>
                  </w:tcMar>
                  <w:vAlign w:val="center"/>
                </w:tcPr>
                <w:p w14:paraId="5FAC3BB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5" w:type="pct"/>
                  <w:tcBorders>
                    <w:tl2br w:val="nil"/>
                    <w:tr2bl w:val="nil"/>
                  </w:tcBorders>
                  <w:shd w:val="clear" w:color="auto" w:fill="auto"/>
                  <w:tcMar>
                    <w:top w:w="0" w:type="dxa"/>
                    <w:left w:w="0" w:type="dxa"/>
                    <w:bottom w:w="0" w:type="dxa"/>
                    <w:right w:w="0" w:type="dxa"/>
                  </w:tcMar>
                  <w:vAlign w:val="center"/>
                </w:tcPr>
                <w:p w14:paraId="50F0CC2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7" w:type="pct"/>
                  <w:tcBorders>
                    <w:tl2br w:val="nil"/>
                    <w:tr2bl w:val="nil"/>
                  </w:tcBorders>
                  <w:shd w:val="clear" w:color="auto" w:fill="auto"/>
                  <w:tcMar>
                    <w:top w:w="0" w:type="dxa"/>
                    <w:left w:w="0" w:type="dxa"/>
                    <w:bottom w:w="0" w:type="dxa"/>
                    <w:right w:w="0" w:type="dxa"/>
                  </w:tcMar>
                  <w:vAlign w:val="center"/>
                </w:tcPr>
                <w:p w14:paraId="6A3C409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50" w:type="pct"/>
                  <w:tcBorders>
                    <w:tl2br w:val="nil"/>
                    <w:tr2bl w:val="nil"/>
                  </w:tcBorders>
                  <w:shd w:val="clear" w:color="auto" w:fill="auto"/>
                  <w:tcMar>
                    <w:top w:w="0" w:type="dxa"/>
                    <w:left w:w="0" w:type="dxa"/>
                    <w:bottom w:w="0" w:type="dxa"/>
                    <w:right w:w="0" w:type="dxa"/>
                  </w:tcMar>
                  <w:vAlign w:val="center"/>
                </w:tcPr>
                <w:p w14:paraId="748AE3C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32.0</w:t>
                  </w:r>
                </w:p>
              </w:tc>
              <w:tc>
                <w:tcPr>
                  <w:tcW w:w="150" w:type="pct"/>
                  <w:tcBorders>
                    <w:tl2br w:val="nil"/>
                    <w:tr2bl w:val="nil"/>
                  </w:tcBorders>
                  <w:shd w:val="clear" w:color="auto" w:fill="auto"/>
                  <w:tcMar>
                    <w:top w:w="0" w:type="dxa"/>
                    <w:left w:w="0" w:type="dxa"/>
                    <w:bottom w:w="0" w:type="dxa"/>
                    <w:right w:w="0" w:type="dxa"/>
                  </w:tcMar>
                  <w:vAlign w:val="center"/>
                </w:tcPr>
                <w:p w14:paraId="59A55B1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32.0</w:t>
                  </w:r>
                </w:p>
              </w:tc>
              <w:tc>
                <w:tcPr>
                  <w:tcW w:w="150" w:type="pct"/>
                  <w:tcBorders>
                    <w:tl2br w:val="nil"/>
                    <w:tr2bl w:val="nil"/>
                  </w:tcBorders>
                  <w:shd w:val="clear" w:color="auto" w:fill="auto"/>
                  <w:tcMar>
                    <w:top w:w="0" w:type="dxa"/>
                    <w:left w:w="0" w:type="dxa"/>
                    <w:bottom w:w="0" w:type="dxa"/>
                    <w:right w:w="0" w:type="dxa"/>
                  </w:tcMar>
                  <w:vAlign w:val="center"/>
                </w:tcPr>
                <w:p w14:paraId="0712A9F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32.2</w:t>
                  </w:r>
                </w:p>
              </w:tc>
              <w:tc>
                <w:tcPr>
                  <w:tcW w:w="150" w:type="pct"/>
                  <w:tcBorders>
                    <w:tl2br w:val="nil"/>
                    <w:tr2bl w:val="nil"/>
                  </w:tcBorders>
                  <w:shd w:val="clear" w:color="auto" w:fill="auto"/>
                  <w:tcMar>
                    <w:top w:w="0" w:type="dxa"/>
                    <w:left w:w="0" w:type="dxa"/>
                    <w:bottom w:w="0" w:type="dxa"/>
                    <w:right w:w="0" w:type="dxa"/>
                  </w:tcMar>
                  <w:vAlign w:val="center"/>
                </w:tcPr>
                <w:p w14:paraId="5D10306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32.0</w:t>
                  </w:r>
                </w:p>
              </w:tc>
              <w:tc>
                <w:tcPr>
                  <w:tcW w:w="158" w:type="pct"/>
                  <w:tcBorders>
                    <w:tl2br w:val="nil"/>
                    <w:tr2bl w:val="nil"/>
                  </w:tcBorders>
                  <w:shd w:val="clear" w:color="auto" w:fill="auto"/>
                  <w:tcMar>
                    <w:top w:w="0" w:type="dxa"/>
                    <w:left w:w="0" w:type="dxa"/>
                    <w:bottom w:w="0" w:type="dxa"/>
                    <w:right w:w="0" w:type="dxa"/>
                  </w:tcMar>
                  <w:vAlign w:val="center"/>
                </w:tcPr>
                <w:p w14:paraId="5A60637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w:t>
                  </w:r>
                </w:p>
              </w:tc>
            </w:tr>
            <w:tr w14:paraId="06BE89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1" w:type="pct"/>
                  <w:tcBorders>
                    <w:tl2br w:val="nil"/>
                    <w:tr2bl w:val="nil"/>
                  </w:tcBorders>
                  <w:shd w:val="clear" w:color="auto" w:fill="auto"/>
                  <w:tcMar>
                    <w:top w:w="0" w:type="dxa"/>
                    <w:left w:w="0" w:type="dxa"/>
                    <w:bottom w:w="0" w:type="dxa"/>
                    <w:right w:w="0" w:type="dxa"/>
                  </w:tcMar>
                  <w:vAlign w:val="center"/>
                </w:tcPr>
                <w:p w14:paraId="790C2D1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w:t>
                  </w:r>
                </w:p>
              </w:tc>
              <w:tc>
                <w:tcPr>
                  <w:tcW w:w="223" w:type="pct"/>
                  <w:tcBorders>
                    <w:tl2br w:val="nil"/>
                    <w:tr2bl w:val="nil"/>
                  </w:tcBorders>
                  <w:shd w:val="clear" w:color="auto" w:fill="auto"/>
                  <w:tcMar>
                    <w:top w:w="0" w:type="dxa"/>
                    <w:left w:w="0" w:type="dxa"/>
                    <w:bottom w:w="0" w:type="dxa"/>
                    <w:right w:w="0" w:type="dxa"/>
                  </w:tcMar>
                  <w:vAlign w:val="center"/>
                </w:tcPr>
                <w:p w14:paraId="382D30E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1#厂房</w:t>
                  </w:r>
                </w:p>
              </w:tc>
              <w:tc>
                <w:tcPr>
                  <w:tcW w:w="279" w:type="pct"/>
                  <w:tcBorders>
                    <w:tl2br w:val="nil"/>
                    <w:tr2bl w:val="nil"/>
                  </w:tcBorders>
                  <w:shd w:val="clear" w:color="auto" w:fill="auto"/>
                  <w:tcMar>
                    <w:top w:w="0" w:type="dxa"/>
                    <w:left w:w="0" w:type="dxa"/>
                    <w:bottom w:w="0" w:type="dxa"/>
                    <w:right w:w="0" w:type="dxa"/>
                  </w:tcMar>
                  <w:vAlign w:val="center"/>
                </w:tcPr>
                <w:p w14:paraId="476C094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风机1</w:t>
                  </w:r>
                </w:p>
              </w:tc>
              <w:tc>
                <w:tcPr>
                  <w:tcW w:w="294" w:type="pct"/>
                  <w:tcBorders>
                    <w:tl2br w:val="nil"/>
                    <w:tr2bl w:val="nil"/>
                  </w:tcBorders>
                  <w:shd w:val="clear" w:color="auto" w:fill="auto"/>
                  <w:tcMar>
                    <w:top w:w="0" w:type="dxa"/>
                    <w:left w:w="0" w:type="dxa"/>
                    <w:bottom w:w="0" w:type="dxa"/>
                    <w:right w:w="0" w:type="dxa"/>
                  </w:tcMar>
                  <w:vAlign w:val="center"/>
                </w:tcPr>
                <w:p w14:paraId="52E2D5B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85</w:t>
                  </w:r>
                </w:p>
              </w:tc>
              <w:tc>
                <w:tcPr>
                  <w:tcW w:w="266" w:type="pct"/>
                  <w:vMerge w:val="continue"/>
                  <w:tcBorders>
                    <w:tl2br w:val="nil"/>
                    <w:tr2bl w:val="nil"/>
                  </w:tcBorders>
                  <w:shd w:val="clear" w:color="auto" w:fill="auto"/>
                  <w:tcMar>
                    <w:top w:w="0" w:type="dxa"/>
                    <w:left w:w="0" w:type="dxa"/>
                    <w:bottom w:w="0" w:type="dxa"/>
                    <w:right w:w="0" w:type="dxa"/>
                  </w:tcMar>
                  <w:vAlign w:val="center"/>
                </w:tcPr>
                <w:p w14:paraId="0A4B4ED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91" w:type="pct"/>
                  <w:tcBorders>
                    <w:tl2br w:val="nil"/>
                    <w:tr2bl w:val="nil"/>
                  </w:tcBorders>
                  <w:shd w:val="clear" w:color="auto" w:fill="auto"/>
                  <w:tcMar>
                    <w:top w:w="0" w:type="dxa"/>
                    <w:left w:w="0" w:type="dxa"/>
                    <w:bottom w:w="0" w:type="dxa"/>
                    <w:right w:w="0" w:type="dxa"/>
                  </w:tcMar>
                  <w:vAlign w:val="center"/>
                </w:tcPr>
                <w:p w14:paraId="03A1010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-60.8</w:t>
                  </w:r>
                </w:p>
              </w:tc>
              <w:tc>
                <w:tcPr>
                  <w:tcW w:w="191" w:type="pct"/>
                  <w:tcBorders>
                    <w:tl2br w:val="nil"/>
                    <w:tr2bl w:val="nil"/>
                  </w:tcBorders>
                  <w:shd w:val="clear" w:color="auto" w:fill="auto"/>
                  <w:tcMar>
                    <w:top w:w="0" w:type="dxa"/>
                    <w:left w:w="0" w:type="dxa"/>
                    <w:bottom w:w="0" w:type="dxa"/>
                    <w:right w:w="0" w:type="dxa"/>
                  </w:tcMar>
                  <w:vAlign w:val="center"/>
                </w:tcPr>
                <w:p w14:paraId="4AF8ABC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36.5</w:t>
                  </w:r>
                </w:p>
              </w:tc>
              <w:tc>
                <w:tcPr>
                  <w:tcW w:w="117" w:type="pct"/>
                  <w:tcBorders>
                    <w:tl2br w:val="nil"/>
                    <w:tr2bl w:val="nil"/>
                  </w:tcBorders>
                  <w:shd w:val="clear" w:color="auto" w:fill="auto"/>
                  <w:tcMar>
                    <w:top w:w="0" w:type="dxa"/>
                    <w:left w:w="0" w:type="dxa"/>
                    <w:bottom w:w="0" w:type="dxa"/>
                    <w:right w:w="0" w:type="dxa"/>
                  </w:tcMar>
                  <w:vAlign w:val="center"/>
                </w:tcPr>
                <w:p w14:paraId="40CF09C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w:t>
                  </w:r>
                </w:p>
              </w:tc>
              <w:tc>
                <w:tcPr>
                  <w:tcW w:w="153" w:type="pct"/>
                  <w:tcBorders>
                    <w:tl2br w:val="nil"/>
                    <w:tr2bl w:val="nil"/>
                  </w:tcBorders>
                  <w:shd w:val="clear" w:color="auto" w:fill="auto"/>
                  <w:tcMar>
                    <w:top w:w="0" w:type="dxa"/>
                    <w:left w:w="0" w:type="dxa"/>
                    <w:bottom w:w="0" w:type="dxa"/>
                    <w:right w:w="0" w:type="dxa"/>
                  </w:tcMar>
                  <w:vAlign w:val="center"/>
                </w:tcPr>
                <w:p w14:paraId="69C2C13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19.5</w:t>
                  </w:r>
                </w:p>
              </w:tc>
              <w:tc>
                <w:tcPr>
                  <w:tcW w:w="192" w:type="pct"/>
                  <w:tcBorders>
                    <w:tl2br w:val="nil"/>
                    <w:tr2bl w:val="nil"/>
                  </w:tcBorders>
                  <w:shd w:val="clear" w:color="auto" w:fill="auto"/>
                  <w:tcMar>
                    <w:top w:w="0" w:type="dxa"/>
                    <w:left w:w="0" w:type="dxa"/>
                    <w:bottom w:w="0" w:type="dxa"/>
                    <w:right w:w="0" w:type="dxa"/>
                  </w:tcMar>
                  <w:vAlign w:val="center"/>
                </w:tcPr>
                <w:p w14:paraId="33C16A5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115.0</w:t>
                  </w:r>
                </w:p>
              </w:tc>
              <w:tc>
                <w:tcPr>
                  <w:tcW w:w="153" w:type="pct"/>
                  <w:tcBorders>
                    <w:tl2br w:val="nil"/>
                    <w:tr2bl w:val="nil"/>
                  </w:tcBorders>
                  <w:shd w:val="clear" w:color="auto" w:fill="auto"/>
                  <w:tcMar>
                    <w:top w:w="0" w:type="dxa"/>
                    <w:left w:w="0" w:type="dxa"/>
                    <w:bottom w:w="0" w:type="dxa"/>
                    <w:right w:w="0" w:type="dxa"/>
                  </w:tcMar>
                  <w:vAlign w:val="center"/>
                </w:tcPr>
                <w:p w14:paraId="5945BA2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13.3</w:t>
                  </w:r>
                </w:p>
              </w:tc>
              <w:tc>
                <w:tcPr>
                  <w:tcW w:w="197" w:type="pct"/>
                  <w:tcBorders>
                    <w:tl2br w:val="nil"/>
                    <w:tr2bl w:val="nil"/>
                  </w:tcBorders>
                  <w:shd w:val="clear" w:color="auto" w:fill="auto"/>
                  <w:tcMar>
                    <w:top w:w="0" w:type="dxa"/>
                    <w:left w:w="0" w:type="dxa"/>
                    <w:bottom w:w="0" w:type="dxa"/>
                    <w:right w:w="0" w:type="dxa"/>
                  </w:tcMar>
                  <w:vAlign w:val="center"/>
                </w:tcPr>
                <w:p w14:paraId="549D3E1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28.8</w:t>
                  </w:r>
                </w:p>
              </w:tc>
              <w:tc>
                <w:tcPr>
                  <w:tcW w:w="159" w:type="pct"/>
                  <w:tcBorders>
                    <w:tl2br w:val="nil"/>
                    <w:tr2bl w:val="nil"/>
                  </w:tcBorders>
                  <w:shd w:val="clear" w:color="auto" w:fill="auto"/>
                  <w:tcMar>
                    <w:top w:w="0" w:type="dxa"/>
                    <w:left w:w="0" w:type="dxa"/>
                    <w:bottom w:w="0" w:type="dxa"/>
                    <w:right w:w="0" w:type="dxa"/>
                  </w:tcMar>
                  <w:vAlign w:val="center"/>
                </w:tcPr>
                <w:p w14:paraId="7116A5D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68.0</w:t>
                  </w:r>
                </w:p>
              </w:tc>
              <w:tc>
                <w:tcPr>
                  <w:tcW w:w="159" w:type="pct"/>
                  <w:tcBorders>
                    <w:tl2br w:val="nil"/>
                    <w:tr2bl w:val="nil"/>
                  </w:tcBorders>
                  <w:shd w:val="clear" w:color="auto" w:fill="auto"/>
                  <w:tcMar>
                    <w:top w:w="0" w:type="dxa"/>
                    <w:left w:w="0" w:type="dxa"/>
                    <w:bottom w:w="0" w:type="dxa"/>
                    <w:right w:w="0" w:type="dxa"/>
                  </w:tcMar>
                  <w:vAlign w:val="center"/>
                </w:tcPr>
                <w:p w14:paraId="4ABF0DF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68.0</w:t>
                  </w:r>
                </w:p>
              </w:tc>
              <w:tc>
                <w:tcPr>
                  <w:tcW w:w="159" w:type="pct"/>
                  <w:tcBorders>
                    <w:tl2br w:val="nil"/>
                    <w:tr2bl w:val="nil"/>
                  </w:tcBorders>
                  <w:shd w:val="clear" w:color="auto" w:fill="auto"/>
                  <w:tcMar>
                    <w:top w:w="0" w:type="dxa"/>
                    <w:left w:w="0" w:type="dxa"/>
                    <w:bottom w:w="0" w:type="dxa"/>
                    <w:right w:w="0" w:type="dxa"/>
                  </w:tcMar>
                  <w:vAlign w:val="center"/>
                </w:tcPr>
                <w:p w14:paraId="51CA32E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68.1</w:t>
                  </w:r>
                </w:p>
              </w:tc>
              <w:tc>
                <w:tcPr>
                  <w:tcW w:w="161" w:type="pct"/>
                  <w:tcBorders>
                    <w:tl2br w:val="nil"/>
                    <w:tr2bl w:val="nil"/>
                  </w:tcBorders>
                  <w:shd w:val="clear" w:color="auto" w:fill="auto"/>
                  <w:tcMar>
                    <w:top w:w="0" w:type="dxa"/>
                    <w:left w:w="0" w:type="dxa"/>
                    <w:bottom w:w="0" w:type="dxa"/>
                    <w:right w:w="0" w:type="dxa"/>
                  </w:tcMar>
                  <w:vAlign w:val="center"/>
                </w:tcPr>
                <w:p w14:paraId="73A8B7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68.0</w:t>
                  </w:r>
                </w:p>
              </w:tc>
              <w:tc>
                <w:tcPr>
                  <w:tcW w:w="497" w:type="pct"/>
                  <w:vMerge w:val="continue"/>
                  <w:tcBorders>
                    <w:tl2br w:val="nil"/>
                    <w:tr2bl w:val="nil"/>
                  </w:tcBorders>
                  <w:shd w:val="clear" w:color="auto" w:fill="auto"/>
                  <w:tcMar>
                    <w:top w:w="0" w:type="dxa"/>
                    <w:left w:w="0" w:type="dxa"/>
                    <w:bottom w:w="0" w:type="dxa"/>
                    <w:right w:w="0" w:type="dxa"/>
                  </w:tcMar>
                  <w:vAlign w:val="center"/>
                </w:tcPr>
                <w:p w14:paraId="319D6BF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65" w:type="pct"/>
                  <w:tcBorders>
                    <w:tl2br w:val="nil"/>
                    <w:tr2bl w:val="nil"/>
                  </w:tcBorders>
                  <w:shd w:val="clear" w:color="auto" w:fill="auto"/>
                  <w:tcMar>
                    <w:top w:w="0" w:type="dxa"/>
                    <w:left w:w="0" w:type="dxa"/>
                    <w:bottom w:w="0" w:type="dxa"/>
                    <w:right w:w="0" w:type="dxa"/>
                  </w:tcMar>
                  <w:vAlign w:val="center"/>
                </w:tcPr>
                <w:p w14:paraId="1B58EA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5" w:type="pct"/>
                  <w:tcBorders>
                    <w:tl2br w:val="nil"/>
                    <w:tr2bl w:val="nil"/>
                  </w:tcBorders>
                  <w:shd w:val="clear" w:color="auto" w:fill="auto"/>
                  <w:tcMar>
                    <w:top w:w="0" w:type="dxa"/>
                    <w:left w:w="0" w:type="dxa"/>
                    <w:bottom w:w="0" w:type="dxa"/>
                    <w:right w:w="0" w:type="dxa"/>
                  </w:tcMar>
                  <w:vAlign w:val="center"/>
                </w:tcPr>
                <w:p w14:paraId="684D5E0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5" w:type="pct"/>
                  <w:tcBorders>
                    <w:tl2br w:val="nil"/>
                    <w:tr2bl w:val="nil"/>
                  </w:tcBorders>
                  <w:shd w:val="clear" w:color="auto" w:fill="auto"/>
                  <w:tcMar>
                    <w:top w:w="0" w:type="dxa"/>
                    <w:left w:w="0" w:type="dxa"/>
                    <w:bottom w:w="0" w:type="dxa"/>
                    <w:right w:w="0" w:type="dxa"/>
                  </w:tcMar>
                  <w:vAlign w:val="center"/>
                </w:tcPr>
                <w:p w14:paraId="3972AA2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7" w:type="pct"/>
                  <w:tcBorders>
                    <w:tl2br w:val="nil"/>
                    <w:tr2bl w:val="nil"/>
                  </w:tcBorders>
                  <w:shd w:val="clear" w:color="auto" w:fill="auto"/>
                  <w:tcMar>
                    <w:top w:w="0" w:type="dxa"/>
                    <w:left w:w="0" w:type="dxa"/>
                    <w:bottom w:w="0" w:type="dxa"/>
                    <w:right w:w="0" w:type="dxa"/>
                  </w:tcMar>
                  <w:vAlign w:val="center"/>
                </w:tcPr>
                <w:p w14:paraId="17EF6CB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50" w:type="pct"/>
                  <w:tcBorders>
                    <w:tl2br w:val="nil"/>
                    <w:tr2bl w:val="nil"/>
                  </w:tcBorders>
                  <w:shd w:val="clear" w:color="auto" w:fill="auto"/>
                  <w:tcMar>
                    <w:top w:w="0" w:type="dxa"/>
                    <w:left w:w="0" w:type="dxa"/>
                    <w:bottom w:w="0" w:type="dxa"/>
                    <w:right w:w="0" w:type="dxa"/>
                  </w:tcMar>
                  <w:vAlign w:val="center"/>
                </w:tcPr>
                <w:p w14:paraId="1CC47B3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47.0</w:t>
                  </w:r>
                </w:p>
              </w:tc>
              <w:tc>
                <w:tcPr>
                  <w:tcW w:w="150" w:type="pct"/>
                  <w:tcBorders>
                    <w:tl2br w:val="nil"/>
                    <w:tr2bl w:val="nil"/>
                  </w:tcBorders>
                  <w:shd w:val="clear" w:color="auto" w:fill="auto"/>
                  <w:tcMar>
                    <w:top w:w="0" w:type="dxa"/>
                    <w:left w:w="0" w:type="dxa"/>
                    <w:bottom w:w="0" w:type="dxa"/>
                    <w:right w:w="0" w:type="dxa"/>
                  </w:tcMar>
                  <w:vAlign w:val="center"/>
                </w:tcPr>
                <w:p w14:paraId="1899237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47.0</w:t>
                  </w:r>
                </w:p>
              </w:tc>
              <w:tc>
                <w:tcPr>
                  <w:tcW w:w="150" w:type="pct"/>
                  <w:tcBorders>
                    <w:tl2br w:val="nil"/>
                    <w:tr2bl w:val="nil"/>
                  </w:tcBorders>
                  <w:shd w:val="clear" w:color="auto" w:fill="auto"/>
                  <w:tcMar>
                    <w:top w:w="0" w:type="dxa"/>
                    <w:left w:w="0" w:type="dxa"/>
                    <w:bottom w:w="0" w:type="dxa"/>
                    <w:right w:w="0" w:type="dxa"/>
                  </w:tcMar>
                  <w:vAlign w:val="center"/>
                </w:tcPr>
                <w:p w14:paraId="0AD01D9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47.1</w:t>
                  </w:r>
                </w:p>
              </w:tc>
              <w:tc>
                <w:tcPr>
                  <w:tcW w:w="150" w:type="pct"/>
                  <w:tcBorders>
                    <w:tl2br w:val="nil"/>
                    <w:tr2bl w:val="nil"/>
                  </w:tcBorders>
                  <w:shd w:val="clear" w:color="auto" w:fill="auto"/>
                  <w:tcMar>
                    <w:top w:w="0" w:type="dxa"/>
                    <w:left w:w="0" w:type="dxa"/>
                    <w:bottom w:w="0" w:type="dxa"/>
                    <w:right w:w="0" w:type="dxa"/>
                  </w:tcMar>
                  <w:vAlign w:val="center"/>
                </w:tcPr>
                <w:p w14:paraId="39ABF1A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47.0</w:t>
                  </w:r>
                </w:p>
              </w:tc>
              <w:tc>
                <w:tcPr>
                  <w:tcW w:w="158" w:type="pct"/>
                  <w:tcBorders>
                    <w:tl2br w:val="nil"/>
                    <w:tr2bl w:val="nil"/>
                  </w:tcBorders>
                  <w:shd w:val="clear" w:color="auto" w:fill="auto"/>
                  <w:tcMar>
                    <w:top w:w="0" w:type="dxa"/>
                    <w:left w:w="0" w:type="dxa"/>
                    <w:bottom w:w="0" w:type="dxa"/>
                    <w:right w:w="0" w:type="dxa"/>
                  </w:tcMar>
                  <w:vAlign w:val="center"/>
                </w:tcPr>
                <w:p w14:paraId="7DC49E6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w:t>
                  </w:r>
                </w:p>
              </w:tc>
            </w:tr>
            <w:tr w14:paraId="7690A0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1" w:type="pct"/>
                  <w:tcBorders>
                    <w:tl2br w:val="nil"/>
                    <w:tr2bl w:val="nil"/>
                  </w:tcBorders>
                  <w:shd w:val="clear" w:color="auto" w:fill="auto"/>
                  <w:tcMar>
                    <w:top w:w="0" w:type="dxa"/>
                    <w:left w:w="0" w:type="dxa"/>
                    <w:bottom w:w="0" w:type="dxa"/>
                    <w:right w:w="0" w:type="dxa"/>
                  </w:tcMar>
                  <w:vAlign w:val="center"/>
                </w:tcPr>
                <w:p w14:paraId="3176E67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9</w:t>
                  </w:r>
                </w:p>
              </w:tc>
              <w:tc>
                <w:tcPr>
                  <w:tcW w:w="223" w:type="pct"/>
                  <w:tcBorders>
                    <w:tl2br w:val="nil"/>
                    <w:tr2bl w:val="nil"/>
                  </w:tcBorders>
                  <w:shd w:val="clear" w:color="auto" w:fill="auto"/>
                  <w:tcMar>
                    <w:top w:w="0" w:type="dxa"/>
                    <w:left w:w="0" w:type="dxa"/>
                    <w:bottom w:w="0" w:type="dxa"/>
                    <w:right w:w="0" w:type="dxa"/>
                  </w:tcMar>
                  <w:vAlign w:val="center"/>
                </w:tcPr>
                <w:p w14:paraId="6F28E98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1#厂房</w:t>
                  </w:r>
                </w:p>
              </w:tc>
              <w:tc>
                <w:tcPr>
                  <w:tcW w:w="279" w:type="pct"/>
                  <w:tcBorders>
                    <w:tl2br w:val="nil"/>
                    <w:tr2bl w:val="nil"/>
                  </w:tcBorders>
                  <w:shd w:val="clear" w:color="auto" w:fill="auto"/>
                  <w:tcMar>
                    <w:top w:w="0" w:type="dxa"/>
                    <w:left w:w="0" w:type="dxa"/>
                    <w:bottom w:w="0" w:type="dxa"/>
                    <w:right w:w="0" w:type="dxa"/>
                  </w:tcMar>
                  <w:vAlign w:val="center"/>
                </w:tcPr>
                <w:p w14:paraId="397095C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风机2</w:t>
                  </w:r>
                </w:p>
              </w:tc>
              <w:tc>
                <w:tcPr>
                  <w:tcW w:w="294" w:type="pct"/>
                  <w:tcBorders>
                    <w:tl2br w:val="nil"/>
                    <w:tr2bl w:val="nil"/>
                  </w:tcBorders>
                  <w:shd w:val="clear" w:color="auto" w:fill="auto"/>
                  <w:tcMar>
                    <w:top w:w="0" w:type="dxa"/>
                    <w:left w:w="0" w:type="dxa"/>
                    <w:bottom w:w="0" w:type="dxa"/>
                    <w:right w:w="0" w:type="dxa"/>
                  </w:tcMar>
                  <w:vAlign w:val="center"/>
                </w:tcPr>
                <w:p w14:paraId="10AD918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85</w:t>
                  </w:r>
                </w:p>
              </w:tc>
              <w:tc>
                <w:tcPr>
                  <w:tcW w:w="266" w:type="pct"/>
                  <w:vMerge w:val="continue"/>
                  <w:tcBorders>
                    <w:tl2br w:val="nil"/>
                    <w:tr2bl w:val="nil"/>
                  </w:tcBorders>
                  <w:shd w:val="clear" w:color="auto" w:fill="auto"/>
                  <w:tcMar>
                    <w:top w:w="0" w:type="dxa"/>
                    <w:left w:w="0" w:type="dxa"/>
                    <w:bottom w:w="0" w:type="dxa"/>
                    <w:right w:w="0" w:type="dxa"/>
                  </w:tcMar>
                  <w:vAlign w:val="center"/>
                </w:tcPr>
                <w:p w14:paraId="237356E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91" w:type="pct"/>
                  <w:tcBorders>
                    <w:tl2br w:val="nil"/>
                    <w:tr2bl w:val="nil"/>
                  </w:tcBorders>
                  <w:shd w:val="clear" w:color="auto" w:fill="auto"/>
                  <w:tcMar>
                    <w:top w:w="0" w:type="dxa"/>
                    <w:left w:w="0" w:type="dxa"/>
                    <w:bottom w:w="0" w:type="dxa"/>
                    <w:right w:w="0" w:type="dxa"/>
                  </w:tcMar>
                  <w:vAlign w:val="center"/>
                </w:tcPr>
                <w:p w14:paraId="1DB4172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-46.2</w:t>
                  </w:r>
                </w:p>
              </w:tc>
              <w:tc>
                <w:tcPr>
                  <w:tcW w:w="191" w:type="pct"/>
                  <w:tcBorders>
                    <w:tl2br w:val="nil"/>
                    <w:tr2bl w:val="nil"/>
                  </w:tcBorders>
                  <w:shd w:val="clear" w:color="auto" w:fill="auto"/>
                  <w:tcMar>
                    <w:top w:w="0" w:type="dxa"/>
                    <w:left w:w="0" w:type="dxa"/>
                    <w:bottom w:w="0" w:type="dxa"/>
                    <w:right w:w="0" w:type="dxa"/>
                  </w:tcMar>
                  <w:vAlign w:val="center"/>
                </w:tcPr>
                <w:p w14:paraId="1D58AFA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-1.1</w:t>
                  </w:r>
                </w:p>
              </w:tc>
              <w:tc>
                <w:tcPr>
                  <w:tcW w:w="117" w:type="pct"/>
                  <w:tcBorders>
                    <w:tl2br w:val="nil"/>
                    <w:tr2bl w:val="nil"/>
                  </w:tcBorders>
                  <w:shd w:val="clear" w:color="auto" w:fill="auto"/>
                  <w:tcMar>
                    <w:top w:w="0" w:type="dxa"/>
                    <w:left w:w="0" w:type="dxa"/>
                    <w:bottom w:w="0" w:type="dxa"/>
                    <w:right w:w="0" w:type="dxa"/>
                  </w:tcMar>
                  <w:vAlign w:val="center"/>
                </w:tcPr>
                <w:p w14:paraId="6A2E7F2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w:t>
                  </w:r>
                </w:p>
              </w:tc>
              <w:tc>
                <w:tcPr>
                  <w:tcW w:w="153" w:type="pct"/>
                  <w:tcBorders>
                    <w:tl2br w:val="nil"/>
                    <w:tr2bl w:val="nil"/>
                  </w:tcBorders>
                  <w:shd w:val="clear" w:color="auto" w:fill="auto"/>
                  <w:tcMar>
                    <w:top w:w="0" w:type="dxa"/>
                    <w:left w:w="0" w:type="dxa"/>
                    <w:bottom w:w="0" w:type="dxa"/>
                    <w:right w:w="0" w:type="dxa"/>
                  </w:tcMar>
                  <w:vAlign w:val="center"/>
                </w:tcPr>
                <w:p w14:paraId="63DFA8F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23.0</w:t>
                  </w:r>
                </w:p>
              </w:tc>
              <w:tc>
                <w:tcPr>
                  <w:tcW w:w="192" w:type="pct"/>
                  <w:tcBorders>
                    <w:tl2br w:val="nil"/>
                    <w:tr2bl w:val="nil"/>
                  </w:tcBorders>
                  <w:shd w:val="clear" w:color="auto" w:fill="auto"/>
                  <w:tcMar>
                    <w:top w:w="0" w:type="dxa"/>
                    <w:left w:w="0" w:type="dxa"/>
                    <w:bottom w:w="0" w:type="dxa"/>
                    <w:right w:w="0" w:type="dxa"/>
                  </w:tcMar>
                  <w:vAlign w:val="center"/>
                </w:tcPr>
                <w:p w14:paraId="6A96826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75.1</w:t>
                  </w:r>
                </w:p>
              </w:tc>
              <w:tc>
                <w:tcPr>
                  <w:tcW w:w="153" w:type="pct"/>
                  <w:tcBorders>
                    <w:tl2br w:val="nil"/>
                    <w:tr2bl w:val="nil"/>
                  </w:tcBorders>
                  <w:shd w:val="clear" w:color="auto" w:fill="auto"/>
                  <w:tcMar>
                    <w:top w:w="0" w:type="dxa"/>
                    <w:left w:w="0" w:type="dxa"/>
                    <w:bottom w:w="0" w:type="dxa"/>
                    <w:right w:w="0" w:type="dxa"/>
                  </w:tcMar>
                  <w:vAlign w:val="center"/>
                </w:tcPr>
                <w:p w14:paraId="61F8942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10.0</w:t>
                  </w:r>
                </w:p>
              </w:tc>
              <w:tc>
                <w:tcPr>
                  <w:tcW w:w="197" w:type="pct"/>
                  <w:tcBorders>
                    <w:tl2br w:val="nil"/>
                    <w:tr2bl w:val="nil"/>
                  </w:tcBorders>
                  <w:shd w:val="clear" w:color="auto" w:fill="auto"/>
                  <w:tcMar>
                    <w:top w:w="0" w:type="dxa"/>
                    <w:left w:w="0" w:type="dxa"/>
                    <w:bottom w:w="0" w:type="dxa"/>
                    <w:right w:w="0" w:type="dxa"/>
                  </w:tcMar>
                  <w:vAlign w:val="center"/>
                </w:tcPr>
                <w:p w14:paraId="2F4E27E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68.8</w:t>
                  </w:r>
                </w:p>
              </w:tc>
              <w:tc>
                <w:tcPr>
                  <w:tcW w:w="159" w:type="pct"/>
                  <w:tcBorders>
                    <w:tl2br w:val="nil"/>
                    <w:tr2bl w:val="nil"/>
                  </w:tcBorders>
                  <w:shd w:val="clear" w:color="auto" w:fill="auto"/>
                  <w:tcMar>
                    <w:top w:w="0" w:type="dxa"/>
                    <w:left w:w="0" w:type="dxa"/>
                    <w:bottom w:w="0" w:type="dxa"/>
                    <w:right w:w="0" w:type="dxa"/>
                  </w:tcMar>
                  <w:vAlign w:val="center"/>
                </w:tcPr>
                <w:p w14:paraId="5D69066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68.0</w:t>
                  </w:r>
                </w:p>
              </w:tc>
              <w:tc>
                <w:tcPr>
                  <w:tcW w:w="159" w:type="pct"/>
                  <w:tcBorders>
                    <w:tl2br w:val="nil"/>
                    <w:tr2bl w:val="nil"/>
                  </w:tcBorders>
                  <w:shd w:val="clear" w:color="auto" w:fill="auto"/>
                  <w:tcMar>
                    <w:top w:w="0" w:type="dxa"/>
                    <w:left w:w="0" w:type="dxa"/>
                    <w:bottom w:w="0" w:type="dxa"/>
                    <w:right w:w="0" w:type="dxa"/>
                  </w:tcMar>
                  <w:vAlign w:val="center"/>
                </w:tcPr>
                <w:p w14:paraId="55A62E1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68.0</w:t>
                  </w:r>
                </w:p>
              </w:tc>
              <w:tc>
                <w:tcPr>
                  <w:tcW w:w="159" w:type="pct"/>
                  <w:tcBorders>
                    <w:tl2br w:val="nil"/>
                    <w:tr2bl w:val="nil"/>
                  </w:tcBorders>
                  <w:shd w:val="clear" w:color="auto" w:fill="auto"/>
                  <w:tcMar>
                    <w:top w:w="0" w:type="dxa"/>
                    <w:left w:w="0" w:type="dxa"/>
                    <w:bottom w:w="0" w:type="dxa"/>
                    <w:right w:w="0" w:type="dxa"/>
                  </w:tcMar>
                  <w:vAlign w:val="center"/>
                </w:tcPr>
                <w:p w14:paraId="3A9F415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68.2</w:t>
                  </w:r>
                </w:p>
              </w:tc>
              <w:tc>
                <w:tcPr>
                  <w:tcW w:w="161" w:type="pct"/>
                  <w:tcBorders>
                    <w:tl2br w:val="nil"/>
                    <w:tr2bl w:val="nil"/>
                  </w:tcBorders>
                  <w:shd w:val="clear" w:color="auto" w:fill="auto"/>
                  <w:tcMar>
                    <w:top w:w="0" w:type="dxa"/>
                    <w:left w:w="0" w:type="dxa"/>
                    <w:bottom w:w="0" w:type="dxa"/>
                    <w:right w:w="0" w:type="dxa"/>
                  </w:tcMar>
                  <w:vAlign w:val="center"/>
                </w:tcPr>
                <w:p w14:paraId="2F1F825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68.0</w:t>
                  </w:r>
                </w:p>
              </w:tc>
              <w:tc>
                <w:tcPr>
                  <w:tcW w:w="497" w:type="pct"/>
                  <w:vMerge w:val="continue"/>
                  <w:tcBorders>
                    <w:tl2br w:val="nil"/>
                    <w:tr2bl w:val="nil"/>
                  </w:tcBorders>
                  <w:shd w:val="clear" w:color="auto" w:fill="auto"/>
                  <w:tcMar>
                    <w:top w:w="0" w:type="dxa"/>
                    <w:left w:w="0" w:type="dxa"/>
                    <w:bottom w:w="0" w:type="dxa"/>
                    <w:right w:w="0" w:type="dxa"/>
                  </w:tcMar>
                  <w:vAlign w:val="center"/>
                </w:tcPr>
                <w:p w14:paraId="644B528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65" w:type="pct"/>
                  <w:tcBorders>
                    <w:tl2br w:val="nil"/>
                    <w:tr2bl w:val="nil"/>
                  </w:tcBorders>
                  <w:shd w:val="clear" w:color="auto" w:fill="auto"/>
                  <w:tcMar>
                    <w:top w:w="0" w:type="dxa"/>
                    <w:left w:w="0" w:type="dxa"/>
                    <w:bottom w:w="0" w:type="dxa"/>
                    <w:right w:w="0" w:type="dxa"/>
                  </w:tcMar>
                  <w:vAlign w:val="center"/>
                </w:tcPr>
                <w:p w14:paraId="71E8698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5" w:type="pct"/>
                  <w:tcBorders>
                    <w:tl2br w:val="nil"/>
                    <w:tr2bl w:val="nil"/>
                  </w:tcBorders>
                  <w:shd w:val="clear" w:color="auto" w:fill="auto"/>
                  <w:tcMar>
                    <w:top w:w="0" w:type="dxa"/>
                    <w:left w:w="0" w:type="dxa"/>
                    <w:bottom w:w="0" w:type="dxa"/>
                    <w:right w:w="0" w:type="dxa"/>
                  </w:tcMar>
                  <w:vAlign w:val="center"/>
                </w:tcPr>
                <w:p w14:paraId="04B0042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5" w:type="pct"/>
                  <w:tcBorders>
                    <w:tl2br w:val="nil"/>
                    <w:tr2bl w:val="nil"/>
                  </w:tcBorders>
                  <w:shd w:val="clear" w:color="auto" w:fill="auto"/>
                  <w:tcMar>
                    <w:top w:w="0" w:type="dxa"/>
                    <w:left w:w="0" w:type="dxa"/>
                    <w:bottom w:w="0" w:type="dxa"/>
                    <w:right w:w="0" w:type="dxa"/>
                  </w:tcMar>
                  <w:vAlign w:val="center"/>
                </w:tcPr>
                <w:p w14:paraId="0A52DA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7" w:type="pct"/>
                  <w:tcBorders>
                    <w:tl2br w:val="nil"/>
                    <w:tr2bl w:val="nil"/>
                  </w:tcBorders>
                  <w:shd w:val="clear" w:color="auto" w:fill="auto"/>
                  <w:tcMar>
                    <w:top w:w="0" w:type="dxa"/>
                    <w:left w:w="0" w:type="dxa"/>
                    <w:bottom w:w="0" w:type="dxa"/>
                    <w:right w:w="0" w:type="dxa"/>
                  </w:tcMar>
                  <w:vAlign w:val="center"/>
                </w:tcPr>
                <w:p w14:paraId="459ECCA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50" w:type="pct"/>
                  <w:tcBorders>
                    <w:tl2br w:val="nil"/>
                    <w:tr2bl w:val="nil"/>
                  </w:tcBorders>
                  <w:shd w:val="clear" w:color="auto" w:fill="auto"/>
                  <w:tcMar>
                    <w:top w:w="0" w:type="dxa"/>
                    <w:left w:w="0" w:type="dxa"/>
                    <w:bottom w:w="0" w:type="dxa"/>
                    <w:right w:w="0" w:type="dxa"/>
                  </w:tcMar>
                  <w:vAlign w:val="center"/>
                </w:tcPr>
                <w:p w14:paraId="4742CA3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47.0</w:t>
                  </w:r>
                </w:p>
              </w:tc>
              <w:tc>
                <w:tcPr>
                  <w:tcW w:w="150" w:type="pct"/>
                  <w:tcBorders>
                    <w:tl2br w:val="nil"/>
                    <w:tr2bl w:val="nil"/>
                  </w:tcBorders>
                  <w:shd w:val="clear" w:color="auto" w:fill="auto"/>
                  <w:tcMar>
                    <w:top w:w="0" w:type="dxa"/>
                    <w:left w:w="0" w:type="dxa"/>
                    <w:bottom w:w="0" w:type="dxa"/>
                    <w:right w:w="0" w:type="dxa"/>
                  </w:tcMar>
                  <w:vAlign w:val="center"/>
                </w:tcPr>
                <w:p w14:paraId="736AF0F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47.0</w:t>
                  </w:r>
                </w:p>
              </w:tc>
              <w:tc>
                <w:tcPr>
                  <w:tcW w:w="150" w:type="pct"/>
                  <w:tcBorders>
                    <w:tl2br w:val="nil"/>
                    <w:tr2bl w:val="nil"/>
                  </w:tcBorders>
                  <w:shd w:val="clear" w:color="auto" w:fill="auto"/>
                  <w:tcMar>
                    <w:top w:w="0" w:type="dxa"/>
                    <w:left w:w="0" w:type="dxa"/>
                    <w:bottom w:w="0" w:type="dxa"/>
                    <w:right w:w="0" w:type="dxa"/>
                  </w:tcMar>
                  <w:vAlign w:val="center"/>
                </w:tcPr>
                <w:p w14:paraId="12D5362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47.2</w:t>
                  </w:r>
                </w:p>
              </w:tc>
              <w:tc>
                <w:tcPr>
                  <w:tcW w:w="150" w:type="pct"/>
                  <w:tcBorders>
                    <w:tl2br w:val="nil"/>
                    <w:tr2bl w:val="nil"/>
                  </w:tcBorders>
                  <w:shd w:val="clear" w:color="auto" w:fill="auto"/>
                  <w:tcMar>
                    <w:top w:w="0" w:type="dxa"/>
                    <w:left w:w="0" w:type="dxa"/>
                    <w:bottom w:w="0" w:type="dxa"/>
                    <w:right w:w="0" w:type="dxa"/>
                  </w:tcMar>
                  <w:vAlign w:val="center"/>
                </w:tcPr>
                <w:p w14:paraId="17B3970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47.0</w:t>
                  </w:r>
                </w:p>
              </w:tc>
              <w:tc>
                <w:tcPr>
                  <w:tcW w:w="158" w:type="pct"/>
                  <w:tcBorders>
                    <w:tl2br w:val="nil"/>
                    <w:tr2bl w:val="nil"/>
                  </w:tcBorders>
                  <w:shd w:val="clear" w:color="auto" w:fill="auto"/>
                  <w:tcMar>
                    <w:top w:w="0" w:type="dxa"/>
                    <w:left w:w="0" w:type="dxa"/>
                    <w:bottom w:w="0" w:type="dxa"/>
                    <w:right w:w="0" w:type="dxa"/>
                  </w:tcMar>
                  <w:vAlign w:val="center"/>
                </w:tcPr>
                <w:p w14:paraId="24BE2C5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w:t>
                  </w:r>
                </w:p>
              </w:tc>
            </w:tr>
            <w:tr w14:paraId="4CE2B6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81" w:type="pct"/>
                  <w:tcBorders>
                    <w:tl2br w:val="nil"/>
                    <w:tr2bl w:val="nil"/>
                  </w:tcBorders>
                  <w:shd w:val="clear" w:color="auto" w:fill="auto"/>
                  <w:tcMar>
                    <w:top w:w="0" w:type="dxa"/>
                    <w:left w:w="0" w:type="dxa"/>
                    <w:bottom w:w="0" w:type="dxa"/>
                    <w:right w:w="0" w:type="dxa"/>
                  </w:tcMar>
                  <w:vAlign w:val="center"/>
                </w:tcPr>
                <w:p w14:paraId="5514C69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10</w:t>
                  </w:r>
                </w:p>
              </w:tc>
              <w:tc>
                <w:tcPr>
                  <w:tcW w:w="223" w:type="pct"/>
                  <w:tcBorders>
                    <w:tl2br w:val="nil"/>
                    <w:tr2bl w:val="nil"/>
                  </w:tcBorders>
                  <w:shd w:val="clear" w:color="auto" w:fill="auto"/>
                  <w:tcMar>
                    <w:top w:w="0" w:type="dxa"/>
                    <w:left w:w="0" w:type="dxa"/>
                    <w:bottom w:w="0" w:type="dxa"/>
                    <w:right w:w="0" w:type="dxa"/>
                  </w:tcMar>
                  <w:vAlign w:val="center"/>
                </w:tcPr>
                <w:p w14:paraId="731DFDF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1#厂房</w:t>
                  </w:r>
                </w:p>
              </w:tc>
              <w:tc>
                <w:tcPr>
                  <w:tcW w:w="279" w:type="pct"/>
                  <w:tcBorders>
                    <w:tl2br w:val="nil"/>
                    <w:tr2bl w:val="nil"/>
                  </w:tcBorders>
                  <w:shd w:val="clear" w:color="auto" w:fill="auto"/>
                  <w:tcMar>
                    <w:top w:w="0" w:type="dxa"/>
                    <w:left w:w="0" w:type="dxa"/>
                    <w:bottom w:w="0" w:type="dxa"/>
                    <w:right w:w="0" w:type="dxa"/>
                  </w:tcMar>
                  <w:vAlign w:val="center"/>
                </w:tcPr>
                <w:p w14:paraId="23BFD1C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风机3</w:t>
                  </w:r>
                </w:p>
              </w:tc>
              <w:tc>
                <w:tcPr>
                  <w:tcW w:w="294" w:type="pct"/>
                  <w:tcBorders>
                    <w:tl2br w:val="nil"/>
                    <w:tr2bl w:val="nil"/>
                  </w:tcBorders>
                  <w:shd w:val="clear" w:color="auto" w:fill="auto"/>
                  <w:tcMar>
                    <w:top w:w="0" w:type="dxa"/>
                    <w:left w:w="0" w:type="dxa"/>
                    <w:bottom w:w="0" w:type="dxa"/>
                    <w:right w:w="0" w:type="dxa"/>
                  </w:tcMar>
                  <w:vAlign w:val="center"/>
                </w:tcPr>
                <w:p w14:paraId="508F914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95</w:t>
                  </w:r>
                </w:p>
              </w:tc>
              <w:tc>
                <w:tcPr>
                  <w:tcW w:w="266" w:type="pct"/>
                  <w:vMerge w:val="continue"/>
                  <w:tcBorders>
                    <w:tl2br w:val="nil"/>
                    <w:tr2bl w:val="nil"/>
                  </w:tcBorders>
                  <w:shd w:val="clear" w:color="auto" w:fill="auto"/>
                  <w:tcMar>
                    <w:top w:w="0" w:type="dxa"/>
                    <w:left w:w="0" w:type="dxa"/>
                    <w:bottom w:w="0" w:type="dxa"/>
                    <w:right w:w="0" w:type="dxa"/>
                  </w:tcMar>
                  <w:vAlign w:val="center"/>
                </w:tcPr>
                <w:p w14:paraId="38ED1F3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91" w:type="pct"/>
                  <w:tcBorders>
                    <w:tl2br w:val="nil"/>
                    <w:tr2bl w:val="nil"/>
                  </w:tcBorders>
                  <w:shd w:val="clear" w:color="auto" w:fill="auto"/>
                  <w:tcMar>
                    <w:top w:w="0" w:type="dxa"/>
                    <w:left w:w="0" w:type="dxa"/>
                    <w:bottom w:w="0" w:type="dxa"/>
                    <w:right w:w="0" w:type="dxa"/>
                  </w:tcMar>
                  <w:vAlign w:val="center"/>
                </w:tcPr>
                <w:p w14:paraId="2E0BD3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-31.2</w:t>
                  </w:r>
                </w:p>
              </w:tc>
              <w:tc>
                <w:tcPr>
                  <w:tcW w:w="191" w:type="pct"/>
                  <w:tcBorders>
                    <w:tl2br w:val="nil"/>
                    <w:tr2bl w:val="nil"/>
                  </w:tcBorders>
                  <w:shd w:val="clear" w:color="auto" w:fill="auto"/>
                  <w:tcMar>
                    <w:top w:w="0" w:type="dxa"/>
                    <w:left w:w="0" w:type="dxa"/>
                    <w:bottom w:w="0" w:type="dxa"/>
                    <w:right w:w="0" w:type="dxa"/>
                  </w:tcMar>
                  <w:vAlign w:val="center"/>
                </w:tcPr>
                <w:p w14:paraId="4DCFD77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-26.1</w:t>
                  </w:r>
                </w:p>
              </w:tc>
              <w:tc>
                <w:tcPr>
                  <w:tcW w:w="117" w:type="pct"/>
                  <w:tcBorders>
                    <w:tl2br w:val="nil"/>
                    <w:tr2bl w:val="nil"/>
                  </w:tcBorders>
                  <w:shd w:val="clear" w:color="auto" w:fill="auto"/>
                  <w:tcMar>
                    <w:top w:w="0" w:type="dxa"/>
                    <w:left w:w="0" w:type="dxa"/>
                    <w:bottom w:w="0" w:type="dxa"/>
                    <w:right w:w="0" w:type="dxa"/>
                  </w:tcMar>
                  <w:vAlign w:val="center"/>
                </w:tcPr>
                <w:p w14:paraId="6FBC141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w:t>
                  </w:r>
                </w:p>
              </w:tc>
              <w:tc>
                <w:tcPr>
                  <w:tcW w:w="153" w:type="pct"/>
                  <w:tcBorders>
                    <w:tl2br w:val="nil"/>
                    <w:tr2bl w:val="nil"/>
                  </w:tcBorders>
                  <w:shd w:val="clear" w:color="auto" w:fill="auto"/>
                  <w:tcMar>
                    <w:top w:w="0" w:type="dxa"/>
                    <w:left w:w="0" w:type="dxa"/>
                    <w:bottom w:w="0" w:type="dxa"/>
                    <w:right w:w="0" w:type="dxa"/>
                  </w:tcMar>
                  <w:vAlign w:val="center"/>
                </w:tcPr>
                <w:p w14:paraId="55A10FE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20.5</w:t>
                  </w:r>
                </w:p>
              </w:tc>
              <w:tc>
                <w:tcPr>
                  <w:tcW w:w="192" w:type="pct"/>
                  <w:tcBorders>
                    <w:tl2br w:val="nil"/>
                    <w:tr2bl w:val="nil"/>
                  </w:tcBorders>
                  <w:shd w:val="clear" w:color="auto" w:fill="auto"/>
                  <w:tcMar>
                    <w:top w:w="0" w:type="dxa"/>
                    <w:left w:w="0" w:type="dxa"/>
                    <w:bottom w:w="0" w:type="dxa"/>
                    <w:right w:w="0" w:type="dxa"/>
                  </w:tcMar>
                  <w:vAlign w:val="center"/>
                </w:tcPr>
                <w:p w14:paraId="6E56632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46.0</w:t>
                  </w:r>
                </w:p>
              </w:tc>
              <w:tc>
                <w:tcPr>
                  <w:tcW w:w="153" w:type="pct"/>
                  <w:tcBorders>
                    <w:tl2br w:val="nil"/>
                    <w:tr2bl w:val="nil"/>
                  </w:tcBorders>
                  <w:shd w:val="clear" w:color="auto" w:fill="auto"/>
                  <w:tcMar>
                    <w:top w:w="0" w:type="dxa"/>
                    <w:left w:w="0" w:type="dxa"/>
                    <w:bottom w:w="0" w:type="dxa"/>
                    <w:right w:w="0" w:type="dxa"/>
                  </w:tcMar>
                  <w:vAlign w:val="center"/>
                </w:tcPr>
                <w:p w14:paraId="3C87CA8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12.5</w:t>
                  </w:r>
                </w:p>
              </w:tc>
              <w:tc>
                <w:tcPr>
                  <w:tcW w:w="197" w:type="pct"/>
                  <w:tcBorders>
                    <w:tl2br w:val="nil"/>
                    <w:tr2bl w:val="nil"/>
                  </w:tcBorders>
                  <w:shd w:val="clear" w:color="auto" w:fill="auto"/>
                  <w:tcMar>
                    <w:top w:w="0" w:type="dxa"/>
                    <w:left w:w="0" w:type="dxa"/>
                    <w:bottom w:w="0" w:type="dxa"/>
                    <w:right w:w="0" w:type="dxa"/>
                  </w:tcMar>
                  <w:vAlign w:val="center"/>
                </w:tcPr>
                <w:p w14:paraId="27631A7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97.9</w:t>
                  </w:r>
                </w:p>
              </w:tc>
              <w:tc>
                <w:tcPr>
                  <w:tcW w:w="159" w:type="pct"/>
                  <w:tcBorders>
                    <w:tl2br w:val="nil"/>
                    <w:tr2bl w:val="nil"/>
                  </w:tcBorders>
                  <w:shd w:val="clear" w:color="auto" w:fill="auto"/>
                  <w:tcMar>
                    <w:top w:w="0" w:type="dxa"/>
                    <w:left w:w="0" w:type="dxa"/>
                    <w:bottom w:w="0" w:type="dxa"/>
                    <w:right w:w="0" w:type="dxa"/>
                  </w:tcMar>
                  <w:vAlign w:val="center"/>
                </w:tcPr>
                <w:p w14:paraId="0119032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78.0</w:t>
                  </w:r>
                </w:p>
              </w:tc>
              <w:tc>
                <w:tcPr>
                  <w:tcW w:w="159" w:type="pct"/>
                  <w:tcBorders>
                    <w:tl2br w:val="nil"/>
                    <w:tr2bl w:val="nil"/>
                  </w:tcBorders>
                  <w:shd w:val="clear" w:color="auto" w:fill="auto"/>
                  <w:tcMar>
                    <w:top w:w="0" w:type="dxa"/>
                    <w:left w:w="0" w:type="dxa"/>
                    <w:bottom w:w="0" w:type="dxa"/>
                    <w:right w:w="0" w:type="dxa"/>
                  </w:tcMar>
                  <w:vAlign w:val="center"/>
                </w:tcPr>
                <w:p w14:paraId="20B3E6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78.0</w:t>
                  </w:r>
                </w:p>
              </w:tc>
              <w:tc>
                <w:tcPr>
                  <w:tcW w:w="159" w:type="pct"/>
                  <w:tcBorders>
                    <w:tl2br w:val="nil"/>
                    <w:tr2bl w:val="nil"/>
                  </w:tcBorders>
                  <w:shd w:val="clear" w:color="auto" w:fill="auto"/>
                  <w:tcMar>
                    <w:top w:w="0" w:type="dxa"/>
                    <w:left w:w="0" w:type="dxa"/>
                    <w:bottom w:w="0" w:type="dxa"/>
                    <w:right w:w="0" w:type="dxa"/>
                  </w:tcMar>
                  <w:vAlign w:val="center"/>
                </w:tcPr>
                <w:p w14:paraId="3D1F122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78.1</w:t>
                  </w:r>
                </w:p>
              </w:tc>
              <w:tc>
                <w:tcPr>
                  <w:tcW w:w="161" w:type="pct"/>
                  <w:tcBorders>
                    <w:tl2br w:val="nil"/>
                    <w:tr2bl w:val="nil"/>
                  </w:tcBorders>
                  <w:shd w:val="clear" w:color="auto" w:fill="auto"/>
                  <w:tcMar>
                    <w:top w:w="0" w:type="dxa"/>
                    <w:left w:w="0" w:type="dxa"/>
                    <w:bottom w:w="0" w:type="dxa"/>
                    <w:right w:w="0" w:type="dxa"/>
                  </w:tcMar>
                  <w:vAlign w:val="center"/>
                </w:tcPr>
                <w:p w14:paraId="527A1C5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78.0</w:t>
                  </w:r>
                </w:p>
              </w:tc>
              <w:tc>
                <w:tcPr>
                  <w:tcW w:w="497" w:type="pct"/>
                  <w:vMerge w:val="continue"/>
                  <w:tcBorders>
                    <w:tl2br w:val="nil"/>
                    <w:tr2bl w:val="nil"/>
                  </w:tcBorders>
                  <w:shd w:val="clear" w:color="auto" w:fill="auto"/>
                  <w:tcMar>
                    <w:top w:w="0" w:type="dxa"/>
                    <w:left w:w="0" w:type="dxa"/>
                    <w:bottom w:w="0" w:type="dxa"/>
                    <w:right w:w="0" w:type="dxa"/>
                  </w:tcMar>
                  <w:vAlign w:val="center"/>
                </w:tcPr>
                <w:p w14:paraId="24C46FF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65" w:type="pct"/>
                  <w:tcBorders>
                    <w:tl2br w:val="nil"/>
                    <w:tr2bl w:val="nil"/>
                  </w:tcBorders>
                  <w:shd w:val="clear" w:color="auto" w:fill="auto"/>
                  <w:tcMar>
                    <w:top w:w="0" w:type="dxa"/>
                    <w:left w:w="0" w:type="dxa"/>
                    <w:bottom w:w="0" w:type="dxa"/>
                    <w:right w:w="0" w:type="dxa"/>
                  </w:tcMar>
                  <w:vAlign w:val="center"/>
                </w:tcPr>
                <w:p w14:paraId="3F87D6C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5" w:type="pct"/>
                  <w:tcBorders>
                    <w:tl2br w:val="nil"/>
                    <w:tr2bl w:val="nil"/>
                  </w:tcBorders>
                  <w:shd w:val="clear" w:color="auto" w:fill="auto"/>
                  <w:tcMar>
                    <w:top w:w="0" w:type="dxa"/>
                    <w:left w:w="0" w:type="dxa"/>
                    <w:bottom w:w="0" w:type="dxa"/>
                    <w:right w:w="0" w:type="dxa"/>
                  </w:tcMar>
                  <w:vAlign w:val="center"/>
                </w:tcPr>
                <w:p w14:paraId="1767721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5" w:type="pct"/>
                  <w:tcBorders>
                    <w:tl2br w:val="nil"/>
                    <w:tr2bl w:val="nil"/>
                  </w:tcBorders>
                  <w:shd w:val="clear" w:color="auto" w:fill="auto"/>
                  <w:tcMar>
                    <w:top w:w="0" w:type="dxa"/>
                    <w:left w:w="0" w:type="dxa"/>
                    <w:bottom w:w="0" w:type="dxa"/>
                    <w:right w:w="0" w:type="dxa"/>
                  </w:tcMar>
                  <w:vAlign w:val="center"/>
                </w:tcPr>
                <w:p w14:paraId="05A547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67" w:type="pct"/>
                  <w:tcBorders>
                    <w:tl2br w:val="nil"/>
                    <w:tr2bl w:val="nil"/>
                  </w:tcBorders>
                  <w:shd w:val="clear" w:color="auto" w:fill="auto"/>
                  <w:tcMar>
                    <w:top w:w="0" w:type="dxa"/>
                    <w:left w:w="0" w:type="dxa"/>
                    <w:bottom w:w="0" w:type="dxa"/>
                    <w:right w:w="0" w:type="dxa"/>
                  </w:tcMar>
                  <w:vAlign w:val="center"/>
                </w:tcPr>
                <w:p w14:paraId="10A1678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21.0</w:t>
                  </w:r>
                </w:p>
              </w:tc>
              <w:tc>
                <w:tcPr>
                  <w:tcW w:w="150" w:type="pct"/>
                  <w:tcBorders>
                    <w:tl2br w:val="nil"/>
                    <w:tr2bl w:val="nil"/>
                  </w:tcBorders>
                  <w:shd w:val="clear" w:color="auto" w:fill="auto"/>
                  <w:tcMar>
                    <w:top w:w="0" w:type="dxa"/>
                    <w:left w:w="0" w:type="dxa"/>
                    <w:bottom w:w="0" w:type="dxa"/>
                    <w:right w:w="0" w:type="dxa"/>
                  </w:tcMar>
                  <w:vAlign w:val="center"/>
                </w:tcPr>
                <w:p w14:paraId="0DFD28C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57.0</w:t>
                  </w:r>
                </w:p>
              </w:tc>
              <w:tc>
                <w:tcPr>
                  <w:tcW w:w="150" w:type="pct"/>
                  <w:tcBorders>
                    <w:tl2br w:val="nil"/>
                    <w:tr2bl w:val="nil"/>
                  </w:tcBorders>
                  <w:shd w:val="clear" w:color="auto" w:fill="auto"/>
                  <w:tcMar>
                    <w:top w:w="0" w:type="dxa"/>
                    <w:left w:w="0" w:type="dxa"/>
                    <w:bottom w:w="0" w:type="dxa"/>
                    <w:right w:w="0" w:type="dxa"/>
                  </w:tcMar>
                  <w:vAlign w:val="center"/>
                </w:tcPr>
                <w:p w14:paraId="2C07C14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57.0</w:t>
                  </w:r>
                </w:p>
              </w:tc>
              <w:tc>
                <w:tcPr>
                  <w:tcW w:w="150" w:type="pct"/>
                  <w:tcBorders>
                    <w:tl2br w:val="nil"/>
                    <w:tr2bl w:val="nil"/>
                  </w:tcBorders>
                  <w:shd w:val="clear" w:color="auto" w:fill="auto"/>
                  <w:tcMar>
                    <w:top w:w="0" w:type="dxa"/>
                    <w:left w:w="0" w:type="dxa"/>
                    <w:bottom w:w="0" w:type="dxa"/>
                    <w:right w:w="0" w:type="dxa"/>
                  </w:tcMar>
                  <w:vAlign w:val="center"/>
                </w:tcPr>
                <w:p w14:paraId="3954E3C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57.1</w:t>
                  </w:r>
                </w:p>
              </w:tc>
              <w:tc>
                <w:tcPr>
                  <w:tcW w:w="150" w:type="pct"/>
                  <w:tcBorders>
                    <w:tl2br w:val="nil"/>
                    <w:tr2bl w:val="nil"/>
                  </w:tcBorders>
                  <w:shd w:val="clear" w:color="auto" w:fill="auto"/>
                  <w:tcMar>
                    <w:top w:w="0" w:type="dxa"/>
                    <w:left w:w="0" w:type="dxa"/>
                    <w:bottom w:w="0" w:type="dxa"/>
                    <w:right w:w="0" w:type="dxa"/>
                  </w:tcMar>
                  <w:vAlign w:val="center"/>
                </w:tcPr>
                <w:p w14:paraId="6ECBFF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57.0</w:t>
                  </w:r>
                </w:p>
              </w:tc>
              <w:tc>
                <w:tcPr>
                  <w:tcW w:w="158" w:type="pct"/>
                  <w:tcBorders>
                    <w:tl2br w:val="nil"/>
                    <w:tr2bl w:val="nil"/>
                  </w:tcBorders>
                  <w:shd w:val="clear" w:color="auto" w:fill="auto"/>
                  <w:tcMar>
                    <w:top w:w="0" w:type="dxa"/>
                    <w:left w:w="0" w:type="dxa"/>
                    <w:bottom w:w="0" w:type="dxa"/>
                    <w:right w:w="0" w:type="dxa"/>
                  </w:tcMar>
                  <w:vAlign w:val="center"/>
                </w:tcPr>
                <w:p w14:paraId="7107117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w:t>
                  </w:r>
                </w:p>
              </w:tc>
            </w:tr>
            <w:tr w14:paraId="25E68E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26"/>
                  <w:tcBorders>
                    <w:tl2br w:val="nil"/>
                    <w:tr2bl w:val="nil"/>
                  </w:tcBorders>
                  <w:shd w:val="clear" w:color="auto" w:fill="auto"/>
                  <w:tcMar>
                    <w:top w:w="0" w:type="dxa"/>
                    <w:left w:w="0" w:type="dxa"/>
                    <w:bottom w:w="0" w:type="dxa"/>
                    <w:right w:w="0" w:type="dxa"/>
                  </w:tcMar>
                  <w:vAlign w:val="center"/>
                </w:tcPr>
                <w:p w14:paraId="2920625D">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cs="Times New Roman" w:eastAsiaTheme="minorEastAsia"/>
                      <w:b w:val="0"/>
                      <w:bCs/>
                      <w:sz w:val="21"/>
                      <w:szCs w:val="21"/>
                    </w:rPr>
                  </w:pPr>
                  <w:r>
                    <w:rPr>
                      <w:rFonts w:hint="default" w:ascii="Times New Roman" w:hAnsi="Times New Roman" w:eastAsia="方正仿宋_GBK" w:cs="Times New Roman"/>
                      <w:b w:val="0"/>
                      <w:bCs/>
                      <w:sz w:val="21"/>
                      <w:szCs w:val="21"/>
                      <w:lang w:val="en-US" w:eastAsia="zh-CN"/>
                    </w:rPr>
                    <w:t>注：表中坐标以厂界中心（</w:t>
                  </w:r>
                  <w:bookmarkStart w:id="19" w:name="PO_7"/>
                  <w:r>
                    <w:rPr>
                      <w:rFonts w:hint="default" w:ascii="Times New Roman" w:hAnsi="Times New Roman" w:eastAsia="方正仿宋_GBK" w:cs="Times New Roman"/>
                      <w:b w:val="0"/>
                      <w:bCs/>
                      <w:sz w:val="21"/>
                      <w:szCs w:val="21"/>
                      <w:lang w:val="en-US" w:eastAsia="zh-CN"/>
                    </w:rPr>
                    <w:t>86.2080078，42.423008</w:t>
                  </w:r>
                  <w:bookmarkEnd w:id="19"/>
                  <w:r>
                    <w:rPr>
                      <w:rFonts w:hint="default" w:ascii="Times New Roman" w:hAnsi="Times New Roman" w:eastAsia="方正仿宋_GBK" w:cs="Times New Roman"/>
                      <w:b w:val="0"/>
                      <w:bCs/>
                      <w:sz w:val="21"/>
                      <w:szCs w:val="21"/>
                      <w:lang w:val="en-US" w:eastAsia="zh-CN"/>
                    </w:rPr>
                    <w:t>）为坐标原点，正东向为X轴正方向，正北向为Y轴正方向</w:t>
                  </w:r>
                </w:p>
              </w:tc>
            </w:tr>
            <w:bookmarkEnd w:id="17"/>
          </w:tbl>
          <w:p w14:paraId="2E3AAE4B">
            <w:pPr>
              <w:pStyle w:val="2"/>
              <w:rPr>
                <w:rFonts w:hint="eastAsia"/>
                <w:vertAlign w:val="baseline"/>
              </w:rPr>
            </w:pPr>
          </w:p>
          <w:p w14:paraId="5EFE2E98">
            <w:pPr>
              <w:pStyle w:val="2"/>
              <w:ind w:left="0" w:leftChars="0" w:firstLine="0" w:firstLineChars="0"/>
              <w:rPr>
                <w:rFonts w:hint="eastAsia"/>
                <w:vertAlign w:val="baseline"/>
              </w:rPr>
            </w:pPr>
          </w:p>
        </w:tc>
      </w:tr>
    </w:tbl>
    <w:p w14:paraId="196EA281">
      <w:pPr>
        <w:pStyle w:val="2"/>
        <w:ind w:left="0" w:leftChars="0" w:firstLine="0" w:firstLineChars="0"/>
        <w:rPr>
          <w:rFonts w:hint="eastAsia"/>
        </w:rPr>
        <w:sectPr>
          <w:pgSz w:w="16840" w:h="11907" w:orient="landscape"/>
          <w:pgMar w:top="1531" w:right="1701" w:bottom="1531" w:left="2127"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fixed"/>
        <w:tblCellMar>
          <w:top w:w="0" w:type="dxa"/>
          <w:left w:w="108" w:type="dxa"/>
          <w:bottom w:w="0" w:type="dxa"/>
          <w:right w:w="108" w:type="dxa"/>
        </w:tblCellMar>
      </w:tblPr>
      <w:tblGrid>
        <w:gridCol w:w="412"/>
        <w:gridCol w:w="8649"/>
      </w:tblGrid>
      <w:tr w14:paraId="1CBEBBF0">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c>
          <w:tcPr>
            <w:tcW w:w="412" w:type="dxa"/>
            <w:tcBorders>
              <w:tl2br w:val="nil"/>
              <w:tr2bl w:val="nil"/>
            </w:tcBorders>
            <w:noWrap w:val="0"/>
            <w:vAlign w:val="top"/>
          </w:tcPr>
          <w:p w14:paraId="146DC80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vertAlign w:val="baseline"/>
              </w:rPr>
            </w:pPr>
            <w:r>
              <w:rPr>
                <w:rFonts w:hint="eastAsia"/>
                <w:b/>
                <w:bCs/>
                <w:sz w:val="24"/>
                <w:szCs w:val="24"/>
                <w:vertAlign w:val="baseline"/>
              </w:rPr>
              <w:t>运营期环境影响和保护措施</w:t>
            </w:r>
          </w:p>
        </w:tc>
        <w:tc>
          <w:tcPr>
            <w:tcW w:w="8649" w:type="dxa"/>
            <w:tcBorders>
              <w:tl2br w:val="nil"/>
              <w:tr2bl w:val="nil"/>
            </w:tcBorders>
            <w:noWrap w:val="0"/>
            <w:vAlign w:val="top"/>
          </w:tcPr>
          <w:p w14:paraId="16FD5ECF">
            <w:pPr>
              <w:keepNext/>
              <w:keepLines/>
              <w:widowControl w:val="0"/>
              <w:adjustRightInd w:val="0"/>
              <w:snapToGrid w:val="0"/>
              <w:spacing w:line="360" w:lineRule="auto"/>
              <w:ind w:firstLine="482" w:firstLineChars="200"/>
              <w:jc w:val="both"/>
              <w:outlineLvl w:val="1"/>
              <w:rPr>
                <w:rFonts w:ascii="Times New Roman" w:hAnsi="Times New Roman" w:eastAsia="宋体" w:cs="Times New Roman"/>
                <w:b/>
                <w:bCs/>
                <w:color w:val="000000"/>
                <w:spacing w:val="0"/>
                <w:kern w:val="0"/>
                <w:sz w:val="24"/>
                <w:szCs w:val="32"/>
                <w:lang w:val="en-US" w:eastAsia="zh-CN" w:bidi="ar-SA"/>
              </w:rPr>
            </w:pPr>
            <w:r>
              <w:rPr>
                <w:rFonts w:ascii="Times New Roman" w:hAnsi="Times New Roman" w:eastAsia="宋体" w:cs="Times New Roman"/>
                <w:b/>
                <w:bCs/>
                <w:color w:val="000000"/>
                <w:spacing w:val="0"/>
                <w:kern w:val="0"/>
                <w:sz w:val="24"/>
                <w:szCs w:val="32"/>
                <w:lang w:val="en-US" w:eastAsia="zh-CN" w:bidi="ar-SA"/>
              </w:rPr>
              <w:t>3.2</w:t>
            </w:r>
            <w:r>
              <w:rPr>
                <w:rFonts w:hint="eastAsia" w:ascii="Times New Roman" w:hAnsi="Times New Roman" w:eastAsia="宋体" w:cs="Times New Roman"/>
                <w:b/>
                <w:bCs/>
                <w:color w:val="000000"/>
                <w:spacing w:val="0"/>
                <w:kern w:val="0"/>
                <w:sz w:val="24"/>
                <w:szCs w:val="32"/>
                <w:lang w:val="en-US" w:eastAsia="zh-CN" w:bidi="ar-SA"/>
              </w:rPr>
              <w:t>预测模式选用</w:t>
            </w:r>
          </w:p>
          <w:p w14:paraId="6E8933C0">
            <w:pPr>
              <w:widowControl w:val="0"/>
              <w:adjustRightInd w:val="0"/>
              <w:snapToGrid w:val="0"/>
              <w:spacing w:line="360" w:lineRule="auto"/>
              <w:ind w:firstLine="480" w:firstLineChars="200"/>
              <w:jc w:val="both"/>
              <w:rPr>
                <w:rFonts w:hint="eastAsia" w:ascii="Times New Roman" w:hAnsi="Times New Roman" w:eastAsia="宋体" w:cs="Times New Roman"/>
                <w:color w:val="000000"/>
                <w:spacing w:val="0"/>
                <w:kern w:val="0"/>
                <w:sz w:val="24"/>
                <w:szCs w:val="24"/>
                <w:lang w:val="en-US" w:eastAsia="zh-CN" w:bidi="ar-SA"/>
              </w:rPr>
            </w:pPr>
            <w:r>
              <w:rPr>
                <w:rFonts w:hint="eastAsia" w:ascii="Times New Roman" w:hAnsi="Times New Roman" w:eastAsia="宋体" w:cs="Times New Roman"/>
                <w:color w:val="000000"/>
                <w:spacing w:val="0"/>
                <w:kern w:val="0"/>
                <w:sz w:val="24"/>
                <w:szCs w:val="24"/>
                <w:lang w:val="en-US" w:eastAsia="zh-CN" w:bidi="ar-SA"/>
              </w:rPr>
              <w:t>采用《环境影响评价技术导则 声环境》（HJ2.4-2021）中推荐的模式进行计算。</w:t>
            </w:r>
          </w:p>
          <w:p w14:paraId="101FBD7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3"/>
              <w:rPr>
                <w:rFonts w:hint="eastAsia" w:ascii="Times New Roman" w:hAnsi="Times New Roman" w:eastAsia="宋体" w:cs="Times New Roman"/>
                <w:b/>
                <w:bCs/>
                <w:color w:val="000000"/>
                <w:spacing w:val="0"/>
                <w:kern w:val="0"/>
                <w:sz w:val="24"/>
                <w:highlight w:val="none"/>
                <w:lang w:val="en-US" w:eastAsia="zh-CN"/>
              </w:rPr>
            </w:pPr>
            <w:r>
              <w:rPr>
                <w:rFonts w:hint="eastAsia" w:ascii="Times New Roman" w:hAnsi="Times New Roman" w:eastAsia="宋体" w:cs="Times New Roman"/>
                <w:b/>
                <w:bCs/>
                <w:color w:val="000000"/>
                <w:spacing w:val="0"/>
                <w:kern w:val="0"/>
                <w:sz w:val="24"/>
              </w:rPr>
              <w:t>3.4</w:t>
            </w:r>
            <w:r>
              <w:rPr>
                <w:rFonts w:hint="eastAsia" w:ascii="Times New Roman" w:hAnsi="Times New Roman" w:eastAsia="宋体" w:cs="Times New Roman"/>
                <w:b/>
                <w:bCs/>
                <w:color w:val="000000"/>
                <w:spacing w:val="0"/>
                <w:kern w:val="0"/>
                <w:sz w:val="24"/>
                <w:highlight w:val="none"/>
                <w:lang w:val="en-US" w:eastAsia="zh-CN"/>
              </w:rPr>
              <w:t>预测模式</w:t>
            </w:r>
          </w:p>
          <w:p w14:paraId="56F01F78">
            <w:pPr>
              <w:adjustRightInd w:val="0"/>
              <w:snapToGrid w:val="0"/>
              <w:spacing w:line="360" w:lineRule="auto"/>
              <w:ind w:firstLine="480" w:firstLineChars="200"/>
              <w:rPr>
                <w:rFonts w:ascii="Times New Roman" w:hAnsi="Times New Roman" w:eastAsia="宋体" w:cs="Times New Roman"/>
                <w:color w:val="000000"/>
                <w:spacing w:val="0"/>
                <w:kern w:val="0"/>
                <w:sz w:val="24"/>
                <w:highlight w:val="none"/>
              </w:rPr>
            </w:pPr>
            <w:r>
              <w:rPr>
                <w:rFonts w:ascii="Times New Roman" w:hAnsi="Times New Roman" w:eastAsia="宋体" w:cs="Times New Roman"/>
                <w:color w:val="000000"/>
                <w:spacing w:val="0"/>
                <w:kern w:val="0"/>
                <w:sz w:val="24"/>
                <w:highlight w:val="none"/>
              </w:rPr>
              <w:t>根据运营期各声源噪声排放特点，结合《环境影响评价技术导则 声环境》（HJ2.4-</w:t>
            </w:r>
            <w:r>
              <w:rPr>
                <w:rFonts w:hint="eastAsia" w:ascii="Times New Roman" w:hAnsi="Times New Roman" w:eastAsia="宋体" w:cs="Times New Roman"/>
                <w:color w:val="000000"/>
                <w:spacing w:val="0"/>
                <w:kern w:val="0"/>
                <w:sz w:val="24"/>
                <w:highlight w:val="none"/>
                <w:lang w:val="en-US" w:eastAsia="zh-CN"/>
              </w:rPr>
              <w:t>2021</w:t>
            </w:r>
            <w:r>
              <w:rPr>
                <w:rFonts w:ascii="Times New Roman" w:hAnsi="Times New Roman" w:eastAsia="宋体" w:cs="Times New Roman"/>
                <w:color w:val="000000"/>
                <w:spacing w:val="0"/>
                <w:kern w:val="0"/>
                <w:sz w:val="24"/>
                <w:highlight w:val="none"/>
              </w:rPr>
              <w:t>）的要求，</w:t>
            </w:r>
            <w:r>
              <w:rPr>
                <w:rFonts w:hint="eastAsia" w:ascii="Times New Roman" w:hAnsi="Times New Roman" w:eastAsia="宋体" w:cs="Times New Roman"/>
                <w:color w:val="000000"/>
                <w:spacing w:val="0"/>
                <w:kern w:val="0"/>
                <w:sz w:val="24"/>
                <w:highlight w:val="none"/>
                <w:lang w:val="en-US" w:eastAsia="zh-CN"/>
              </w:rPr>
              <w:t>进行预测</w:t>
            </w:r>
            <w:r>
              <w:rPr>
                <w:rFonts w:ascii="Times New Roman" w:hAnsi="Times New Roman" w:eastAsia="宋体" w:cs="Times New Roman"/>
                <w:color w:val="000000"/>
                <w:spacing w:val="0"/>
                <w:kern w:val="0"/>
                <w:sz w:val="24"/>
                <w:highlight w:val="none"/>
              </w:rPr>
              <w:t>。</w:t>
            </w:r>
          </w:p>
          <w:p w14:paraId="631ED58F">
            <w:pPr>
              <w:keepNext/>
              <w:keepLines w:val="0"/>
              <w:pageBreakBefore w:val="0"/>
              <w:widowControl/>
              <w:numPr>
                <w:ilvl w:val="3"/>
                <w:numId w:val="0"/>
              </w:numPr>
              <w:tabs>
                <w:tab w:val="left" w:pos="0"/>
                <w:tab w:val="left" w:pos="420"/>
              </w:tabs>
              <w:kinsoku/>
              <w:wordWrap/>
              <w:overflowPunct/>
              <w:topLinePunct/>
              <w:autoSpaceDE/>
              <w:autoSpaceDN/>
              <w:bidi w:val="0"/>
              <w:adjustRightInd w:val="0"/>
              <w:snapToGrid w:val="0"/>
              <w:spacing w:line="360" w:lineRule="auto"/>
              <w:ind w:left="0" w:leftChars="0" w:right="0" w:firstLine="482" w:firstLineChars="200"/>
              <w:jc w:val="both"/>
              <w:textAlignment w:val="auto"/>
              <w:outlineLvl w:val="3"/>
              <w:rPr>
                <w:rFonts w:hint="eastAsia" w:ascii="Times New Roman" w:hAnsi="Times New Roman" w:eastAsia="宋体" w:cs="Times New Roman"/>
                <w:b/>
                <w:bCs/>
                <w:snapToGrid/>
                <w:spacing w:val="0"/>
                <w:kern w:val="0"/>
                <w:position w:val="0"/>
                <w:sz w:val="24"/>
                <w:szCs w:val="24"/>
                <w:lang w:val="en-US" w:eastAsia="zh-CN" w:bidi="ar-SA"/>
              </w:rPr>
            </w:pPr>
            <w:r>
              <w:rPr>
                <w:rFonts w:hint="eastAsia" w:ascii="Times New Roman" w:hAnsi="Times New Roman" w:eastAsia="宋体" w:cs="Times New Roman"/>
                <w:b/>
                <w:bCs/>
                <w:snapToGrid/>
                <w:spacing w:val="0"/>
                <w:kern w:val="0"/>
                <w:position w:val="0"/>
                <w:sz w:val="24"/>
                <w:szCs w:val="24"/>
                <w:lang w:val="en-US" w:eastAsia="zh-CN" w:bidi="ar-SA"/>
              </w:rPr>
              <w:t>3.3降噪措施</w:t>
            </w:r>
          </w:p>
          <w:p w14:paraId="1D42B88D">
            <w:pPr>
              <w:keepNext/>
              <w:keepLines w:val="0"/>
              <w:pageBreakBefore w:val="0"/>
              <w:widowControl/>
              <w:numPr>
                <w:ilvl w:val="3"/>
                <w:numId w:val="0"/>
              </w:numPr>
              <w:tabs>
                <w:tab w:val="left" w:pos="0"/>
                <w:tab w:val="left" w:pos="420"/>
              </w:tabs>
              <w:kinsoku/>
              <w:wordWrap/>
              <w:overflowPunct/>
              <w:topLinePunct/>
              <w:autoSpaceDE/>
              <w:autoSpaceDN/>
              <w:bidi w:val="0"/>
              <w:adjustRightInd w:val="0"/>
              <w:snapToGrid w:val="0"/>
              <w:spacing w:line="360" w:lineRule="auto"/>
              <w:ind w:left="0" w:leftChars="0" w:right="0" w:firstLine="480" w:firstLineChars="200"/>
              <w:jc w:val="both"/>
              <w:textAlignment w:val="auto"/>
              <w:outlineLvl w:val="3"/>
              <w:rPr>
                <w:rFonts w:hint="eastAsia" w:ascii="Times New Roman" w:hAnsi="Times New Roman" w:eastAsia="宋体" w:cs="Times New Roman"/>
                <w:b w:val="0"/>
                <w:bCs w:val="0"/>
                <w:snapToGrid/>
                <w:spacing w:val="0"/>
                <w:kern w:val="0"/>
                <w:position w:val="0"/>
                <w:sz w:val="24"/>
                <w:szCs w:val="24"/>
                <w:lang w:val="en-US" w:eastAsia="zh-CN" w:bidi="ar-SA"/>
              </w:rPr>
            </w:pPr>
            <w:r>
              <w:rPr>
                <w:rFonts w:hint="eastAsia" w:ascii="Times New Roman" w:hAnsi="Times New Roman" w:eastAsia="宋体" w:cs="Times New Roman"/>
                <w:b w:val="0"/>
                <w:bCs w:val="0"/>
                <w:snapToGrid/>
                <w:spacing w:val="0"/>
                <w:kern w:val="0"/>
                <w:position w:val="0"/>
                <w:sz w:val="24"/>
                <w:szCs w:val="24"/>
                <w:lang w:val="en-US" w:eastAsia="zh-CN" w:bidi="ar-SA"/>
              </w:rPr>
              <w:t>为减少噪声对周边环境的影响，本次提出噪声治理措施如下：</w:t>
            </w:r>
          </w:p>
          <w:p w14:paraId="200C045C">
            <w:pPr>
              <w:keepNext/>
              <w:keepLines w:val="0"/>
              <w:pageBreakBefore w:val="0"/>
              <w:widowControl/>
              <w:numPr>
                <w:ilvl w:val="3"/>
                <w:numId w:val="0"/>
              </w:numPr>
              <w:tabs>
                <w:tab w:val="left" w:pos="0"/>
                <w:tab w:val="left" w:pos="420"/>
              </w:tabs>
              <w:kinsoku/>
              <w:wordWrap/>
              <w:overflowPunct/>
              <w:topLinePunct/>
              <w:autoSpaceDE/>
              <w:autoSpaceDN/>
              <w:bidi w:val="0"/>
              <w:adjustRightInd w:val="0"/>
              <w:snapToGrid w:val="0"/>
              <w:spacing w:line="360" w:lineRule="auto"/>
              <w:ind w:left="0" w:leftChars="0" w:right="0" w:firstLine="480" w:firstLineChars="200"/>
              <w:jc w:val="both"/>
              <w:textAlignment w:val="auto"/>
              <w:outlineLvl w:val="3"/>
              <w:rPr>
                <w:rFonts w:hint="eastAsia" w:ascii="Times New Roman" w:hAnsi="Times New Roman" w:eastAsia="宋体" w:cs="Times New Roman"/>
                <w:b w:val="0"/>
                <w:bCs w:val="0"/>
                <w:snapToGrid/>
                <w:spacing w:val="0"/>
                <w:kern w:val="0"/>
                <w:position w:val="0"/>
                <w:sz w:val="24"/>
                <w:szCs w:val="24"/>
                <w:lang w:val="en-US" w:eastAsia="zh-CN" w:bidi="ar-SA"/>
              </w:rPr>
            </w:pPr>
            <w:r>
              <w:rPr>
                <w:rFonts w:hint="eastAsia" w:ascii="Times New Roman" w:hAnsi="Times New Roman" w:eastAsia="宋体" w:cs="Times New Roman"/>
                <w:b w:val="0"/>
                <w:bCs w:val="0"/>
                <w:snapToGrid/>
                <w:spacing w:val="0"/>
                <w:kern w:val="0"/>
                <w:position w:val="0"/>
                <w:sz w:val="24"/>
                <w:szCs w:val="24"/>
                <w:lang w:val="en-US" w:eastAsia="zh-CN" w:bidi="ar-SA"/>
              </w:rPr>
              <w:t>（1）对噪声的防治采用综合治理方法，首先从声源上加以控制，在设备选型上，尽量选用低噪声设备或振动小的设备；对振动大的设备在主体与基础之间安装减振装置；</w:t>
            </w:r>
          </w:p>
          <w:p w14:paraId="05A65DA0">
            <w:pPr>
              <w:keepNext/>
              <w:keepLines w:val="0"/>
              <w:pageBreakBefore w:val="0"/>
              <w:widowControl/>
              <w:numPr>
                <w:ilvl w:val="3"/>
                <w:numId w:val="0"/>
              </w:numPr>
              <w:tabs>
                <w:tab w:val="left" w:pos="0"/>
                <w:tab w:val="left" w:pos="420"/>
              </w:tabs>
              <w:kinsoku/>
              <w:wordWrap/>
              <w:overflowPunct/>
              <w:topLinePunct/>
              <w:autoSpaceDE/>
              <w:autoSpaceDN/>
              <w:bidi w:val="0"/>
              <w:adjustRightInd w:val="0"/>
              <w:snapToGrid w:val="0"/>
              <w:spacing w:line="360" w:lineRule="auto"/>
              <w:ind w:left="0" w:leftChars="0" w:right="0" w:firstLine="480" w:firstLineChars="200"/>
              <w:jc w:val="both"/>
              <w:textAlignment w:val="auto"/>
              <w:outlineLvl w:val="3"/>
              <w:rPr>
                <w:rFonts w:hint="eastAsia" w:ascii="Times New Roman" w:hAnsi="Times New Roman" w:eastAsia="宋体" w:cs="Times New Roman"/>
                <w:b w:val="0"/>
                <w:bCs w:val="0"/>
                <w:snapToGrid/>
                <w:spacing w:val="0"/>
                <w:kern w:val="0"/>
                <w:position w:val="0"/>
                <w:sz w:val="24"/>
                <w:szCs w:val="24"/>
                <w:lang w:val="en-US" w:eastAsia="zh-CN" w:bidi="ar-SA"/>
              </w:rPr>
            </w:pPr>
            <w:r>
              <w:rPr>
                <w:rFonts w:hint="eastAsia" w:ascii="Times New Roman" w:hAnsi="Times New Roman" w:eastAsia="宋体" w:cs="Times New Roman"/>
                <w:b w:val="0"/>
                <w:bCs w:val="0"/>
                <w:snapToGrid/>
                <w:spacing w:val="0"/>
                <w:kern w:val="0"/>
                <w:position w:val="0"/>
                <w:sz w:val="24"/>
                <w:szCs w:val="24"/>
                <w:lang w:val="en-US" w:eastAsia="zh-CN" w:bidi="ar-SA"/>
              </w:rPr>
              <w:t>（2）生产设备均位于生产车间内，有效降低噪声；</w:t>
            </w:r>
          </w:p>
          <w:p w14:paraId="527F0819">
            <w:pPr>
              <w:keepNext/>
              <w:keepLines w:val="0"/>
              <w:pageBreakBefore w:val="0"/>
              <w:widowControl/>
              <w:numPr>
                <w:ilvl w:val="3"/>
                <w:numId w:val="0"/>
              </w:numPr>
              <w:tabs>
                <w:tab w:val="left" w:pos="0"/>
                <w:tab w:val="left" w:pos="420"/>
              </w:tabs>
              <w:kinsoku/>
              <w:wordWrap/>
              <w:overflowPunct/>
              <w:topLinePunct/>
              <w:autoSpaceDE/>
              <w:autoSpaceDN/>
              <w:bidi w:val="0"/>
              <w:adjustRightInd w:val="0"/>
              <w:snapToGrid w:val="0"/>
              <w:spacing w:line="360" w:lineRule="auto"/>
              <w:ind w:left="0" w:leftChars="0" w:right="0" w:firstLine="480" w:firstLineChars="200"/>
              <w:jc w:val="both"/>
              <w:textAlignment w:val="auto"/>
              <w:outlineLvl w:val="3"/>
              <w:rPr>
                <w:rFonts w:hint="eastAsia" w:ascii="Times New Roman" w:hAnsi="Times New Roman" w:eastAsia="宋体" w:cs="Times New Roman"/>
                <w:b w:val="0"/>
                <w:bCs w:val="0"/>
                <w:snapToGrid/>
                <w:spacing w:val="0"/>
                <w:kern w:val="0"/>
                <w:position w:val="0"/>
                <w:sz w:val="24"/>
                <w:szCs w:val="24"/>
                <w:lang w:val="en-US" w:eastAsia="zh-CN" w:bidi="ar-SA"/>
              </w:rPr>
            </w:pPr>
            <w:r>
              <w:rPr>
                <w:rFonts w:hint="eastAsia" w:ascii="Times New Roman" w:hAnsi="Times New Roman" w:eastAsia="宋体" w:cs="Times New Roman"/>
                <w:b w:val="0"/>
                <w:bCs w:val="0"/>
                <w:snapToGrid/>
                <w:spacing w:val="0"/>
                <w:kern w:val="0"/>
                <w:position w:val="0"/>
                <w:sz w:val="24"/>
                <w:szCs w:val="24"/>
                <w:lang w:val="en-US" w:eastAsia="zh-CN" w:bidi="ar-SA"/>
              </w:rPr>
              <w:t>（3）定期对设备噪声进行检查，掌握其变化规律；加强生产设备的日常维护、更新，确保所有设备尤其是噪声污染防治设备处于正常工况；</w:t>
            </w:r>
          </w:p>
          <w:p w14:paraId="618A46B1">
            <w:pPr>
              <w:keepNext/>
              <w:keepLines w:val="0"/>
              <w:pageBreakBefore w:val="0"/>
              <w:widowControl/>
              <w:numPr>
                <w:ilvl w:val="3"/>
                <w:numId w:val="0"/>
              </w:numPr>
              <w:tabs>
                <w:tab w:val="left" w:pos="0"/>
                <w:tab w:val="left" w:pos="420"/>
              </w:tabs>
              <w:kinsoku/>
              <w:wordWrap/>
              <w:overflowPunct/>
              <w:topLinePunct/>
              <w:autoSpaceDE/>
              <w:autoSpaceDN/>
              <w:bidi w:val="0"/>
              <w:adjustRightInd w:val="0"/>
              <w:snapToGrid w:val="0"/>
              <w:spacing w:line="360" w:lineRule="auto"/>
              <w:ind w:left="0" w:leftChars="0" w:right="0" w:firstLine="480" w:firstLineChars="200"/>
              <w:jc w:val="both"/>
              <w:textAlignment w:val="auto"/>
              <w:outlineLvl w:val="3"/>
              <w:rPr>
                <w:rFonts w:hint="eastAsia" w:ascii="Times New Roman" w:hAnsi="Times New Roman" w:eastAsia="宋体" w:cs="Times New Roman"/>
                <w:b w:val="0"/>
                <w:bCs w:val="0"/>
                <w:snapToGrid/>
                <w:spacing w:val="0"/>
                <w:kern w:val="0"/>
                <w:position w:val="0"/>
                <w:sz w:val="24"/>
                <w:szCs w:val="24"/>
                <w:lang w:val="en-US" w:eastAsia="zh-CN" w:bidi="ar-SA"/>
              </w:rPr>
            </w:pPr>
            <w:r>
              <w:rPr>
                <w:rFonts w:hint="eastAsia" w:ascii="Times New Roman" w:hAnsi="Times New Roman" w:eastAsia="宋体" w:cs="Times New Roman"/>
                <w:b w:val="0"/>
                <w:bCs w:val="0"/>
                <w:snapToGrid/>
                <w:spacing w:val="0"/>
                <w:kern w:val="0"/>
                <w:position w:val="0"/>
                <w:sz w:val="24"/>
                <w:szCs w:val="24"/>
                <w:lang w:val="en-US" w:eastAsia="zh-CN" w:bidi="ar-SA"/>
              </w:rPr>
              <w:t>（4）加强对工作人员的个人防护和保护，如采用隔声耳罩等。</w:t>
            </w:r>
          </w:p>
          <w:p w14:paraId="242AE63D">
            <w:pPr>
              <w:keepNext/>
              <w:keepLines/>
              <w:widowControl w:val="0"/>
              <w:adjustRightInd w:val="0"/>
              <w:snapToGrid w:val="0"/>
              <w:spacing w:line="360" w:lineRule="auto"/>
              <w:ind w:firstLine="482" w:firstLineChars="200"/>
              <w:jc w:val="both"/>
              <w:outlineLvl w:val="1"/>
              <w:rPr>
                <w:rFonts w:ascii="Times New Roman" w:hAnsi="Times New Roman" w:eastAsia="宋体" w:cs="Times New Roman"/>
                <w:b/>
                <w:bCs/>
                <w:color w:val="000000"/>
                <w:spacing w:val="0"/>
                <w:kern w:val="0"/>
                <w:sz w:val="24"/>
                <w:szCs w:val="32"/>
                <w:lang w:val="en-US" w:eastAsia="zh-CN" w:bidi="ar-SA"/>
              </w:rPr>
            </w:pPr>
            <w:r>
              <w:rPr>
                <w:rFonts w:hint="eastAsia" w:ascii="Times New Roman" w:hAnsi="Times New Roman" w:eastAsia="宋体" w:cs="Times New Roman"/>
                <w:b/>
                <w:bCs/>
                <w:color w:val="000000"/>
                <w:spacing w:val="0"/>
                <w:kern w:val="0"/>
                <w:sz w:val="24"/>
                <w:szCs w:val="32"/>
                <w:lang w:val="en-US" w:eastAsia="zh-CN" w:bidi="ar-SA"/>
              </w:rPr>
              <w:t>3.5噪声影响分析</w:t>
            </w:r>
          </w:p>
          <w:p w14:paraId="3F952B25">
            <w:pPr>
              <w:widowControl w:val="0"/>
              <w:adjustRightInd w:val="0"/>
              <w:snapToGrid w:val="0"/>
              <w:spacing w:line="360" w:lineRule="auto"/>
              <w:ind w:firstLine="480" w:firstLineChars="200"/>
              <w:jc w:val="both"/>
              <w:rPr>
                <w:rFonts w:hint="default" w:ascii="Times New Roman" w:hAnsi="Times New Roman" w:eastAsia="宋体" w:cs="Times New Roman"/>
                <w:b/>
                <w:bCs/>
                <w:color w:val="000000"/>
                <w:spacing w:val="0"/>
                <w:kern w:val="0"/>
                <w:sz w:val="21"/>
                <w:szCs w:val="21"/>
                <w:lang w:val="en-US" w:eastAsia="zh-CN" w:bidi="ar-SA"/>
              </w:rPr>
            </w:pPr>
            <w:r>
              <w:rPr>
                <w:rFonts w:hint="eastAsia" w:ascii="Times New Roman" w:hAnsi="Times New Roman" w:eastAsia="宋体" w:cs="Times New Roman"/>
                <w:color w:val="000000"/>
                <w:spacing w:val="0"/>
                <w:kern w:val="0"/>
                <w:sz w:val="24"/>
                <w:szCs w:val="24"/>
                <w:lang w:val="en-US" w:eastAsia="zh-CN" w:bidi="ar-SA"/>
              </w:rPr>
              <w:t>本项目所有设备均置于车间内，采用基础减振，厂房门窗隔音及距离衰减等措施治理后，预测结果见表4-6。</w:t>
            </w:r>
          </w:p>
          <w:p w14:paraId="4F1E9C9A">
            <w:pPr>
              <w:adjustRightInd w:val="0"/>
              <w:snapToGrid w:val="0"/>
              <w:spacing w:line="240" w:lineRule="auto"/>
              <w:ind w:firstLine="422" w:firstLineChars="200"/>
              <w:rPr>
                <w:rFonts w:ascii="Times New Roman" w:hAnsi="Times New Roman" w:eastAsia="宋体" w:cs="Times New Roman"/>
                <w:b/>
                <w:bCs/>
                <w:color w:val="000000"/>
                <w:spacing w:val="0"/>
                <w:kern w:val="0"/>
                <w:sz w:val="21"/>
                <w:szCs w:val="21"/>
              </w:rPr>
            </w:pPr>
            <w:r>
              <w:rPr>
                <w:rFonts w:ascii="Times New Roman" w:hAnsi="Times New Roman" w:eastAsia="宋体" w:cs="Times New Roman"/>
                <w:b/>
                <w:bCs/>
                <w:color w:val="000000"/>
                <w:spacing w:val="0"/>
                <w:kern w:val="0"/>
                <w:sz w:val="21"/>
                <w:szCs w:val="21"/>
              </w:rPr>
              <w:t>表</w:t>
            </w:r>
            <w:r>
              <w:rPr>
                <w:rFonts w:hint="eastAsia" w:ascii="Times New Roman" w:hAnsi="Times New Roman" w:eastAsia="宋体" w:cs="Times New Roman"/>
                <w:b/>
                <w:bCs/>
                <w:color w:val="000000"/>
                <w:spacing w:val="0"/>
                <w:kern w:val="0"/>
                <w:sz w:val="21"/>
                <w:szCs w:val="21"/>
                <w:lang w:val="en-US" w:eastAsia="zh-CN"/>
              </w:rPr>
              <w:t>4-6</w:t>
            </w:r>
            <w:r>
              <w:rPr>
                <w:rFonts w:ascii="Times New Roman" w:hAnsi="Times New Roman" w:eastAsia="宋体" w:cs="Times New Roman"/>
                <w:b/>
                <w:bCs/>
                <w:color w:val="000000"/>
                <w:spacing w:val="0"/>
                <w:kern w:val="0"/>
                <w:sz w:val="21"/>
                <w:szCs w:val="21"/>
              </w:rPr>
              <w:t xml:space="preserve">                   噪声预测结果一览表   </w:t>
            </w:r>
            <w:r>
              <w:rPr>
                <w:rFonts w:hint="eastAsia" w:ascii="Times New Roman" w:hAnsi="Times New Roman" w:eastAsia="宋体" w:cs="Times New Roman"/>
                <w:b/>
                <w:bCs/>
                <w:color w:val="000000"/>
                <w:spacing w:val="0"/>
                <w:kern w:val="0"/>
                <w:sz w:val="21"/>
                <w:szCs w:val="21"/>
              </w:rPr>
              <w:t xml:space="preserve">         </w:t>
            </w:r>
            <w:r>
              <w:rPr>
                <w:rFonts w:ascii="Times New Roman" w:hAnsi="Times New Roman" w:eastAsia="宋体" w:cs="Times New Roman"/>
                <w:b/>
                <w:bCs/>
                <w:color w:val="000000"/>
                <w:spacing w:val="0"/>
                <w:kern w:val="0"/>
                <w:sz w:val="21"/>
                <w:szCs w:val="21"/>
              </w:rPr>
              <w:t xml:space="preserve">  单位：dB（A）</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03"/>
              <w:gridCol w:w="803"/>
              <w:gridCol w:w="956"/>
              <w:gridCol w:w="840"/>
              <w:gridCol w:w="1417"/>
              <w:gridCol w:w="1418"/>
              <w:gridCol w:w="1188"/>
            </w:tblGrid>
            <w:tr w14:paraId="4AD1A4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1" w:type="dxa"/>
                  <w:vMerge w:val="restart"/>
                  <w:tcBorders>
                    <w:tl2br w:val="nil"/>
                    <w:tr2bl w:val="nil"/>
                  </w:tcBorders>
                  <w:noWrap w:val="0"/>
                  <w:vAlign w:val="center"/>
                </w:tcPr>
                <w:p w14:paraId="0A6B8C1D">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预测方位</w:t>
                  </w:r>
                </w:p>
              </w:tc>
              <w:tc>
                <w:tcPr>
                  <w:tcW w:w="2562" w:type="dxa"/>
                  <w:gridSpan w:val="3"/>
                  <w:tcBorders>
                    <w:tl2br w:val="nil"/>
                    <w:tr2bl w:val="nil"/>
                  </w:tcBorders>
                  <w:noWrap w:val="0"/>
                  <w:vAlign w:val="center"/>
                </w:tcPr>
                <w:p w14:paraId="27D174AD">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最大值点</w:t>
                  </w:r>
                  <w:r>
                    <w:rPr>
                      <w:rFonts w:hint="default" w:ascii="Times New Roman" w:hAnsi="Times New Roman" w:eastAsia="宋体" w:cs="Times New Roman"/>
                      <w:b w:val="0"/>
                      <w:bCs/>
                      <w:sz w:val="21"/>
                      <w:szCs w:val="21"/>
                    </w:rPr>
                    <w:t>空间相对位置/m</w:t>
                  </w:r>
                </w:p>
              </w:tc>
              <w:tc>
                <w:tcPr>
                  <w:tcW w:w="840" w:type="dxa"/>
                  <w:vMerge w:val="restart"/>
                  <w:tcBorders>
                    <w:tl2br w:val="nil"/>
                    <w:tr2bl w:val="nil"/>
                  </w:tcBorders>
                  <w:noWrap w:val="0"/>
                  <w:vAlign w:val="center"/>
                </w:tcPr>
                <w:p w14:paraId="49823F28">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时段</w:t>
                  </w:r>
                </w:p>
              </w:tc>
              <w:tc>
                <w:tcPr>
                  <w:tcW w:w="1417" w:type="dxa"/>
                  <w:vMerge w:val="restart"/>
                  <w:tcBorders>
                    <w:tl2br w:val="nil"/>
                    <w:tr2bl w:val="nil"/>
                  </w:tcBorders>
                  <w:noWrap w:val="0"/>
                  <w:vAlign w:val="center"/>
                </w:tcPr>
                <w:p w14:paraId="271073EA">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贡献值（dB(A)）</w:t>
                  </w:r>
                </w:p>
              </w:tc>
              <w:tc>
                <w:tcPr>
                  <w:tcW w:w="1418" w:type="dxa"/>
                  <w:vMerge w:val="restart"/>
                  <w:tcBorders>
                    <w:tl2br w:val="nil"/>
                    <w:tr2bl w:val="nil"/>
                  </w:tcBorders>
                  <w:noWrap w:val="0"/>
                  <w:vAlign w:val="center"/>
                </w:tcPr>
                <w:p w14:paraId="4083F487">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标准限值（dB(A)）</w:t>
                  </w:r>
                </w:p>
              </w:tc>
              <w:tc>
                <w:tcPr>
                  <w:tcW w:w="1188" w:type="dxa"/>
                  <w:vMerge w:val="restart"/>
                  <w:tcBorders>
                    <w:tl2br w:val="nil"/>
                    <w:tr2bl w:val="nil"/>
                  </w:tcBorders>
                  <w:noWrap w:val="0"/>
                  <w:vAlign w:val="center"/>
                </w:tcPr>
                <w:p w14:paraId="5229AE8D">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达标情况</w:t>
                  </w:r>
                </w:p>
              </w:tc>
            </w:tr>
            <w:tr w14:paraId="2C8C09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1" w:type="dxa"/>
                  <w:vMerge w:val="continue"/>
                  <w:tcBorders>
                    <w:tl2br w:val="nil"/>
                    <w:tr2bl w:val="nil"/>
                  </w:tcBorders>
                  <w:noWrap w:val="0"/>
                  <w:vAlign w:val="center"/>
                </w:tcPr>
                <w:p w14:paraId="7DD2350F">
                  <w:pPr>
                    <w:jc w:val="center"/>
                    <w:rPr>
                      <w:rFonts w:hint="default" w:ascii="Times New Roman" w:hAnsi="Times New Roman" w:eastAsia="宋体" w:cs="Times New Roman"/>
                      <w:b w:val="0"/>
                      <w:bCs/>
                      <w:sz w:val="21"/>
                      <w:szCs w:val="21"/>
                    </w:rPr>
                  </w:pPr>
                </w:p>
              </w:tc>
              <w:tc>
                <w:tcPr>
                  <w:tcW w:w="803" w:type="dxa"/>
                  <w:tcBorders>
                    <w:tl2br w:val="nil"/>
                    <w:tr2bl w:val="nil"/>
                  </w:tcBorders>
                  <w:noWrap w:val="0"/>
                  <w:vAlign w:val="center"/>
                </w:tcPr>
                <w:p w14:paraId="58A0A1E1">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X</w:t>
                  </w:r>
                </w:p>
              </w:tc>
              <w:tc>
                <w:tcPr>
                  <w:tcW w:w="803" w:type="dxa"/>
                  <w:tcBorders>
                    <w:tl2br w:val="nil"/>
                    <w:tr2bl w:val="nil"/>
                  </w:tcBorders>
                  <w:noWrap w:val="0"/>
                  <w:vAlign w:val="center"/>
                </w:tcPr>
                <w:p w14:paraId="48398324">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Y</w:t>
                  </w:r>
                </w:p>
              </w:tc>
              <w:tc>
                <w:tcPr>
                  <w:tcW w:w="956" w:type="dxa"/>
                  <w:tcBorders>
                    <w:tl2br w:val="nil"/>
                    <w:tr2bl w:val="nil"/>
                  </w:tcBorders>
                  <w:noWrap w:val="0"/>
                  <w:vAlign w:val="center"/>
                </w:tcPr>
                <w:p w14:paraId="522911C6">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Z</w:t>
                  </w:r>
                </w:p>
              </w:tc>
              <w:tc>
                <w:tcPr>
                  <w:tcW w:w="840" w:type="dxa"/>
                  <w:vMerge w:val="continue"/>
                  <w:tcBorders>
                    <w:tl2br w:val="nil"/>
                    <w:tr2bl w:val="nil"/>
                  </w:tcBorders>
                  <w:noWrap w:val="0"/>
                  <w:vAlign w:val="center"/>
                </w:tcPr>
                <w:p w14:paraId="5E8E3EB1">
                  <w:pPr>
                    <w:jc w:val="center"/>
                    <w:rPr>
                      <w:rFonts w:hint="default" w:ascii="Times New Roman" w:hAnsi="Times New Roman" w:eastAsia="宋体" w:cs="Times New Roman"/>
                      <w:b w:val="0"/>
                      <w:bCs/>
                      <w:sz w:val="21"/>
                      <w:szCs w:val="21"/>
                    </w:rPr>
                  </w:pPr>
                </w:p>
              </w:tc>
              <w:tc>
                <w:tcPr>
                  <w:tcW w:w="1417" w:type="dxa"/>
                  <w:vMerge w:val="continue"/>
                  <w:tcBorders>
                    <w:tl2br w:val="nil"/>
                    <w:tr2bl w:val="nil"/>
                  </w:tcBorders>
                  <w:noWrap w:val="0"/>
                  <w:vAlign w:val="center"/>
                </w:tcPr>
                <w:p w14:paraId="5129FA0B">
                  <w:pPr>
                    <w:jc w:val="center"/>
                    <w:rPr>
                      <w:rFonts w:hint="default" w:ascii="Times New Roman" w:hAnsi="Times New Roman" w:eastAsia="宋体" w:cs="Times New Roman"/>
                      <w:b w:val="0"/>
                      <w:bCs/>
                      <w:sz w:val="21"/>
                      <w:szCs w:val="21"/>
                    </w:rPr>
                  </w:pPr>
                </w:p>
              </w:tc>
              <w:tc>
                <w:tcPr>
                  <w:tcW w:w="1418" w:type="dxa"/>
                  <w:vMerge w:val="continue"/>
                  <w:tcBorders>
                    <w:tl2br w:val="nil"/>
                    <w:tr2bl w:val="nil"/>
                  </w:tcBorders>
                  <w:noWrap w:val="0"/>
                  <w:vAlign w:val="center"/>
                </w:tcPr>
                <w:p w14:paraId="0E91B9BB">
                  <w:pPr>
                    <w:jc w:val="center"/>
                    <w:rPr>
                      <w:rFonts w:hint="default" w:ascii="Times New Roman" w:hAnsi="Times New Roman" w:eastAsia="宋体" w:cs="Times New Roman"/>
                      <w:b w:val="0"/>
                      <w:bCs/>
                      <w:sz w:val="21"/>
                      <w:szCs w:val="21"/>
                    </w:rPr>
                  </w:pPr>
                </w:p>
              </w:tc>
              <w:tc>
                <w:tcPr>
                  <w:tcW w:w="1188" w:type="dxa"/>
                  <w:vMerge w:val="continue"/>
                  <w:tcBorders>
                    <w:tl2br w:val="nil"/>
                    <w:tr2bl w:val="nil"/>
                  </w:tcBorders>
                  <w:noWrap w:val="0"/>
                  <w:vAlign w:val="center"/>
                </w:tcPr>
                <w:p w14:paraId="376882CF">
                  <w:pPr>
                    <w:jc w:val="center"/>
                    <w:rPr>
                      <w:rFonts w:hint="default" w:ascii="Times New Roman" w:hAnsi="Times New Roman" w:eastAsia="宋体" w:cs="Times New Roman"/>
                      <w:b w:val="0"/>
                      <w:bCs/>
                      <w:sz w:val="21"/>
                      <w:szCs w:val="21"/>
                    </w:rPr>
                  </w:pPr>
                </w:p>
              </w:tc>
            </w:tr>
            <w:tr w14:paraId="63B719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1" w:type="dxa"/>
                  <w:tcBorders>
                    <w:tl2br w:val="nil"/>
                    <w:tr2bl w:val="nil"/>
                  </w:tcBorders>
                  <w:noWrap w:val="0"/>
                  <w:vAlign w:val="center"/>
                </w:tcPr>
                <w:p w14:paraId="1B6C7BC1">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东侧</w:t>
                  </w:r>
                </w:p>
              </w:tc>
              <w:tc>
                <w:tcPr>
                  <w:tcW w:w="803" w:type="dxa"/>
                  <w:tcBorders>
                    <w:tl2br w:val="nil"/>
                    <w:tr2bl w:val="nil"/>
                  </w:tcBorders>
                  <w:noWrap w:val="0"/>
                  <w:vAlign w:val="center"/>
                </w:tcPr>
                <w:p w14:paraId="2E02566C">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58</w:t>
                  </w:r>
                </w:p>
              </w:tc>
              <w:tc>
                <w:tcPr>
                  <w:tcW w:w="803" w:type="dxa"/>
                  <w:tcBorders>
                    <w:tl2br w:val="nil"/>
                    <w:tr2bl w:val="nil"/>
                  </w:tcBorders>
                  <w:noWrap w:val="0"/>
                  <w:vAlign w:val="center"/>
                </w:tcPr>
                <w:p w14:paraId="4A93647C">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34.5</w:t>
                  </w:r>
                </w:p>
              </w:tc>
              <w:tc>
                <w:tcPr>
                  <w:tcW w:w="956" w:type="dxa"/>
                  <w:tcBorders>
                    <w:tl2br w:val="nil"/>
                    <w:tr2bl w:val="nil"/>
                  </w:tcBorders>
                  <w:noWrap w:val="0"/>
                  <w:vAlign w:val="center"/>
                </w:tcPr>
                <w:p w14:paraId="088466CA">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1.2</w:t>
                  </w:r>
                </w:p>
              </w:tc>
              <w:tc>
                <w:tcPr>
                  <w:tcW w:w="840" w:type="dxa"/>
                  <w:tcBorders>
                    <w:tl2br w:val="nil"/>
                    <w:tr2bl w:val="nil"/>
                  </w:tcBorders>
                  <w:noWrap w:val="0"/>
                  <w:vAlign w:val="center"/>
                </w:tcPr>
                <w:p w14:paraId="4CE40FA5">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昼间</w:t>
                  </w:r>
                </w:p>
              </w:tc>
              <w:tc>
                <w:tcPr>
                  <w:tcW w:w="1417" w:type="dxa"/>
                  <w:tcBorders>
                    <w:tl2br w:val="nil"/>
                    <w:tr2bl w:val="nil"/>
                  </w:tcBorders>
                  <w:noWrap w:val="0"/>
                  <w:vAlign w:val="center"/>
                </w:tcPr>
                <w:p w14:paraId="7E118E85">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26.6</w:t>
                  </w:r>
                </w:p>
              </w:tc>
              <w:tc>
                <w:tcPr>
                  <w:tcW w:w="1418" w:type="dxa"/>
                  <w:tcBorders>
                    <w:tl2br w:val="nil"/>
                    <w:tr2bl w:val="nil"/>
                  </w:tcBorders>
                  <w:noWrap w:val="0"/>
                  <w:vAlign w:val="center"/>
                </w:tcPr>
                <w:p w14:paraId="0FA376E6">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65</w:t>
                  </w:r>
                </w:p>
              </w:tc>
              <w:tc>
                <w:tcPr>
                  <w:tcW w:w="1188" w:type="dxa"/>
                  <w:tcBorders>
                    <w:tl2br w:val="nil"/>
                    <w:tr2bl w:val="nil"/>
                  </w:tcBorders>
                  <w:noWrap w:val="0"/>
                  <w:vAlign w:val="center"/>
                </w:tcPr>
                <w:p w14:paraId="500B5F8C">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达标</w:t>
                  </w:r>
                </w:p>
              </w:tc>
            </w:tr>
            <w:tr w14:paraId="7C8DB8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1" w:type="dxa"/>
                  <w:tcBorders>
                    <w:tl2br w:val="nil"/>
                    <w:tr2bl w:val="nil"/>
                  </w:tcBorders>
                  <w:noWrap w:val="0"/>
                  <w:vAlign w:val="center"/>
                </w:tcPr>
                <w:p w14:paraId="10BD65B2">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南侧</w:t>
                  </w:r>
                </w:p>
              </w:tc>
              <w:tc>
                <w:tcPr>
                  <w:tcW w:w="803" w:type="dxa"/>
                  <w:tcBorders>
                    <w:tl2br w:val="nil"/>
                    <w:tr2bl w:val="nil"/>
                  </w:tcBorders>
                  <w:noWrap w:val="0"/>
                  <w:vAlign w:val="center"/>
                </w:tcPr>
                <w:p w14:paraId="1A4703CB">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35.9</w:t>
                  </w:r>
                </w:p>
              </w:tc>
              <w:tc>
                <w:tcPr>
                  <w:tcW w:w="803" w:type="dxa"/>
                  <w:tcBorders>
                    <w:tl2br w:val="nil"/>
                    <w:tr2bl w:val="nil"/>
                  </w:tcBorders>
                  <w:noWrap w:val="0"/>
                  <w:vAlign w:val="center"/>
                </w:tcPr>
                <w:p w14:paraId="07126E7D">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-95.8</w:t>
                  </w:r>
                </w:p>
              </w:tc>
              <w:tc>
                <w:tcPr>
                  <w:tcW w:w="956" w:type="dxa"/>
                  <w:tcBorders>
                    <w:tl2br w:val="nil"/>
                    <w:tr2bl w:val="nil"/>
                  </w:tcBorders>
                  <w:noWrap w:val="0"/>
                  <w:vAlign w:val="center"/>
                </w:tcPr>
                <w:p w14:paraId="279729F7">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1.2</w:t>
                  </w:r>
                </w:p>
              </w:tc>
              <w:tc>
                <w:tcPr>
                  <w:tcW w:w="840" w:type="dxa"/>
                  <w:tcBorders>
                    <w:tl2br w:val="nil"/>
                    <w:tr2bl w:val="nil"/>
                  </w:tcBorders>
                  <w:noWrap w:val="0"/>
                  <w:vAlign w:val="center"/>
                </w:tcPr>
                <w:p w14:paraId="5755345A">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昼间</w:t>
                  </w:r>
                </w:p>
              </w:tc>
              <w:tc>
                <w:tcPr>
                  <w:tcW w:w="1417" w:type="dxa"/>
                  <w:tcBorders>
                    <w:tl2br w:val="nil"/>
                    <w:tr2bl w:val="nil"/>
                  </w:tcBorders>
                  <w:noWrap w:val="0"/>
                  <w:vAlign w:val="center"/>
                </w:tcPr>
                <w:p w14:paraId="6F1F4BE8">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44.6</w:t>
                  </w:r>
                </w:p>
              </w:tc>
              <w:tc>
                <w:tcPr>
                  <w:tcW w:w="1418" w:type="dxa"/>
                  <w:tcBorders>
                    <w:tl2br w:val="nil"/>
                    <w:tr2bl w:val="nil"/>
                  </w:tcBorders>
                  <w:noWrap w:val="0"/>
                  <w:vAlign w:val="center"/>
                </w:tcPr>
                <w:p w14:paraId="7C34CF50">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65</w:t>
                  </w:r>
                </w:p>
              </w:tc>
              <w:tc>
                <w:tcPr>
                  <w:tcW w:w="1188" w:type="dxa"/>
                  <w:tcBorders>
                    <w:tl2br w:val="nil"/>
                    <w:tr2bl w:val="nil"/>
                  </w:tcBorders>
                  <w:noWrap w:val="0"/>
                  <w:vAlign w:val="center"/>
                </w:tcPr>
                <w:p w14:paraId="7A1C82A3">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达标</w:t>
                  </w:r>
                </w:p>
              </w:tc>
            </w:tr>
            <w:tr w14:paraId="108277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1" w:type="dxa"/>
                  <w:tcBorders>
                    <w:tl2br w:val="nil"/>
                    <w:tr2bl w:val="nil"/>
                  </w:tcBorders>
                  <w:noWrap w:val="0"/>
                  <w:vAlign w:val="center"/>
                </w:tcPr>
                <w:p w14:paraId="090D338C">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西侧</w:t>
                  </w:r>
                </w:p>
              </w:tc>
              <w:tc>
                <w:tcPr>
                  <w:tcW w:w="803" w:type="dxa"/>
                  <w:tcBorders>
                    <w:tl2br w:val="nil"/>
                    <w:tr2bl w:val="nil"/>
                  </w:tcBorders>
                  <w:noWrap w:val="0"/>
                  <w:vAlign w:val="center"/>
                </w:tcPr>
                <w:p w14:paraId="582368AE">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-61.7</w:t>
                  </w:r>
                </w:p>
              </w:tc>
              <w:tc>
                <w:tcPr>
                  <w:tcW w:w="803" w:type="dxa"/>
                  <w:tcBorders>
                    <w:tl2br w:val="nil"/>
                    <w:tr2bl w:val="nil"/>
                  </w:tcBorders>
                  <w:noWrap w:val="0"/>
                  <w:vAlign w:val="center"/>
                </w:tcPr>
                <w:p w14:paraId="04D20FC4">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-28</w:t>
                  </w:r>
                </w:p>
              </w:tc>
              <w:tc>
                <w:tcPr>
                  <w:tcW w:w="956" w:type="dxa"/>
                  <w:tcBorders>
                    <w:tl2br w:val="nil"/>
                    <w:tr2bl w:val="nil"/>
                  </w:tcBorders>
                  <w:noWrap w:val="0"/>
                  <w:vAlign w:val="center"/>
                </w:tcPr>
                <w:p w14:paraId="53A42DBE">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1.2</w:t>
                  </w:r>
                </w:p>
              </w:tc>
              <w:tc>
                <w:tcPr>
                  <w:tcW w:w="840" w:type="dxa"/>
                  <w:tcBorders>
                    <w:tl2br w:val="nil"/>
                    <w:tr2bl w:val="nil"/>
                  </w:tcBorders>
                  <w:noWrap w:val="0"/>
                  <w:vAlign w:val="center"/>
                </w:tcPr>
                <w:p w14:paraId="68A44191">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昼间</w:t>
                  </w:r>
                </w:p>
              </w:tc>
              <w:tc>
                <w:tcPr>
                  <w:tcW w:w="1417" w:type="dxa"/>
                  <w:tcBorders>
                    <w:tl2br w:val="nil"/>
                    <w:tr2bl w:val="nil"/>
                  </w:tcBorders>
                  <w:noWrap w:val="0"/>
                  <w:vAlign w:val="center"/>
                </w:tcPr>
                <w:p w14:paraId="474EC640">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55.9</w:t>
                  </w:r>
                </w:p>
              </w:tc>
              <w:tc>
                <w:tcPr>
                  <w:tcW w:w="1418" w:type="dxa"/>
                  <w:tcBorders>
                    <w:tl2br w:val="nil"/>
                    <w:tr2bl w:val="nil"/>
                  </w:tcBorders>
                  <w:noWrap w:val="0"/>
                  <w:vAlign w:val="center"/>
                </w:tcPr>
                <w:p w14:paraId="0E7FA52E">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65</w:t>
                  </w:r>
                </w:p>
              </w:tc>
              <w:tc>
                <w:tcPr>
                  <w:tcW w:w="1188" w:type="dxa"/>
                  <w:tcBorders>
                    <w:tl2br w:val="nil"/>
                    <w:tr2bl w:val="nil"/>
                  </w:tcBorders>
                  <w:noWrap w:val="0"/>
                  <w:vAlign w:val="center"/>
                </w:tcPr>
                <w:p w14:paraId="24E969C4">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达标</w:t>
                  </w:r>
                </w:p>
              </w:tc>
            </w:tr>
            <w:tr w14:paraId="2212DD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1" w:type="dxa"/>
                  <w:tcBorders>
                    <w:tl2br w:val="nil"/>
                    <w:tr2bl w:val="nil"/>
                  </w:tcBorders>
                  <w:noWrap w:val="0"/>
                  <w:vAlign w:val="center"/>
                </w:tcPr>
                <w:p w14:paraId="7E23CF6E">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北侧</w:t>
                  </w:r>
                </w:p>
              </w:tc>
              <w:tc>
                <w:tcPr>
                  <w:tcW w:w="803" w:type="dxa"/>
                  <w:tcBorders>
                    <w:tl2br w:val="nil"/>
                    <w:tr2bl w:val="nil"/>
                  </w:tcBorders>
                  <w:noWrap w:val="0"/>
                  <w:vAlign w:val="center"/>
                </w:tcPr>
                <w:p w14:paraId="2029B0C1">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-54.5</w:t>
                  </w:r>
                </w:p>
              </w:tc>
              <w:tc>
                <w:tcPr>
                  <w:tcW w:w="803" w:type="dxa"/>
                  <w:tcBorders>
                    <w:tl2br w:val="nil"/>
                    <w:tr2bl w:val="nil"/>
                  </w:tcBorders>
                  <w:noWrap w:val="0"/>
                  <w:vAlign w:val="center"/>
                </w:tcPr>
                <w:p w14:paraId="4C159F8F">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86.7</w:t>
                  </w:r>
                </w:p>
              </w:tc>
              <w:tc>
                <w:tcPr>
                  <w:tcW w:w="956" w:type="dxa"/>
                  <w:tcBorders>
                    <w:tl2br w:val="nil"/>
                    <w:tr2bl w:val="nil"/>
                  </w:tcBorders>
                  <w:noWrap w:val="0"/>
                  <w:vAlign w:val="center"/>
                </w:tcPr>
                <w:p w14:paraId="76B48664">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1.2</w:t>
                  </w:r>
                </w:p>
              </w:tc>
              <w:tc>
                <w:tcPr>
                  <w:tcW w:w="840" w:type="dxa"/>
                  <w:tcBorders>
                    <w:tl2br w:val="nil"/>
                    <w:tr2bl w:val="nil"/>
                  </w:tcBorders>
                  <w:noWrap w:val="0"/>
                  <w:vAlign w:val="center"/>
                </w:tcPr>
                <w:p w14:paraId="0A18869D">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昼间</w:t>
                  </w:r>
                </w:p>
              </w:tc>
              <w:tc>
                <w:tcPr>
                  <w:tcW w:w="1417" w:type="dxa"/>
                  <w:tcBorders>
                    <w:tl2br w:val="nil"/>
                    <w:tr2bl w:val="nil"/>
                  </w:tcBorders>
                  <w:noWrap w:val="0"/>
                  <w:vAlign w:val="center"/>
                </w:tcPr>
                <w:p w14:paraId="6ACF8DB9">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47.2</w:t>
                  </w:r>
                </w:p>
              </w:tc>
              <w:tc>
                <w:tcPr>
                  <w:tcW w:w="1418" w:type="dxa"/>
                  <w:tcBorders>
                    <w:tl2br w:val="nil"/>
                    <w:tr2bl w:val="nil"/>
                  </w:tcBorders>
                  <w:noWrap w:val="0"/>
                  <w:vAlign w:val="center"/>
                </w:tcPr>
                <w:p w14:paraId="02A6C398">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65</w:t>
                  </w:r>
                </w:p>
              </w:tc>
              <w:tc>
                <w:tcPr>
                  <w:tcW w:w="1188" w:type="dxa"/>
                  <w:tcBorders>
                    <w:tl2br w:val="nil"/>
                    <w:tr2bl w:val="nil"/>
                  </w:tcBorders>
                  <w:noWrap w:val="0"/>
                  <w:vAlign w:val="center"/>
                </w:tcPr>
                <w:p w14:paraId="2A77F0CA">
                  <w:pPr>
                    <w:jc w:val="center"/>
                    <w:rPr>
                      <w:rFonts w:hint="default" w:ascii="Times New Roman" w:hAnsi="Times New Roman" w:cs="Times New Roman"/>
                      <w:b w:val="0"/>
                      <w:bCs/>
                      <w:sz w:val="21"/>
                      <w:szCs w:val="21"/>
                    </w:rPr>
                  </w:pPr>
                  <w:r>
                    <w:rPr>
                      <w:rFonts w:hint="default" w:ascii="Times New Roman" w:hAnsi="Times New Roman" w:eastAsia="Arial" w:cs="Times New Roman"/>
                      <w:b w:val="0"/>
                      <w:bCs/>
                      <w:sz w:val="21"/>
                      <w:szCs w:val="21"/>
                    </w:rPr>
                    <w:t>达标</w:t>
                  </w:r>
                </w:p>
              </w:tc>
            </w:tr>
          </w:tbl>
          <w:p w14:paraId="65BA4D53">
            <w:pPr>
              <w:autoSpaceDE w:val="0"/>
              <w:autoSpaceDN w:val="0"/>
              <w:adjustRightInd w:val="0"/>
              <w:snapToGrid w:val="0"/>
              <w:spacing w:line="360" w:lineRule="auto"/>
              <w:ind w:firstLine="480" w:firstLineChars="200"/>
              <w:rPr>
                <w:rFonts w:hint="eastAsia" w:ascii="Times New Roman" w:hAnsi="Times New Roman" w:eastAsia="宋体" w:cs="Times New Roman"/>
                <w:color w:val="000000"/>
                <w:spacing w:val="0"/>
                <w:kern w:val="0"/>
                <w:sz w:val="24"/>
              </w:rPr>
            </w:pPr>
            <w:r>
              <w:rPr>
                <w:rFonts w:hint="eastAsia" w:ascii="Times New Roman" w:hAnsi="Times New Roman" w:eastAsia="宋体" w:cs="Times New Roman"/>
                <w:color w:val="000000"/>
                <w:spacing w:val="0"/>
                <w:kern w:val="0"/>
                <w:sz w:val="24"/>
              </w:rPr>
              <w:t>据表</w:t>
            </w:r>
            <w:r>
              <w:rPr>
                <w:rFonts w:hint="eastAsia" w:ascii="Times New Roman" w:hAnsi="Times New Roman" w:eastAsia="宋体" w:cs="Times New Roman"/>
                <w:color w:val="000000"/>
                <w:spacing w:val="0"/>
                <w:kern w:val="0"/>
                <w:sz w:val="24"/>
                <w:lang w:val="en-US" w:eastAsia="zh-CN"/>
              </w:rPr>
              <w:t>4-6</w:t>
            </w:r>
            <w:r>
              <w:rPr>
                <w:rFonts w:hint="eastAsia" w:ascii="Times New Roman" w:hAnsi="Times New Roman" w:eastAsia="宋体" w:cs="Times New Roman"/>
                <w:color w:val="000000"/>
                <w:spacing w:val="0"/>
                <w:kern w:val="0"/>
                <w:sz w:val="24"/>
              </w:rPr>
              <w:t>预测结果可知，项目厂界四周边界噪声经建筑物隔声降噪及距离衰减后，厂界噪声满足《工业企业厂界环境噪声排放标准》（</w:t>
            </w:r>
            <w:r>
              <w:rPr>
                <w:rFonts w:ascii="Times New Roman" w:hAnsi="Times New Roman" w:eastAsia="宋体" w:cs="Times New Roman"/>
                <w:color w:val="000000"/>
                <w:spacing w:val="0"/>
                <w:kern w:val="0"/>
                <w:sz w:val="24"/>
              </w:rPr>
              <w:t>GB12348-2008</w:t>
            </w:r>
            <w:r>
              <w:rPr>
                <w:rFonts w:hint="eastAsia" w:ascii="Times New Roman" w:hAnsi="Times New Roman" w:eastAsia="宋体" w:cs="Times New Roman"/>
                <w:color w:val="000000"/>
                <w:spacing w:val="0"/>
                <w:kern w:val="0"/>
                <w:sz w:val="24"/>
              </w:rPr>
              <w:t>）</w:t>
            </w:r>
            <w:r>
              <w:rPr>
                <w:rFonts w:ascii="Times New Roman" w:hAnsi="Times New Roman" w:eastAsia="宋体" w:cs="Times New Roman"/>
                <w:color w:val="000000"/>
                <w:spacing w:val="0"/>
                <w:kern w:val="0"/>
                <w:sz w:val="24"/>
              </w:rPr>
              <w:t>3</w:t>
            </w:r>
            <w:r>
              <w:rPr>
                <w:rFonts w:hint="eastAsia" w:ascii="Times New Roman" w:hAnsi="Times New Roman" w:eastAsia="宋体" w:cs="Times New Roman"/>
                <w:color w:val="000000"/>
                <w:spacing w:val="0"/>
                <w:kern w:val="0"/>
                <w:sz w:val="24"/>
              </w:rPr>
              <w:t>类区标准中（昼间</w:t>
            </w:r>
            <w:r>
              <w:rPr>
                <w:rFonts w:ascii="Times New Roman" w:hAnsi="Times New Roman" w:eastAsia="宋体" w:cs="Times New Roman"/>
                <w:color w:val="000000"/>
                <w:spacing w:val="0"/>
                <w:kern w:val="0"/>
                <w:sz w:val="24"/>
              </w:rPr>
              <w:t>65dB</w:t>
            </w:r>
            <w:r>
              <w:rPr>
                <w:rFonts w:hint="eastAsia" w:ascii="Times New Roman" w:hAnsi="Times New Roman" w:eastAsia="宋体" w:cs="Times New Roman"/>
                <w:color w:val="000000"/>
                <w:spacing w:val="0"/>
                <w:kern w:val="0"/>
                <w:sz w:val="24"/>
              </w:rPr>
              <w:t>（</w:t>
            </w:r>
            <w:r>
              <w:rPr>
                <w:rFonts w:ascii="Times New Roman" w:hAnsi="Times New Roman" w:eastAsia="宋体" w:cs="Times New Roman"/>
                <w:color w:val="000000"/>
                <w:spacing w:val="0"/>
                <w:kern w:val="0"/>
                <w:sz w:val="24"/>
              </w:rPr>
              <w:t>A</w:t>
            </w:r>
            <w:r>
              <w:rPr>
                <w:rFonts w:hint="eastAsia" w:ascii="Times New Roman" w:hAnsi="Times New Roman" w:eastAsia="宋体" w:cs="Times New Roman"/>
                <w:color w:val="000000"/>
                <w:spacing w:val="0"/>
                <w:kern w:val="0"/>
                <w:sz w:val="24"/>
              </w:rPr>
              <w:t>）</w:t>
            </w:r>
            <w:r>
              <w:rPr>
                <w:rFonts w:hint="eastAsia" w:ascii="Times New Roman" w:hAnsi="Times New Roman" w:eastAsia="宋体" w:cs="Times New Roman"/>
                <w:color w:val="000000"/>
                <w:spacing w:val="0"/>
                <w:kern w:val="0"/>
                <w:sz w:val="24"/>
                <w:lang w:eastAsia="zh-CN"/>
              </w:rPr>
              <w:t>，</w:t>
            </w:r>
            <w:r>
              <w:rPr>
                <w:rFonts w:hint="eastAsia" w:ascii="Times New Roman" w:hAnsi="Times New Roman" w:eastAsia="宋体" w:cs="Times New Roman"/>
                <w:color w:val="000000"/>
                <w:spacing w:val="0"/>
                <w:kern w:val="0"/>
                <w:sz w:val="24"/>
                <w:lang w:val="en-US" w:eastAsia="zh-CN"/>
              </w:rPr>
              <w:t>夜间不生产</w:t>
            </w:r>
            <w:r>
              <w:rPr>
                <w:rFonts w:hint="eastAsia" w:ascii="Times New Roman" w:hAnsi="Times New Roman" w:eastAsia="宋体" w:cs="Times New Roman"/>
                <w:color w:val="000000"/>
                <w:spacing w:val="0"/>
                <w:kern w:val="0"/>
                <w:sz w:val="24"/>
              </w:rPr>
              <w:t>）的排放要求。</w:t>
            </w:r>
          </w:p>
          <w:p w14:paraId="3429092E">
            <w:pPr>
              <w:spacing w:line="360" w:lineRule="auto"/>
              <w:rPr>
                <w:rFonts w:hint="eastAsia" w:ascii="Times New Roman" w:hAnsi="Times New Roman" w:eastAsia="宋体" w:cs="Times New Roman"/>
                <w:b/>
                <w:bCs/>
                <w:color w:val="000000"/>
                <w:spacing w:val="0"/>
                <w:kern w:val="0"/>
                <w:sz w:val="24"/>
              </w:rPr>
            </w:pPr>
            <w:r>
              <w:rPr>
                <w:rFonts w:ascii="Times New Roman" w:hAnsi="Times New Roman" w:eastAsia="宋体" w:cs="Times New Roman"/>
                <w:b/>
                <w:bCs/>
                <w:color w:val="000000"/>
                <w:spacing w:val="0"/>
                <w:kern w:val="0"/>
                <w:sz w:val="24"/>
              </w:rPr>
              <w:t>3.</w:t>
            </w:r>
            <w:r>
              <w:rPr>
                <w:rFonts w:hint="eastAsia" w:ascii="Times New Roman" w:hAnsi="Times New Roman" w:eastAsia="宋体" w:cs="Times New Roman"/>
                <w:b/>
                <w:bCs/>
                <w:color w:val="000000"/>
                <w:spacing w:val="0"/>
                <w:kern w:val="0"/>
                <w:sz w:val="24"/>
                <w:lang w:val="en-US" w:eastAsia="zh-CN"/>
              </w:rPr>
              <w:t>6</w:t>
            </w:r>
            <w:r>
              <w:rPr>
                <w:rFonts w:hint="eastAsia" w:ascii="Times New Roman" w:hAnsi="Times New Roman" w:eastAsia="宋体" w:cs="Times New Roman"/>
                <w:b/>
                <w:bCs/>
                <w:color w:val="000000"/>
                <w:spacing w:val="0"/>
                <w:kern w:val="0"/>
                <w:sz w:val="24"/>
              </w:rPr>
              <w:t>监测计划</w:t>
            </w:r>
          </w:p>
          <w:p w14:paraId="39775DB7">
            <w:pPr>
              <w:autoSpaceDE w:val="0"/>
              <w:autoSpaceDN w:val="0"/>
              <w:adjustRightInd w:val="0"/>
              <w:snapToGrid w:val="0"/>
              <w:spacing w:line="360" w:lineRule="auto"/>
              <w:ind w:firstLine="480" w:firstLineChars="200"/>
              <w:rPr>
                <w:rFonts w:hint="eastAsia" w:ascii="Times New Roman" w:hAnsi="Times New Roman" w:eastAsia="宋体" w:cs="Times New Roman"/>
                <w:color w:val="000000"/>
                <w:spacing w:val="0"/>
                <w:kern w:val="0"/>
                <w:sz w:val="24"/>
              </w:rPr>
            </w:pPr>
            <w:r>
              <w:rPr>
                <w:rFonts w:hint="eastAsia" w:ascii="Times New Roman" w:hAnsi="Times New Roman" w:eastAsia="宋体" w:cs="Times New Roman"/>
                <w:color w:val="000000"/>
                <w:spacing w:val="0"/>
                <w:kern w:val="0"/>
                <w:sz w:val="24"/>
              </w:rPr>
              <w:t>本项目运营后监测计划如下表</w:t>
            </w:r>
            <w:r>
              <w:rPr>
                <w:rFonts w:hint="eastAsia" w:ascii="Times New Roman" w:hAnsi="Times New Roman" w:eastAsia="宋体" w:cs="Times New Roman"/>
                <w:color w:val="000000"/>
                <w:spacing w:val="0"/>
                <w:kern w:val="0"/>
                <w:sz w:val="24"/>
                <w:lang w:val="en-US" w:eastAsia="zh-CN"/>
              </w:rPr>
              <w:t>4-7</w:t>
            </w:r>
            <w:r>
              <w:rPr>
                <w:rFonts w:hint="eastAsia" w:ascii="Times New Roman" w:hAnsi="Times New Roman" w:eastAsia="宋体" w:cs="Times New Roman"/>
                <w:color w:val="000000"/>
                <w:spacing w:val="0"/>
                <w:kern w:val="0"/>
                <w:sz w:val="24"/>
              </w:rPr>
              <w:t>：</w:t>
            </w:r>
          </w:p>
          <w:p w14:paraId="3BF90719">
            <w:pPr>
              <w:widowControl w:val="0"/>
              <w:adjustRightInd w:val="0"/>
              <w:snapToGrid w:val="0"/>
              <w:spacing w:line="240" w:lineRule="auto"/>
              <w:ind w:firstLine="422" w:firstLineChars="200"/>
              <w:jc w:val="both"/>
              <w:outlineLvl w:val="3"/>
              <w:rPr>
                <w:rFonts w:ascii="Times New Roman" w:hAnsi="Times New Roman" w:eastAsia="宋体" w:cs="Times New Roman"/>
                <w:b/>
                <w:bCs/>
                <w:color w:val="000000"/>
                <w:spacing w:val="0"/>
                <w:kern w:val="0"/>
                <w:sz w:val="21"/>
                <w:szCs w:val="21"/>
                <w:lang w:val="en-US" w:eastAsia="zh-CN" w:bidi="ar-SA"/>
              </w:rPr>
            </w:pPr>
            <w:r>
              <w:rPr>
                <w:rFonts w:hint="eastAsia" w:ascii="Times New Roman" w:hAnsi="Times New Roman" w:eastAsia="宋体" w:cs="Times New Roman"/>
                <w:b/>
                <w:bCs/>
                <w:color w:val="000000"/>
                <w:spacing w:val="0"/>
                <w:kern w:val="0"/>
                <w:sz w:val="21"/>
                <w:szCs w:val="21"/>
                <w:lang w:val="en-US" w:eastAsia="zh-CN" w:bidi="ar-SA"/>
              </w:rPr>
              <w:t>表4-7</w:t>
            </w:r>
            <w:r>
              <w:rPr>
                <w:rFonts w:ascii="Times New Roman" w:hAnsi="Times New Roman" w:eastAsia="宋体" w:cs="Times New Roman"/>
                <w:b/>
                <w:bCs/>
                <w:color w:val="000000"/>
                <w:spacing w:val="0"/>
                <w:kern w:val="0"/>
                <w:sz w:val="21"/>
                <w:szCs w:val="21"/>
                <w:lang w:val="en-US" w:eastAsia="zh-CN" w:bidi="ar-SA"/>
              </w:rPr>
              <w:t xml:space="preserve">      </w:t>
            </w:r>
            <w:r>
              <w:rPr>
                <w:rFonts w:hint="eastAsia" w:ascii="Times New Roman" w:hAnsi="Times New Roman" w:eastAsia="宋体" w:cs="Times New Roman"/>
                <w:b/>
                <w:bCs/>
                <w:color w:val="000000"/>
                <w:spacing w:val="0"/>
                <w:kern w:val="0"/>
                <w:sz w:val="21"/>
                <w:szCs w:val="21"/>
                <w:lang w:val="en-US" w:eastAsia="zh-CN" w:bidi="ar-SA"/>
              </w:rPr>
              <w:t xml:space="preserve">   </w:t>
            </w:r>
            <w:r>
              <w:rPr>
                <w:rFonts w:ascii="Times New Roman" w:hAnsi="Times New Roman" w:eastAsia="宋体" w:cs="Times New Roman"/>
                <w:b/>
                <w:bCs/>
                <w:color w:val="000000"/>
                <w:spacing w:val="0"/>
                <w:kern w:val="0"/>
                <w:sz w:val="21"/>
                <w:szCs w:val="21"/>
                <w:lang w:val="en-US" w:eastAsia="zh-CN" w:bidi="ar-SA"/>
              </w:rPr>
              <w:t xml:space="preserve">                </w:t>
            </w:r>
            <w:r>
              <w:rPr>
                <w:rFonts w:hint="eastAsia" w:ascii="Times New Roman" w:hAnsi="Times New Roman" w:eastAsia="宋体" w:cs="Times New Roman"/>
                <w:b/>
                <w:bCs/>
                <w:color w:val="000000"/>
                <w:spacing w:val="0"/>
                <w:kern w:val="0"/>
                <w:sz w:val="21"/>
                <w:szCs w:val="21"/>
                <w:lang w:val="en-US" w:eastAsia="zh-CN" w:bidi="ar-SA"/>
              </w:rPr>
              <w:t>声环境监测计划</w:t>
            </w:r>
          </w:p>
          <w:tbl>
            <w:tblPr>
              <w:tblStyle w:val="23"/>
              <w:tblW w:w="4998" w:type="pct"/>
              <w:tblInd w:w="0" w:type="dxa"/>
              <w:tblBorders>
                <w:top w:val="single" w:color="000000" w:sz="12" w:space="0"/>
                <w:left w:val="none" w:color="auto" w:sz="6" w:space="0"/>
                <w:bottom w:val="single" w:color="000000" w:sz="12" w:space="0"/>
                <w:right w:val="none" w:color="auto" w:sz="6" w:space="0"/>
                <w:insideH w:val="single" w:color="000000" w:sz="4" w:space="0"/>
                <w:insideV w:val="single" w:color="000000" w:sz="4" w:space="0"/>
              </w:tblBorders>
              <w:tblLayout w:type="fixed"/>
              <w:tblCellMar>
                <w:top w:w="0" w:type="dxa"/>
                <w:left w:w="0" w:type="dxa"/>
                <w:bottom w:w="0" w:type="dxa"/>
                <w:right w:w="0" w:type="dxa"/>
              </w:tblCellMar>
            </w:tblPr>
            <w:tblGrid>
              <w:gridCol w:w="885"/>
              <w:gridCol w:w="1304"/>
              <w:gridCol w:w="1707"/>
              <w:gridCol w:w="1056"/>
              <w:gridCol w:w="3478"/>
            </w:tblGrid>
            <w:tr w14:paraId="0B62F75C">
              <w:tblPrEx>
                <w:tblBorders>
                  <w:top w:val="single" w:color="000000" w:sz="12" w:space="0"/>
                  <w:left w:val="none" w:color="auto" w:sz="6" w:space="0"/>
                  <w:bottom w:val="single" w:color="000000" w:sz="12" w:space="0"/>
                  <w:right w:val="none" w:color="auto" w:sz="6" w:space="0"/>
                  <w:insideH w:val="single" w:color="000000" w:sz="4" w:space="0"/>
                  <w:insideV w:val="single" w:color="000000" w:sz="4" w:space="0"/>
                </w:tblBorders>
                <w:tblCellMar>
                  <w:top w:w="0" w:type="dxa"/>
                  <w:left w:w="0" w:type="dxa"/>
                  <w:bottom w:w="0" w:type="dxa"/>
                  <w:right w:w="0" w:type="dxa"/>
                </w:tblCellMar>
              </w:tblPrEx>
              <w:tc>
                <w:tcPr>
                  <w:tcW w:w="525" w:type="pct"/>
                  <w:tcBorders>
                    <w:top w:val="single" w:color="000000" w:sz="12" w:space="0"/>
                    <w:left w:val="nil"/>
                    <w:bottom w:val="single" w:color="000000" w:sz="4" w:space="0"/>
                    <w:right w:val="single" w:color="000000" w:sz="4" w:space="0"/>
                  </w:tcBorders>
                  <w:noWrap w:val="0"/>
                  <w:vAlign w:val="center"/>
                </w:tcPr>
                <w:p w14:paraId="1E728F21">
                  <w:pPr>
                    <w:widowControl w:val="0"/>
                    <w:adjustRightInd w:val="0"/>
                    <w:snapToGrid w:val="0"/>
                    <w:spacing w:line="240" w:lineRule="auto"/>
                    <w:ind w:firstLine="0" w:firstLineChars="0"/>
                    <w:jc w:val="center"/>
                    <w:rPr>
                      <w:rFonts w:ascii="Times New Roman" w:hAnsi="Times New Roman" w:eastAsia="宋体" w:cs="Times New Roman"/>
                      <w:color w:val="000000"/>
                      <w:spacing w:val="0"/>
                      <w:kern w:val="0"/>
                      <w:sz w:val="21"/>
                      <w:szCs w:val="21"/>
                      <w:lang w:val="en-US" w:eastAsia="zh-CN" w:bidi="ar-SA"/>
                    </w:rPr>
                  </w:pPr>
                  <w:r>
                    <w:rPr>
                      <w:rFonts w:hint="eastAsia" w:ascii="Times New Roman" w:hAnsi="Times New Roman" w:eastAsia="宋体" w:cs="Times New Roman"/>
                      <w:color w:val="000000"/>
                      <w:spacing w:val="0"/>
                      <w:kern w:val="0"/>
                      <w:sz w:val="21"/>
                      <w:szCs w:val="21"/>
                      <w:lang w:val="en-US" w:eastAsia="zh-CN" w:bidi="ar-SA"/>
                    </w:rPr>
                    <w:t>项目</w:t>
                  </w:r>
                </w:p>
              </w:tc>
              <w:tc>
                <w:tcPr>
                  <w:tcW w:w="773" w:type="pct"/>
                  <w:tcBorders>
                    <w:top w:val="single" w:color="000000" w:sz="12" w:space="0"/>
                    <w:left w:val="single" w:color="000000" w:sz="4" w:space="0"/>
                    <w:bottom w:val="single" w:color="000000" w:sz="4" w:space="0"/>
                    <w:right w:val="single" w:color="000000" w:sz="4" w:space="0"/>
                  </w:tcBorders>
                  <w:noWrap w:val="0"/>
                  <w:vAlign w:val="center"/>
                </w:tcPr>
                <w:p w14:paraId="45400EE6">
                  <w:pPr>
                    <w:widowControl w:val="0"/>
                    <w:adjustRightInd w:val="0"/>
                    <w:snapToGrid w:val="0"/>
                    <w:spacing w:line="240" w:lineRule="auto"/>
                    <w:ind w:firstLine="0" w:firstLineChars="0"/>
                    <w:jc w:val="center"/>
                    <w:rPr>
                      <w:rFonts w:ascii="Times New Roman" w:hAnsi="Times New Roman" w:eastAsia="宋体" w:cs="Times New Roman"/>
                      <w:color w:val="000000"/>
                      <w:spacing w:val="0"/>
                      <w:kern w:val="0"/>
                      <w:sz w:val="21"/>
                      <w:szCs w:val="21"/>
                      <w:lang w:val="en-US" w:eastAsia="zh-CN" w:bidi="ar-SA"/>
                    </w:rPr>
                  </w:pPr>
                  <w:r>
                    <w:rPr>
                      <w:rFonts w:hint="eastAsia" w:ascii="Times New Roman" w:hAnsi="Times New Roman" w:eastAsia="宋体" w:cs="Times New Roman"/>
                      <w:color w:val="000000"/>
                      <w:spacing w:val="0"/>
                      <w:kern w:val="0"/>
                      <w:sz w:val="21"/>
                      <w:szCs w:val="21"/>
                      <w:lang w:val="en-US" w:eastAsia="zh-CN" w:bidi="ar-SA"/>
                    </w:rPr>
                    <w:t>监测点位</w:t>
                  </w:r>
                </w:p>
              </w:tc>
              <w:tc>
                <w:tcPr>
                  <w:tcW w:w="1012" w:type="pct"/>
                  <w:tcBorders>
                    <w:top w:val="single" w:color="000000" w:sz="12" w:space="0"/>
                    <w:left w:val="single" w:color="000000" w:sz="4" w:space="0"/>
                    <w:bottom w:val="single" w:color="000000" w:sz="4" w:space="0"/>
                    <w:right w:val="single" w:color="000000" w:sz="4" w:space="0"/>
                  </w:tcBorders>
                  <w:noWrap w:val="0"/>
                  <w:vAlign w:val="center"/>
                </w:tcPr>
                <w:p w14:paraId="3B07FB16">
                  <w:pPr>
                    <w:widowControl w:val="0"/>
                    <w:adjustRightInd w:val="0"/>
                    <w:snapToGrid w:val="0"/>
                    <w:spacing w:line="240" w:lineRule="auto"/>
                    <w:ind w:firstLine="0" w:firstLineChars="0"/>
                    <w:jc w:val="center"/>
                    <w:rPr>
                      <w:rFonts w:ascii="Times New Roman" w:hAnsi="Times New Roman" w:eastAsia="宋体" w:cs="Times New Roman"/>
                      <w:color w:val="000000"/>
                      <w:spacing w:val="0"/>
                      <w:kern w:val="0"/>
                      <w:sz w:val="21"/>
                      <w:szCs w:val="21"/>
                      <w:lang w:val="en-US" w:eastAsia="zh-CN" w:bidi="ar-SA"/>
                    </w:rPr>
                  </w:pPr>
                  <w:r>
                    <w:rPr>
                      <w:rFonts w:hint="eastAsia" w:ascii="Times New Roman" w:hAnsi="Times New Roman" w:eastAsia="宋体" w:cs="Times New Roman"/>
                      <w:color w:val="000000"/>
                      <w:spacing w:val="0"/>
                      <w:kern w:val="0"/>
                      <w:sz w:val="21"/>
                      <w:szCs w:val="21"/>
                      <w:lang w:val="en-US" w:eastAsia="zh-CN" w:bidi="ar-SA"/>
                    </w:rPr>
                    <w:t>监测项目</w:t>
                  </w:r>
                </w:p>
              </w:tc>
              <w:tc>
                <w:tcPr>
                  <w:tcW w:w="626" w:type="pct"/>
                  <w:tcBorders>
                    <w:top w:val="single" w:color="000000" w:sz="12" w:space="0"/>
                    <w:left w:val="single" w:color="000000" w:sz="4" w:space="0"/>
                    <w:bottom w:val="single" w:color="000000" w:sz="4" w:space="0"/>
                    <w:right w:val="single" w:color="000000" w:sz="4" w:space="0"/>
                  </w:tcBorders>
                  <w:noWrap w:val="0"/>
                  <w:vAlign w:val="center"/>
                </w:tcPr>
                <w:p w14:paraId="19829E11">
                  <w:pPr>
                    <w:widowControl w:val="0"/>
                    <w:adjustRightInd w:val="0"/>
                    <w:snapToGrid w:val="0"/>
                    <w:spacing w:line="240" w:lineRule="auto"/>
                    <w:ind w:firstLine="0" w:firstLineChars="0"/>
                    <w:jc w:val="center"/>
                    <w:rPr>
                      <w:rFonts w:ascii="Times New Roman" w:hAnsi="Times New Roman" w:eastAsia="宋体" w:cs="Times New Roman"/>
                      <w:color w:val="000000"/>
                      <w:spacing w:val="0"/>
                      <w:kern w:val="0"/>
                      <w:sz w:val="21"/>
                      <w:szCs w:val="21"/>
                      <w:lang w:val="en-US" w:eastAsia="zh-CN" w:bidi="ar-SA"/>
                    </w:rPr>
                  </w:pPr>
                  <w:r>
                    <w:rPr>
                      <w:rFonts w:hint="eastAsia" w:ascii="Times New Roman" w:hAnsi="Times New Roman" w:eastAsia="宋体" w:cs="Times New Roman"/>
                      <w:color w:val="000000"/>
                      <w:spacing w:val="0"/>
                      <w:kern w:val="0"/>
                      <w:sz w:val="21"/>
                      <w:szCs w:val="21"/>
                      <w:lang w:val="en-US" w:eastAsia="zh-CN" w:bidi="ar-SA"/>
                    </w:rPr>
                    <w:t>监测频率</w:t>
                  </w:r>
                </w:p>
              </w:tc>
              <w:tc>
                <w:tcPr>
                  <w:tcW w:w="2062" w:type="pct"/>
                  <w:tcBorders>
                    <w:top w:val="single" w:color="000000" w:sz="12" w:space="0"/>
                    <w:left w:val="single" w:color="000000" w:sz="4" w:space="0"/>
                    <w:bottom w:val="single" w:color="000000" w:sz="4" w:space="0"/>
                    <w:right w:val="nil"/>
                  </w:tcBorders>
                  <w:noWrap w:val="0"/>
                  <w:vAlign w:val="center"/>
                </w:tcPr>
                <w:p w14:paraId="10EEBF40">
                  <w:pPr>
                    <w:widowControl w:val="0"/>
                    <w:adjustRightInd w:val="0"/>
                    <w:snapToGrid w:val="0"/>
                    <w:spacing w:line="240" w:lineRule="auto"/>
                    <w:ind w:firstLine="0" w:firstLineChars="0"/>
                    <w:jc w:val="center"/>
                    <w:rPr>
                      <w:rFonts w:ascii="Times New Roman" w:hAnsi="Times New Roman" w:eastAsia="宋体" w:cs="Times New Roman"/>
                      <w:color w:val="000000"/>
                      <w:spacing w:val="0"/>
                      <w:kern w:val="0"/>
                      <w:sz w:val="21"/>
                      <w:szCs w:val="21"/>
                      <w:lang w:val="en-US" w:eastAsia="zh-CN" w:bidi="ar-SA"/>
                    </w:rPr>
                  </w:pPr>
                  <w:r>
                    <w:rPr>
                      <w:rFonts w:hint="eastAsia" w:ascii="Times New Roman" w:hAnsi="Times New Roman" w:eastAsia="宋体" w:cs="Times New Roman"/>
                      <w:color w:val="000000"/>
                      <w:spacing w:val="0"/>
                      <w:kern w:val="0"/>
                      <w:sz w:val="21"/>
                      <w:szCs w:val="21"/>
                      <w:lang w:val="en-US" w:eastAsia="zh-CN" w:bidi="ar-SA"/>
                    </w:rPr>
                    <w:t>排放标准</w:t>
                  </w:r>
                </w:p>
              </w:tc>
            </w:tr>
            <w:tr w14:paraId="21B80EC9">
              <w:tblPrEx>
                <w:tblBorders>
                  <w:top w:val="single" w:color="000000" w:sz="12" w:space="0"/>
                  <w:left w:val="none" w:color="auto" w:sz="6" w:space="0"/>
                  <w:bottom w:val="single" w:color="000000" w:sz="12" w:space="0"/>
                  <w:right w:val="none" w:color="auto" w:sz="6" w:space="0"/>
                  <w:insideH w:val="single" w:color="000000" w:sz="4" w:space="0"/>
                  <w:insideV w:val="single" w:color="000000" w:sz="4" w:space="0"/>
                </w:tblBorders>
                <w:tblCellMar>
                  <w:top w:w="0" w:type="dxa"/>
                  <w:left w:w="0" w:type="dxa"/>
                  <w:bottom w:w="0" w:type="dxa"/>
                  <w:right w:w="0" w:type="dxa"/>
                </w:tblCellMar>
              </w:tblPrEx>
              <w:tc>
                <w:tcPr>
                  <w:tcW w:w="525" w:type="pct"/>
                  <w:tcBorders>
                    <w:top w:val="single" w:color="000000" w:sz="4" w:space="0"/>
                    <w:left w:val="nil"/>
                    <w:bottom w:val="single" w:color="000000" w:sz="12" w:space="0"/>
                    <w:right w:val="single" w:color="000000" w:sz="4" w:space="0"/>
                  </w:tcBorders>
                  <w:noWrap w:val="0"/>
                  <w:vAlign w:val="center"/>
                </w:tcPr>
                <w:p w14:paraId="20379390">
                  <w:pPr>
                    <w:widowControl w:val="0"/>
                    <w:adjustRightInd w:val="0"/>
                    <w:snapToGrid w:val="0"/>
                    <w:spacing w:line="240" w:lineRule="auto"/>
                    <w:ind w:firstLine="0" w:firstLineChars="0"/>
                    <w:jc w:val="center"/>
                    <w:rPr>
                      <w:rFonts w:ascii="Times New Roman" w:hAnsi="Times New Roman" w:eastAsia="宋体" w:cs="Times New Roman"/>
                      <w:color w:val="000000"/>
                      <w:spacing w:val="0"/>
                      <w:kern w:val="0"/>
                      <w:sz w:val="21"/>
                      <w:szCs w:val="21"/>
                      <w:lang w:val="en-US" w:eastAsia="zh-CN" w:bidi="ar-SA"/>
                    </w:rPr>
                  </w:pPr>
                  <w:r>
                    <w:rPr>
                      <w:rFonts w:hint="eastAsia" w:ascii="Times New Roman" w:hAnsi="Times New Roman" w:eastAsia="宋体" w:cs="Times New Roman"/>
                      <w:color w:val="000000"/>
                      <w:spacing w:val="0"/>
                      <w:kern w:val="0"/>
                      <w:sz w:val="21"/>
                      <w:szCs w:val="21"/>
                      <w:lang w:val="en-US" w:eastAsia="zh-CN" w:bidi="ar-SA"/>
                    </w:rPr>
                    <w:t>噪声</w:t>
                  </w:r>
                </w:p>
              </w:tc>
              <w:tc>
                <w:tcPr>
                  <w:tcW w:w="773" w:type="pct"/>
                  <w:tcBorders>
                    <w:top w:val="single" w:color="000000" w:sz="4" w:space="0"/>
                    <w:left w:val="single" w:color="000000" w:sz="4" w:space="0"/>
                    <w:bottom w:val="single" w:color="000000" w:sz="12" w:space="0"/>
                    <w:right w:val="single" w:color="000000" w:sz="4" w:space="0"/>
                  </w:tcBorders>
                  <w:noWrap w:val="0"/>
                  <w:vAlign w:val="center"/>
                </w:tcPr>
                <w:p w14:paraId="7C030748">
                  <w:pPr>
                    <w:widowControl w:val="0"/>
                    <w:adjustRightInd w:val="0"/>
                    <w:snapToGrid w:val="0"/>
                    <w:spacing w:line="240" w:lineRule="auto"/>
                    <w:ind w:firstLine="0" w:firstLineChars="0"/>
                    <w:jc w:val="center"/>
                    <w:rPr>
                      <w:rFonts w:ascii="Times New Roman" w:hAnsi="Times New Roman" w:eastAsia="宋体" w:cs="Times New Roman"/>
                      <w:color w:val="000000"/>
                      <w:spacing w:val="0"/>
                      <w:kern w:val="0"/>
                      <w:sz w:val="21"/>
                      <w:szCs w:val="21"/>
                      <w:lang w:val="en-US" w:eastAsia="zh-CN" w:bidi="ar-SA"/>
                    </w:rPr>
                  </w:pPr>
                  <w:r>
                    <w:rPr>
                      <w:rFonts w:hint="eastAsia" w:ascii="Times New Roman" w:hAnsi="Times New Roman" w:eastAsia="宋体" w:cs="Times New Roman"/>
                      <w:color w:val="000000"/>
                      <w:spacing w:val="0"/>
                      <w:kern w:val="0"/>
                      <w:sz w:val="21"/>
                      <w:szCs w:val="21"/>
                      <w:lang w:val="en-US" w:eastAsia="zh-CN" w:bidi="ar-SA"/>
                    </w:rPr>
                    <w:t>厂界</w:t>
                  </w:r>
                </w:p>
              </w:tc>
              <w:tc>
                <w:tcPr>
                  <w:tcW w:w="1012" w:type="pct"/>
                  <w:tcBorders>
                    <w:top w:val="single" w:color="000000" w:sz="4" w:space="0"/>
                    <w:left w:val="single" w:color="000000" w:sz="4" w:space="0"/>
                    <w:bottom w:val="single" w:color="000000" w:sz="12" w:space="0"/>
                    <w:right w:val="single" w:color="000000" w:sz="4" w:space="0"/>
                  </w:tcBorders>
                  <w:noWrap w:val="0"/>
                  <w:vAlign w:val="center"/>
                </w:tcPr>
                <w:p w14:paraId="74F9BB4D">
                  <w:pPr>
                    <w:widowControl w:val="0"/>
                    <w:adjustRightInd w:val="0"/>
                    <w:snapToGrid w:val="0"/>
                    <w:spacing w:line="240" w:lineRule="auto"/>
                    <w:ind w:firstLine="0" w:firstLineChars="0"/>
                    <w:jc w:val="center"/>
                    <w:rPr>
                      <w:rFonts w:ascii="Times New Roman" w:hAnsi="Times New Roman" w:eastAsia="宋体" w:cs="Times New Roman"/>
                      <w:color w:val="000000"/>
                      <w:spacing w:val="0"/>
                      <w:kern w:val="0"/>
                      <w:sz w:val="21"/>
                      <w:szCs w:val="21"/>
                      <w:lang w:val="en-US" w:eastAsia="zh-CN" w:bidi="ar-SA"/>
                    </w:rPr>
                  </w:pPr>
                  <w:r>
                    <w:rPr>
                      <w:rFonts w:hint="eastAsia" w:ascii="Times New Roman" w:hAnsi="Times New Roman" w:eastAsia="宋体" w:cs="Times New Roman"/>
                      <w:color w:val="000000"/>
                      <w:spacing w:val="0"/>
                      <w:kern w:val="0"/>
                      <w:sz w:val="21"/>
                      <w:szCs w:val="21"/>
                      <w:lang w:val="en-US" w:eastAsia="zh-CN" w:bidi="ar-SA"/>
                    </w:rPr>
                    <w:t>等效连续</w:t>
                  </w:r>
                  <w:r>
                    <w:rPr>
                      <w:rFonts w:ascii="Times New Roman" w:hAnsi="Times New Roman" w:eastAsia="宋体" w:cs="Times New Roman"/>
                      <w:color w:val="000000"/>
                      <w:spacing w:val="0"/>
                      <w:kern w:val="0"/>
                      <w:sz w:val="21"/>
                      <w:szCs w:val="21"/>
                      <w:lang w:val="en-US" w:eastAsia="zh-CN" w:bidi="ar-SA"/>
                    </w:rPr>
                    <w:t>A</w:t>
                  </w:r>
                  <w:r>
                    <w:rPr>
                      <w:rFonts w:hint="eastAsia" w:ascii="Times New Roman" w:hAnsi="Times New Roman" w:eastAsia="宋体" w:cs="Times New Roman"/>
                      <w:color w:val="000000"/>
                      <w:spacing w:val="0"/>
                      <w:kern w:val="0"/>
                      <w:sz w:val="21"/>
                      <w:szCs w:val="21"/>
                      <w:lang w:val="en-US" w:eastAsia="zh-CN" w:bidi="ar-SA"/>
                    </w:rPr>
                    <w:t>声级</w:t>
                  </w:r>
                </w:p>
              </w:tc>
              <w:tc>
                <w:tcPr>
                  <w:tcW w:w="626" w:type="pct"/>
                  <w:tcBorders>
                    <w:top w:val="single" w:color="000000" w:sz="4" w:space="0"/>
                    <w:left w:val="single" w:color="000000" w:sz="4" w:space="0"/>
                    <w:bottom w:val="single" w:color="000000" w:sz="12" w:space="0"/>
                    <w:right w:val="single" w:color="000000" w:sz="4" w:space="0"/>
                  </w:tcBorders>
                  <w:noWrap w:val="0"/>
                  <w:vAlign w:val="center"/>
                </w:tcPr>
                <w:p w14:paraId="51C42C21">
                  <w:pPr>
                    <w:widowControl w:val="0"/>
                    <w:adjustRightInd w:val="0"/>
                    <w:snapToGrid w:val="0"/>
                    <w:spacing w:line="240" w:lineRule="auto"/>
                    <w:ind w:firstLine="0" w:firstLineChars="0"/>
                    <w:jc w:val="center"/>
                    <w:rPr>
                      <w:rFonts w:hint="eastAsia" w:ascii="Times New Roman" w:hAnsi="Times New Roman" w:eastAsia="宋体" w:cs="Times New Roman"/>
                      <w:color w:val="000000"/>
                      <w:spacing w:val="0"/>
                      <w:kern w:val="0"/>
                      <w:sz w:val="21"/>
                      <w:szCs w:val="21"/>
                      <w:lang w:val="en-US" w:eastAsia="zh-CN" w:bidi="ar-SA"/>
                    </w:rPr>
                  </w:pPr>
                  <w:r>
                    <w:rPr>
                      <w:rFonts w:hint="eastAsia" w:ascii="Times New Roman" w:hAnsi="Times New Roman" w:eastAsia="宋体" w:cs="Times New Roman"/>
                      <w:color w:val="000000"/>
                      <w:spacing w:val="0"/>
                      <w:kern w:val="0"/>
                      <w:sz w:val="21"/>
                      <w:szCs w:val="21"/>
                      <w:lang w:val="en-US" w:eastAsia="zh-CN" w:bidi="ar-SA"/>
                    </w:rPr>
                    <w:t>季度</w:t>
                  </w:r>
                </w:p>
              </w:tc>
              <w:tc>
                <w:tcPr>
                  <w:tcW w:w="2062" w:type="pct"/>
                  <w:tcBorders>
                    <w:top w:val="single" w:color="000000" w:sz="4" w:space="0"/>
                    <w:left w:val="single" w:color="000000" w:sz="4" w:space="0"/>
                    <w:bottom w:val="single" w:color="000000" w:sz="12" w:space="0"/>
                    <w:right w:val="nil"/>
                  </w:tcBorders>
                  <w:noWrap w:val="0"/>
                  <w:vAlign w:val="center"/>
                </w:tcPr>
                <w:p w14:paraId="2B9CA768">
                  <w:pPr>
                    <w:widowControl w:val="0"/>
                    <w:adjustRightInd w:val="0"/>
                    <w:snapToGrid w:val="0"/>
                    <w:spacing w:line="240" w:lineRule="auto"/>
                    <w:ind w:firstLine="0" w:firstLineChars="0"/>
                    <w:jc w:val="center"/>
                    <w:rPr>
                      <w:rFonts w:hint="eastAsia" w:ascii="Times New Roman" w:hAnsi="Times New Roman" w:eastAsia="宋体" w:cs="Times New Roman"/>
                      <w:color w:val="000000"/>
                      <w:spacing w:val="0"/>
                      <w:kern w:val="0"/>
                      <w:sz w:val="21"/>
                      <w:szCs w:val="21"/>
                      <w:lang w:val="en-US" w:eastAsia="zh-CN" w:bidi="ar-SA"/>
                    </w:rPr>
                  </w:pPr>
                  <w:r>
                    <w:rPr>
                      <w:rFonts w:hint="eastAsia" w:ascii="Times New Roman" w:hAnsi="Times New Roman" w:eastAsia="宋体" w:cs="Times New Roman"/>
                      <w:color w:val="000000"/>
                      <w:spacing w:val="0"/>
                      <w:kern w:val="0"/>
                      <w:sz w:val="21"/>
                      <w:szCs w:val="21"/>
                      <w:lang w:val="en-US" w:eastAsia="zh-CN" w:bidi="ar-SA"/>
                    </w:rPr>
                    <w:t>《工业企业厂界环境噪声排放标准》（</w:t>
                  </w:r>
                  <w:r>
                    <w:rPr>
                      <w:rFonts w:ascii="Times New Roman" w:hAnsi="Times New Roman" w:eastAsia="宋体" w:cs="Times New Roman"/>
                      <w:color w:val="000000"/>
                      <w:spacing w:val="0"/>
                      <w:kern w:val="0"/>
                      <w:sz w:val="21"/>
                      <w:szCs w:val="21"/>
                      <w:lang w:val="en-US" w:eastAsia="zh-CN" w:bidi="ar-SA"/>
                    </w:rPr>
                    <w:t>GB12348-2008</w:t>
                  </w:r>
                  <w:r>
                    <w:rPr>
                      <w:rFonts w:hint="eastAsia" w:ascii="Times New Roman" w:hAnsi="Times New Roman" w:eastAsia="宋体" w:cs="Times New Roman"/>
                      <w:color w:val="000000"/>
                      <w:spacing w:val="0"/>
                      <w:kern w:val="0"/>
                      <w:sz w:val="21"/>
                      <w:szCs w:val="21"/>
                      <w:lang w:val="en-US" w:eastAsia="zh-CN" w:bidi="ar-SA"/>
                    </w:rPr>
                    <w:t>）</w:t>
                  </w:r>
                  <w:r>
                    <w:rPr>
                      <w:rFonts w:ascii="Times New Roman" w:hAnsi="Times New Roman" w:eastAsia="宋体" w:cs="Times New Roman"/>
                      <w:color w:val="000000"/>
                      <w:spacing w:val="0"/>
                      <w:kern w:val="0"/>
                      <w:sz w:val="21"/>
                      <w:szCs w:val="21"/>
                      <w:lang w:val="en-US" w:eastAsia="zh-CN" w:bidi="ar-SA"/>
                    </w:rPr>
                    <w:t>3</w:t>
                  </w:r>
                  <w:r>
                    <w:rPr>
                      <w:rFonts w:hint="eastAsia" w:ascii="Times New Roman" w:hAnsi="Times New Roman" w:eastAsia="宋体" w:cs="Times New Roman"/>
                      <w:color w:val="000000"/>
                      <w:spacing w:val="0"/>
                      <w:kern w:val="0"/>
                      <w:sz w:val="21"/>
                      <w:szCs w:val="21"/>
                      <w:lang w:val="en-US" w:eastAsia="zh-CN" w:bidi="ar-SA"/>
                    </w:rPr>
                    <w:t>类区排放标准</w:t>
                  </w:r>
                </w:p>
              </w:tc>
            </w:tr>
          </w:tbl>
          <w:p w14:paraId="3F2C3716">
            <w:pPr>
              <w:spacing w:line="360" w:lineRule="auto"/>
              <w:rPr>
                <w:rFonts w:ascii="Times New Roman" w:hAnsi="Times New Roman" w:eastAsia="宋体" w:cs="Times New Roman"/>
                <w:b/>
                <w:bCs/>
                <w:color w:val="000000"/>
                <w:spacing w:val="0"/>
                <w:kern w:val="0"/>
                <w:sz w:val="24"/>
              </w:rPr>
            </w:pPr>
            <w:r>
              <w:rPr>
                <w:rFonts w:ascii="Times New Roman" w:hAnsi="Times New Roman" w:eastAsia="宋体" w:cs="Times New Roman"/>
                <w:b/>
                <w:bCs/>
                <w:color w:val="000000"/>
                <w:spacing w:val="0"/>
                <w:kern w:val="0"/>
                <w:sz w:val="24"/>
              </w:rPr>
              <w:t>4固废</w:t>
            </w:r>
          </w:p>
          <w:p w14:paraId="3F68AE36">
            <w:pPr>
              <w:spacing w:line="360" w:lineRule="auto"/>
              <w:ind w:firstLine="480" w:firstLineChars="200"/>
              <w:rPr>
                <w:rFonts w:ascii="Times New Roman" w:hAnsi="Times New Roman" w:eastAsia="宋体" w:cs="Times New Roman"/>
                <w:color w:val="000000"/>
                <w:spacing w:val="0"/>
                <w:kern w:val="0"/>
                <w:sz w:val="24"/>
              </w:rPr>
            </w:pPr>
            <w:r>
              <w:rPr>
                <w:rFonts w:ascii="Times New Roman" w:hAnsi="Times New Roman" w:eastAsia="宋体" w:cs="Times New Roman"/>
                <w:color w:val="000000"/>
                <w:spacing w:val="0"/>
                <w:kern w:val="0"/>
                <w:sz w:val="24"/>
              </w:rPr>
              <w:t>本项目产生的固体废物主要</w:t>
            </w:r>
            <w:r>
              <w:rPr>
                <w:rFonts w:hint="eastAsia" w:ascii="Times New Roman" w:hAnsi="Times New Roman" w:eastAsia="宋体" w:cs="Times New Roman"/>
                <w:color w:val="000000"/>
                <w:spacing w:val="0"/>
                <w:kern w:val="0"/>
                <w:sz w:val="24"/>
              </w:rPr>
              <w:t>为一般工业固废和危险废物。</w:t>
            </w:r>
          </w:p>
          <w:p w14:paraId="43A7B3CB">
            <w:pPr>
              <w:spacing w:line="360" w:lineRule="auto"/>
              <w:ind w:firstLine="482" w:firstLineChars="200"/>
              <w:rPr>
                <w:rFonts w:hint="eastAsia" w:ascii="Times New Roman" w:hAnsi="Times New Roman" w:eastAsia="宋体" w:cs="Times New Roman"/>
                <w:b/>
                <w:bCs/>
                <w:color w:val="000000"/>
                <w:spacing w:val="0"/>
                <w:kern w:val="0"/>
                <w:sz w:val="24"/>
                <w:lang w:val="en-US" w:eastAsia="zh-CN"/>
              </w:rPr>
            </w:pPr>
            <w:r>
              <w:rPr>
                <w:rFonts w:hint="eastAsia" w:ascii="Times New Roman" w:hAnsi="Times New Roman" w:eastAsia="宋体" w:cs="Times New Roman"/>
                <w:b/>
                <w:bCs/>
                <w:color w:val="000000"/>
                <w:spacing w:val="0"/>
                <w:kern w:val="0"/>
                <w:sz w:val="24"/>
                <w:lang w:val="en-US" w:eastAsia="zh-CN"/>
              </w:rPr>
              <w:t>4.1生活垃圾</w:t>
            </w:r>
          </w:p>
          <w:p w14:paraId="2336841D">
            <w:pPr>
              <w:spacing w:line="360" w:lineRule="auto"/>
              <w:ind w:firstLine="480" w:firstLineChars="200"/>
              <w:rPr>
                <w:rFonts w:hint="default" w:ascii="Times New Roman" w:hAnsi="Times New Roman" w:eastAsia="宋体" w:cs="Times New Roman"/>
                <w:color w:val="000000"/>
                <w:spacing w:val="0"/>
                <w:kern w:val="0"/>
                <w:sz w:val="24"/>
                <w:lang w:val="en-US" w:eastAsia="zh-CN"/>
              </w:rPr>
            </w:pPr>
            <w:r>
              <w:rPr>
                <w:rFonts w:hint="default" w:ascii="Times New Roman" w:hAnsi="Times New Roman" w:eastAsia="宋体" w:cs="Times New Roman"/>
                <w:color w:val="000000"/>
                <w:spacing w:val="0"/>
                <w:kern w:val="0"/>
                <w:sz w:val="24"/>
                <w:lang w:val="en-US" w:eastAsia="zh-CN"/>
              </w:rPr>
              <w:t>项目拟定员15人，工作人员均在项目区内居住，所产生的生活垃圾按0.5kg/人·日计算，则年产生总量为</w:t>
            </w:r>
            <w:r>
              <w:rPr>
                <w:rFonts w:hint="eastAsia" w:ascii="Times New Roman" w:hAnsi="Times New Roman" w:eastAsia="宋体" w:cs="Times New Roman"/>
                <w:color w:val="000000"/>
                <w:spacing w:val="0"/>
                <w:kern w:val="0"/>
                <w:sz w:val="24"/>
                <w:lang w:val="en-US" w:eastAsia="zh-CN"/>
              </w:rPr>
              <w:t>2.25</w:t>
            </w:r>
            <w:r>
              <w:rPr>
                <w:rFonts w:hint="default" w:ascii="Times New Roman" w:hAnsi="Times New Roman" w:eastAsia="宋体" w:cs="Times New Roman"/>
                <w:color w:val="000000"/>
                <w:spacing w:val="0"/>
                <w:kern w:val="0"/>
                <w:sz w:val="24"/>
                <w:lang w:val="en-US" w:eastAsia="zh-CN"/>
              </w:rPr>
              <w:t>t，生活垃圾交由环卫部门统一清运。</w:t>
            </w:r>
          </w:p>
          <w:p w14:paraId="58CCF40D">
            <w:pPr>
              <w:spacing w:line="360" w:lineRule="auto"/>
              <w:ind w:firstLine="482" w:firstLineChars="200"/>
              <w:rPr>
                <w:rFonts w:ascii="Times New Roman" w:hAnsi="Times New Roman" w:eastAsia="宋体" w:cs="Times New Roman"/>
                <w:b/>
                <w:bCs/>
                <w:color w:val="000000"/>
                <w:spacing w:val="0"/>
                <w:kern w:val="0"/>
                <w:sz w:val="24"/>
              </w:rPr>
            </w:pPr>
            <w:r>
              <w:rPr>
                <w:rFonts w:ascii="Times New Roman" w:hAnsi="Times New Roman" w:eastAsia="宋体" w:cs="Times New Roman"/>
                <w:b/>
                <w:bCs/>
                <w:color w:val="000000"/>
                <w:spacing w:val="0"/>
                <w:kern w:val="0"/>
                <w:sz w:val="24"/>
              </w:rPr>
              <w:t>4.2一般工业固体废物</w:t>
            </w:r>
          </w:p>
          <w:p w14:paraId="1828F850">
            <w:pPr>
              <w:spacing w:line="360" w:lineRule="auto"/>
              <w:ind w:firstLine="480" w:firstLineChars="200"/>
              <w:rPr>
                <w:rFonts w:ascii="Times New Roman" w:hAnsi="Times New Roman" w:eastAsia="宋体" w:cs="Times New Roman"/>
                <w:color w:val="000000"/>
                <w:spacing w:val="0"/>
                <w:kern w:val="0"/>
                <w:sz w:val="24"/>
              </w:rPr>
            </w:pPr>
            <w:r>
              <w:rPr>
                <w:rFonts w:ascii="Times New Roman" w:hAnsi="Times New Roman" w:eastAsia="宋体" w:cs="Times New Roman"/>
                <w:color w:val="000000"/>
                <w:spacing w:val="0"/>
                <w:kern w:val="0"/>
                <w:sz w:val="24"/>
              </w:rPr>
              <w:t>（1）除尘器收集粉尘</w:t>
            </w:r>
          </w:p>
          <w:p w14:paraId="0FFCD45A">
            <w:pPr>
              <w:spacing w:line="360" w:lineRule="auto"/>
              <w:ind w:firstLine="480" w:firstLineChars="200"/>
              <w:rPr>
                <w:rFonts w:hint="default" w:ascii="Times New Roman" w:hAnsi="Times New Roman" w:eastAsia="宋体" w:cs="Times New Roman"/>
                <w:color w:val="000000"/>
                <w:spacing w:val="0"/>
                <w:kern w:val="0"/>
                <w:sz w:val="24"/>
                <w:lang w:val="en-US" w:eastAsia="zh-CN"/>
              </w:rPr>
            </w:pPr>
            <w:r>
              <w:rPr>
                <w:rFonts w:hint="eastAsia" w:ascii="Times New Roman" w:hAnsi="Times New Roman" w:eastAsia="宋体" w:cs="Times New Roman"/>
                <w:color w:val="000000"/>
                <w:spacing w:val="0"/>
                <w:kern w:val="0"/>
                <w:sz w:val="24"/>
                <w:lang w:val="en-US" w:eastAsia="zh-CN"/>
              </w:rPr>
              <w:t>本项目除尘器收集的除尘灰集中收集后重回至生产线内</w:t>
            </w:r>
            <w:r>
              <w:rPr>
                <w:rFonts w:hint="eastAsia" w:cs="Times New Roman"/>
                <w:color w:val="000000"/>
                <w:spacing w:val="0"/>
                <w:kern w:val="0"/>
                <w:sz w:val="24"/>
                <w:lang w:val="en-US" w:eastAsia="zh-CN"/>
              </w:rPr>
              <w:t>，根据源强核算布袋除尘器收集粉尘为398215.877t/a</w:t>
            </w:r>
            <w:r>
              <w:rPr>
                <w:rFonts w:hint="eastAsia" w:ascii="Times New Roman" w:hAnsi="Times New Roman" w:eastAsia="宋体" w:cs="Times New Roman"/>
                <w:color w:val="000000"/>
                <w:spacing w:val="0"/>
                <w:kern w:val="0"/>
                <w:sz w:val="24"/>
                <w:lang w:val="en-US" w:eastAsia="zh-CN"/>
              </w:rPr>
              <w:t>，不外排。</w:t>
            </w:r>
          </w:p>
          <w:p w14:paraId="38E7CA2D">
            <w:pPr>
              <w:spacing w:line="360" w:lineRule="auto"/>
              <w:ind w:firstLine="480" w:firstLineChars="200"/>
              <w:rPr>
                <w:rFonts w:ascii="Times New Roman" w:hAnsi="Times New Roman" w:eastAsia="宋体" w:cs="Times New Roman"/>
                <w:color w:val="000000"/>
                <w:spacing w:val="0"/>
                <w:kern w:val="0"/>
                <w:sz w:val="24"/>
              </w:rPr>
            </w:pPr>
            <w:r>
              <w:rPr>
                <w:rFonts w:ascii="Times New Roman" w:hAnsi="Times New Roman" w:eastAsia="宋体" w:cs="Times New Roman"/>
                <w:color w:val="000000"/>
                <w:spacing w:val="0"/>
                <w:kern w:val="0"/>
                <w:sz w:val="24"/>
              </w:rPr>
              <w:t>（2）</w:t>
            </w:r>
            <w:r>
              <w:rPr>
                <w:rFonts w:hint="eastAsia" w:ascii="Times New Roman" w:hAnsi="Times New Roman" w:eastAsia="宋体" w:cs="Times New Roman"/>
                <w:color w:val="000000"/>
                <w:spacing w:val="0"/>
                <w:kern w:val="0"/>
                <w:sz w:val="24"/>
              </w:rPr>
              <w:t>沉降粉尘</w:t>
            </w:r>
          </w:p>
          <w:p w14:paraId="2456B081">
            <w:pPr>
              <w:spacing w:line="360" w:lineRule="auto"/>
              <w:ind w:firstLine="480" w:firstLineChars="200"/>
              <w:rPr>
                <w:rFonts w:ascii="Times New Roman" w:hAnsi="Times New Roman" w:eastAsia="宋体" w:cs="Times New Roman"/>
                <w:color w:val="000000"/>
                <w:spacing w:val="0"/>
                <w:kern w:val="0"/>
                <w:sz w:val="24"/>
              </w:rPr>
            </w:pPr>
            <w:r>
              <w:rPr>
                <w:rFonts w:ascii="Times New Roman" w:hAnsi="Times New Roman" w:eastAsia="宋体" w:cs="Times New Roman"/>
                <w:color w:val="000000"/>
                <w:spacing w:val="0"/>
                <w:kern w:val="0"/>
                <w:sz w:val="24"/>
              </w:rPr>
              <w:t>本项目</w:t>
            </w:r>
            <w:r>
              <w:rPr>
                <w:rFonts w:hint="eastAsia" w:ascii="Times New Roman" w:hAnsi="Times New Roman" w:eastAsia="宋体" w:cs="Times New Roman"/>
                <w:color w:val="000000"/>
                <w:spacing w:val="0"/>
                <w:kern w:val="0"/>
                <w:sz w:val="24"/>
              </w:rPr>
              <w:t>粉尘沉降在厂房内，依据核算沉降粉尘量为</w:t>
            </w:r>
            <w:r>
              <w:rPr>
                <w:rFonts w:hint="eastAsia" w:cs="Times New Roman"/>
                <w:color w:val="000000"/>
                <w:spacing w:val="0"/>
                <w:kern w:val="0"/>
                <w:sz w:val="24"/>
                <w:lang w:val="en-US" w:eastAsia="zh-CN"/>
              </w:rPr>
              <w:t>358.482</w:t>
            </w:r>
            <w:r>
              <w:rPr>
                <w:rFonts w:hint="eastAsia" w:ascii="Times New Roman" w:hAnsi="Times New Roman" w:eastAsia="宋体" w:cs="Times New Roman"/>
                <w:color w:val="000000"/>
                <w:spacing w:val="0"/>
                <w:kern w:val="0"/>
                <w:sz w:val="24"/>
              </w:rPr>
              <w:t>t/a，</w:t>
            </w:r>
            <w:r>
              <w:rPr>
                <w:rFonts w:hint="eastAsia" w:ascii="Times New Roman" w:hAnsi="Times New Roman" w:eastAsia="宋体" w:cs="Times New Roman"/>
                <w:color w:val="000000"/>
                <w:spacing w:val="0"/>
                <w:kern w:val="0"/>
                <w:sz w:val="24"/>
                <w:lang w:val="en-US" w:eastAsia="zh-CN"/>
              </w:rPr>
              <w:t>定期清扫后重新回用于生产</w:t>
            </w:r>
            <w:r>
              <w:rPr>
                <w:rFonts w:hint="eastAsia" w:ascii="Times New Roman" w:hAnsi="Times New Roman" w:eastAsia="宋体" w:cs="Times New Roman"/>
                <w:color w:val="000000"/>
                <w:spacing w:val="0"/>
                <w:kern w:val="0"/>
                <w:sz w:val="24"/>
              </w:rPr>
              <w:t>。</w:t>
            </w:r>
          </w:p>
          <w:p w14:paraId="7A8A2D82">
            <w:pPr>
              <w:spacing w:line="360" w:lineRule="auto"/>
              <w:ind w:firstLine="480" w:firstLineChars="200"/>
              <w:rPr>
                <w:rFonts w:hint="eastAsia" w:ascii="Times New Roman" w:hAnsi="Times New Roman" w:eastAsia="宋体" w:cs="Times New Roman"/>
                <w:color w:val="000000"/>
                <w:spacing w:val="0"/>
                <w:kern w:val="0"/>
                <w:sz w:val="24"/>
              </w:rPr>
            </w:pPr>
            <w:r>
              <w:rPr>
                <w:rFonts w:hint="eastAsia" w:ascii="Times New Roman" w:hAnsi="Times New Roman" w:eastAsia="宋体" w:cs="Times New Roman"/>
                <w:color w:val="000000"/>
                <w:spacing w:val="0"/>
                <w:kern w:val="0"/>
                <w:sz w:val="24"/>
              </w:rPr>
              <w:t>（3）废包装袋</w:t>
            </w:r>
          </w:p>
          <w:p w14:paraId="475BF448">
            <w:pPr>
              <w:spacing w:line="360" w:lineRule="auto"/>
              <w:ind w:firstLine="480" w:firstLineChars="200"/>
              <w:rPr>
                <w:rFonts w:ascii="Times New Roman" w:hAnsi="Times New Roman" w:eastAsia="宋体" w:cs="Times New Roman"/>
                <w:color w:val="000000"/>
                <w:spacing w:val="0"/>
                <w:kern w:val="0"/>
                <w:sz w:val="24"/>
              </w:rPr>
            </w:pPr>
            <w:r>
              <w:rPr>
                <w:rFonts w:hint="eastAsia" w:ascii="Times New Roman" w:hAnsi="Times New Roman" w:eastAsia="宋体" w:cs="Times New Roman"/>
                <w:color w:val="000000"/>
                <w:spacing w:val="0"/>
                <w:kern w:val="0"/>
                <w:sz w:val="24"/>
              </w:rPr>
              <w:t>本项目会产生废包装袋，其产生量约为</w:t>
            </w:r>
            <w:r>
              <w:rPr>
                <w:rFonts w:hint="eastAsia" w:ascii="Times New Roman" w:hAnsi="Times New Roman" w:eastAsia="宋体" w:cs="Times New Roman"/>
                <w:color w:val="000000"/>
                <w:spacing w:val="0"/>
                <w:kern w:val="0"/>
                <w:sz w:val="24"/>
                <w:lang w:val="en-US" w:eastAsia="zh-CN"/>
              </w:rPr>
              <w:t>10</w:t>
            </w:r>
            <w:r>
              <w:rPr>
                <w:rFonts w:hint="eastAsia" w:ascii="Times New Roman" w:hAnsi="Times New Roman" w:eastAsia="宋体" w:cs="Times New Roman"/>
                <w:color w:val="000000"/>
                <w:spacing w:val="0"/>
                <w:kern w:val="0"/>
                <w:sz w:val="24"/>
              </w:rPr>
              <w:t>t/a，集中收集后定期交由</w:t>
            </w:r>
            <w:r>
              <w:rPr>
                <w:rFonts w:hint="eastAsia" w:ascii="Times New Roman" w:hAnsi="Times New Roman" w:eastAsia="宋体" w:cs="Times New Roman"/>
                <w:color w:val="000000"/>
                <w:spacing w:val="0"/>
                <w:kern w:val="0"/>
                <w:sz w:val="24"/>
                <w:lang w:val="en-US" w:eastAsia="zh-CN"/>
              </w:rPr>
              <w:t>一般固废处置单位进行处置</w:t>
            </w:r>
            <w:r>
              <w:rPr>
                <w:rFonts w:hint="eastAsia" w:ascii="Times New Roman" w:hAnsi="Times New Roman" w:eastAsia="宋体" w:cs="Times New Roman"/>
                <w:color w:val="000000"/>
                <w:spacing w:val="0"/>
                <w:kern w:val="0"/>
                <w:sz w:val="24"/>
              </w:rPr>
              <w:t>。</w:t>
            </w:r>
          </w:p>
          <w:p w14:paraId="65BE4D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000000"/>
                <w:spacing w:val="0"/>
                <w:kern w:val="0"/>
                <w:sz w:val="24"/>
                <w:szCs w:val="24"/>
                <w:lang w:val="en-US" w:eastAsia="zh-CN" w:bidi="ar-SA"/>
              </w:rPr>
            </w:pPr>
            <w:r>
              <w:rPr>
                <w:rFonts w:hint="eastAsia" w:ascii="Times New Roman" w:hAnsi="Times New Roman" w:eastAsia="宋体" w:cs="Times New Roman"/>
                <w:color w:val="000000"/>
                <w:spacing w:val="0"/>
                <w:kern w:val="0"/>
                <w:sz w:val="24"/>
                <w:szCs w:val="24"/>
                <w:lang w:val="en-US" w:eastAsia="zh-CN" w:bidi="ar-SA"/>
              </w:rPr>
              <w:t>（4）废布袋</w:t>
            </w:r>
          </w:p>
          <w:p w14:paraId="3F08F1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000000"/>
                <w:spacing w:val="0"/>
                <w:kern w:val="0"/>
                <w:sz w:val="24"/>
                <w:szCs w:val="24"/>
                <w:lang w:val="en-US" w:eastAsia="zh-CN" w:bidi="ar-SA"/>
              </w:rPr>
            </w:pPr>
            <w:r>
              <w:rPr>
                <w:rFonts w:hint="eastAsia" w:ascii="Times New Roman" w:hAnsi="Times New Roman" w:eastAsia="宋体" w:cs="Times New Roman"/>
                <w:color w:val="000000"/>
                <w:spacing w:val="0"/>
                <w:kern w:val="0"/>
                <w:sz w:val="24"/>
                <w:szCs w:val="24"/>
                <w:lang w:val="en-US" w:eastAsia="zh-CN" w:bidi="ar-SA"/>
              </w:rPr>
              <w:t>本项目使用的布袋除尘器需定期更换破损的布袋，产生量约为0.1t/a，集中收集后交由一般固废处置单位进行处理。</w:t>
            </w:r>
          </w:p>
          <w:p w14:paraId="148CC3A0">
            <w:pPr>
              <w:spacing w:line="360" w:lineRule="auto"/>
              <w:ind w:firstLine="480" w:firstLineChars="200"/>
              <w:rPr>
                <w:rFonts w:hint="eastAsia" w:ascii="Times New Roman" w:hAnsi="Times New Roman" w:eastAsia="宋体" w:cs="Times New Roman"/>
                <w:color w:val="000000"/>
                <w:spacing w:val="0"/>
                <w:kern w:val="0"/>
                <w:sz w:val="24"/>
              </w:rPr>
            </w:pPr>
            <w:r>
              <w:rPr>
                <w:rFonts w:hint="eastAsia" w:ascii="Times New Roman" w:hAnsi="Times New Roman" w:eastAsia="宋体" w:cs="Times New Roman"/>
                <w:color w:val="000000"/>
                <w:spacing w:val="0"/>
                <w:kern w:val="0"/>
                <w:sz w:val="24"/>
              </w:rPr>
              <w:t>本项目一般工业固废临时储存场所设置应遵照以下规定：</w:t>
            </w:r>
          </w:p>
          <w:p w14:paraId="16023078">
            <w:pPr>
              <w:spacing w:line="360" w:lineRule="auto"/>
              <w:ind w:firstLine="480" w:firstLineChars="200"/>
              <w:rPr>
                <w:rFonts w:ascii="Times New Roman" w:hAnsi="Times New Roman" w:eastAsia="宋体" w:cs="Times New Roman"/>
                <w:color w:val="000000"/>
                <w:spacing w:val="0"/>
                <w:kern w:val="0"/>
                <w:sz w:val="24"/>
              </w:rPr>
            </w:pPr>
            <w:r>
              <w:rPr>
                <w:rFonts w:hint="eastAsia" w:ascii="宋体" w:hAnsi="宋体" w:eastAsia="宋体" w:cs="宋体"/>
                <w:color w:val="000000"/>
                <w:spacing w:val="0"/>
                <w:kern w:val="0"/>
                <w:sz w:val="24"/>
              </w:rPr>
              <w:t>①</w:t>
            </w:r>
            <w:r>
              <w:rPr>
                <w:rFonts w:hint="eastAsia" w:ascii="Times New Roman" w:hAnsi="Times New Roman" w:eastAsia="宋体" w:cs="Times New Roman"/>
                <w:color w:val="000000"/>
                <w:spacing w:val="0"/>
                <w:kern w:val="0"/>
                <w:sz w:val="24"/>
                <w:lang w:val="en-US" w:eastAsia="zh-CN"/>
              </w:rPr>
              <w:t>一般固废临时储存场所需防扬散、防流失、防渗漏</w:t>
            </w:r>
            <w:r>
              <w:rPr>
                <w:rFonts w:ascii="Times New Roman" w:hAnsi="Times New Roman" w:eastAsia="宋体" w:cs="Times New Roman"/>
                <w:color w:val="000000"/>
                <w:spacing w:val="0"/>
                <w:kern w:val="0"/>
                <w:sz w:val="24"/>
              </w:rPr>
              <w:t>。</w:t>
            </w:r>
          </w:p>
          <w:p w14:paraId="6B30EEC3">
            <w:pPr>
              <w:spacing w:line="360" w:lineRule="auto"/>
              <w:ind w:firstLine="480" w:firstLineChars="200"/>
              <w:rPr>
                <w:rFonts w:ascii="Times New Roman" w:hAnsi="Times New Roman" w:eastAsia="宋体" w:cs="Times New Roman"/>
                <w:color w:val="000000"/>
                <w:spacing w:val="0"/>
                <w:kern w:val="0"/>
                <w:sz w:val="24"/>
              </w:rPr>
            </w:pPr>
            <w:r>
              <w:rPr>
                <w:rFonts w:hint="eastAsia" w:ascii="宋体" w:hAnsi="宋体" w:eastAsia="宋体" w:cs="宋体"/>
                <w:color w:val="000000"/>
                <w:spacing w:val="0"/>
                <w:kern w:val="0"/>
                <w:sz w:val="24"/>
              </w:rPr>
              <w:t>②</w:t>
            </w:r>
            <w:r>
              <w:rPr>
                <w:rFonts w:hint="default" w:ascii="Times New Roman" w:hAnsi="Times New Roman" w:eastAsia="宋体" w:cs="Times New Roman"/>
                <w:color w:val="000000"/>
                <w:spacing w:val="0"/>
                <w:kern w:val="0"/>
                <w:sz w:val="24"/>
                <w:lang w:val="en-US" w:eastAsia="zh-CN"/>
              </w:rPr>
              <w:t>建立台账：建立工业固体废物管理台账，内容包括工业固体废物种类、产生量、流向、贮存、处置等。</w:t>
            </w:r>
          </w:p>
          <w:p w14:paraId="3F738617">
            <w:pPr>
              <w:spacing w:line="360" w:lineRule="auto"/>
              <w:ind w:firstLine="480" w:firstLineChars="200"/>
              <w:rPr>
                <w:rFonts w:ascii="Times New Roman" w:hAnsi="Times New Roman" w:eastAsia="宋体" w:cs="Times New Roman"/>
                <w:color w:val="000000"/>
                <w:spacing w:val="0"/>
                <w:kern w:val="0"/>
                <w:sz w:val="24"/>
              </w:rPr>
            </w:pPr>
            <w:r>
              <w:rPr>
                <w:rFonts w:hint="eastAsia" w:ascii="宋体" w:hAnsi="宋体" w:eastAsia="宋体" w:cs="宋体"/>
                <w:color w:val="000000"/>
                <w:spacing w:val="0"/>
                <w:kern w:val="0"/>
                <w:sz w:val="24"/>
              </w:rPr>
              <w:t>③</w:t>
            </w:r>
            <w:r>
              <w:rPr>
                <w:rFonts w:ascii="Times New Roman" w:hAnsi="Times New Roman" w:eastAsia="宋体" w:cs="Times New Roman"/>
                <w:color w:val="000000"/>
                <w:spacing w:val="0"/>
                <w:kern w:val="0"/>
                <w:sz w:val="24"/>
              </w:rPr>
              <w:t>张贴一般固废贮存场所标牌。</w:t>
            </w:r>
          </w:p>
          <w:p w14:paraId="0BAD28ED">
            <w:pPr>
              <w:spacing w:line="360" w:lineRule="auto"/>
              <w:ind w:firstLine="480" w:firstLineChars="200"/>
              <w:rPr>
                <w:rFonts w:ascii="Times New Roman" w:hAnsi="Times New Roman" w:eastAsia="宋体" w:cs="Times New Roman"/>
                <w:color w:val="000000"/>
                <w:spacing w:val="0"/>
                <w:kern w:val="0"/>
                <w:sz w:val="24"/>
              </w:rPr>
            </w:pPr>
            <w:r>
              <w:rPr>
                <w:rFonts w:hint="eastAsia" w:ascii="宋体" w:hAnsi="宋体" w:eastAsia="宋体" w:cs="宋体"/>
                <w:color w:val="000000"/>
                <w:spacing w:val="0"/>
                <w:kern w:val="0"/>
                <w:sz w:val="24"/>
              </w:rPr>
              <w:t>④</w:t>
            </w:r>
            <w:r>
              <w:rPr>
                <w:rFonts w:ascii="Times New Roman" w:hAnsi="Times New Roman" w:eastAsia="宋体" w:cs="Times New Roman"/>
                <w:color w:val="000000"/>
                <w:spacing w:val="0"/>
                <w:kern w:val="0"/>
                <w:sz w:val="24"/>
              </w:rPr>
              <w:t>产生工业固体废物的单位终止的，应当在终止前对工业固体废物的贮存、处置的设施、场所采取污染防治措施，并对未处置的工业固体废物作出妥善处置，防止污染环境。</w:t>
            </w:r>
          </w:p>
          <w:p w14:paraId="7D68D268">
            <w:pPr>
              <w:spacing w:line="360" w:lineRule="auto"/>
              <w:ind w:firstLine="482" w:firstLineChars="200"/>
              <w:rPr>
                <w:rFonts w:ascii="Times New Roman" w:hAnsi="Times New Roman" w:eastAsia="宋体" w:cs="Times New Roman"/>
                <w:color w:val="000000"/>
                <w:spacing w:val="0"/>
                <w:kern w:val="0"/>
                <w:sz w:val="24"/>
              </w:rPr>
            </w:pPr>
            <w:r>
              <w:rPr>
                <w:rFonts w:ascii="Times New Roman" w:hAnsi="Times New Roman" w:eastAsia="宋体" w:cs="Times New Roman"/>
                <w:b/>
                <w:bCs/>
                <w:color w:val="000000"/>
                <w:spacing w:val="0"/>
                <w:kern w:val="0"/>
                <w:sz w:val="24"/>
              </w:rPr>
              <w:t>4.3危险废物</w:t>
            </w:r>
          </w:p>
          <w:p w14:paraId="0B74B651">
            <w:pPr>
              <w:adjustRightInd w:val="0"/>
              <w:snapToGrid w:val="0"/>
              <w:spacing w:line="360" w:lineRule="auto"/>
              <w:ind w:firstLine="480" w:firstLineChars="200"/>
              <w:rPr>
                <w:rFonts w:hint="eastAsia" w:ascii="Times New Roman" w:hAnsi="Times New Roman" w:eastAsia="宋体" w:cs="Times New Roman"/>
                <w:color w:val="000000"/>
                <w:spacing w:val="0"/>
                <w:kern w:val="0"/>
                <w:sz w:val="24"/>
                <w:lang w:val="en-US" w:eastAsia="zh-CN"/>
              </w:rPr>
            </w:pPr>
            <w:r>
              <w:rPr>
                <w:rFonts w:hint="eastAsia" w:ascii="Times New Roman" w:hAnsi="Times New Roman" w:eastAsia="宋体" w:cs="Times New Roman"/>
                <w:color w:val="000000"/>
                <w:spacing w:val="0"/>
                <w:kern w:val="0"/>
                <w:sz w:val="24"/>
                <w:lang w:val="en-US" w:eastAsia="zh-CN"/>
              </w:rPr>
              <w:t>本项目在机器维修产生的维修废润滑油产生量约为0.2t/a，装润滑油的废油桶产生量约为0.05t/a。危险废物储存在危险废物贮存库，委托有资质的单位统一处理。</w:t>
            </w:r>
          </w:p>
          <w:p w14:paraId="0A026622">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422" w:firstLineChars="200"/>
              <w:jc w:val="left"/>
              <w:rPr>
                <w:rFonts w:hint="default" w:ascii="Times New Roman" w:hAnsi="Times New Roman" w:eastAsia="宋体" w:cs="Times New Roman"/>
                <w:b/>
                <w:bCs w:val="0"/>
                <w:color w:val="000000"/>
                <w:kern w:val="0"/>
                <w:sz w:val="21"/>
                <w:szCs w:val="21"/>
                <w:vertAlign w:val="baseline"/>
                <w:lang w:val="en-US" w:eastAsia="zh-CN" w:bidi="ar"/>
              </w:rPr>
            </w:pPr>
            <w:r>
              <w:rPr>
                <w:rFonts w:hint="default" w:ascii="Times New Roman" w:hAnsi="Times New Roman" w:eastAsia="宋体" w:cs="Times New Roman"/>
                <w:b/>
                <w:bCs w:val="0"/>
                <w:color w:val="000000"/>
                <w:spacing w:val="0"/>
                <w:kern w:val="0"/>
                <w:sz w:val="21"/>
                <w:szCs w:val="21"/>
                <w:lang w:val="en-US" w:eastAsia="zh-CN" w:bidi="ar"/>
              </w:rPr>
              <w:t>表4-</w:t>
            </w:r>
            <w:r>
              <w:rPr>
                <w:rFonts w:hint="eastAsia" w:ascii="Times New Roman" w:hAnsi="Times New Roman" w:eastAsia="宋体" w:cs="Times New Roman"/>
                <w:b/>
                <w:bCs w:val="0"/>
                <w:color w:val="000000"/>
                <w:spacing w:val="0"/>
                <w:kern w:val="0"/>
                <w:sz w:val="21"/>
                <w:szCs w:val="21"/>
                <w:lang w:val="en-US" w:eastAsia="zh-CN" w:bidi="ar"/>
              </w:rPr>
              <w:t>8</w:t>
            </w:r>
            <w:r>
              <w:rPr>
                <w:rFonts w:hint="default" w:ascii="Times New Roman" w:hAnsi="Times New Roman" w:eastAsia="宋体" w:cs="Times New Roman"/>
                <w:b/>
                <w:bCs w:val="0"/>
                <w:color w:val="000000"/>
                <w:spacing w:val="0"/>
                <w:kern w:val="0"/>
                <w:sz w:val="21"/>
                <w:szCs w:val="21"/>
                <w:lang w:val="en-US" w:eastAsia="zh-CN" w:bidi="ar"/>
              </w:rPr>
              <w:t xml:space="preserve">    </w:t>
            </w:r>
            <w:r>
              <w:rPr>
                <w:rFonts w:hint="eastAsia" w:ascii="Times New Roman" w:hAnsi="Times New Roman" w:eastAsia="宋体" w:cs="Times New Roman"/>
                <w:b/>
                <w:bCs w:val="0"/>
                <w:color w:val="000000"/>
                <w:spacing w:val="0"/>
                <w:kern w:val="0"/>
                <w:sz w:val="21"/>
                <w:szCs w:val="21"/>
                <w:lang w:val="en-US" w:eastAsia="zh-CN" w:bidi="ar"/>
              </w:rPr>
              <w:t xml:space="preserve">      </w:t>
            </w:r>
            <w:r>
              <w:rPr>
                <w:rFonts w:hint="default" w:ascii="Times New Roman" w:hAnsi="Times New Roman" w:eastAsia="宋体" w:cs="Times New Roman"/>
                <w:b/>
                <w:bCs w:val="0"/>
                <w:color w:val="000000"/>
                <w:spacing w:val="0"/>
                <w:kern w:val="0"/>
                <w:sz w:val="21"/>
                <w:szCs w:val="21"/>
                <w:lang w:val="en-US" w:eastAsia="zh-CN" w:bidi="ar"/>
              </w:rPr>
              <w:t xml:space="preserve">   工程分析中危险废物汇总表</w:t>
            </w:r>
          </w:p>
          <w:tbl>
            <w:tblPr>
              <w:tblStyle w:val="24"/>
              <w:tblW w:w="5000"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0"/>
              <w:gridCol w:w="878"/>
              <w:gridCol w:w="664"/>
              <w:gridCol w:w="1265"/>
              <w:gridCol w:w="969"/>
              <w:gridCol w:w="473"/>
              <w:gridCol w:w="431"/>
              <w:gridCol w:w="755"/>
              <w:gridCol w:w="755"/>
              <w:gridCol w:w="447"/>
              <w:gridCol w:w="571"/>
              <w:gridCol w:w="795"/>
            </w:tblGrid>
            <w:tr w14:paraId="2A8EB3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tcBorders>
                    <w:tl2br w:val="nil"/>
                    <w:tr2bl w:val="nil"/>
                  </w:tcBorders>
                  <w:noWrap w:val="0"/>
                  <w:vAlign w:val="center"/>
                </w:tcPr>
                <w:p w14:paraId="08933D08">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default" w:ascii="Times New Roman" w:hAnsi="Times New Roman" w:eastAsia="宋体" w:cs="Times New Roman"/>
                      <w:b w:val="0"/>
                      <w:bCs/>
                      <w:color w:val="000000"/>
                      <w:kern w:val="0"/>
                      <w:sz w:val="21"/>
                      <w:szCs w:val="21"/>
                      <w:vertAlign w:val="baseline"/>
                      <w:lang w:val="en-US" w:eastAsia="zh-CN" w:bidi="ar"/>
                    </w:rPr>
                    <w:t>序号</w:t>
                  </w:r>
                </w:p>
              </w:tc>
              <w:tc>
                <w:tcPr>
                  <w:tcW w:w="520" w:type="pct"/>
                  <w:tcBorders>
                    <w:tl2br w:val="nil"/>
                    <w:tr2bl w:val="nil"/>
                  </w:tcBorders>
                  <w:noWrap w:val="0"/>
                  <w:vAlign w:val="center"/>
                </w:tcPr>
                <w:p w14:paraId="57DD5C5E">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default" w:ascii="Times New Roman" w:hAnsi="Times New Roman" w:eastAsia="宋体" w:cs="Times New Roman"/>
                      <w:b w:val="0"/>
                      <w:bCs/>
                      <w:color w:val="000000"/>
                      <w:kern w:val="0"/>
                      <w:sz w:val="21"/>
                      <w:szCs w:val="21"/>
                      <w:vertAlign w:val="baseline"/>
                      <w:lang w:val="en-US" w:eastAsia="zh-CN" w:bidi="ar"/>
                    </w:rPr>
                    <w:t>危险废物名称</w:t>
                  </w:r>
                </w:p>
              </w:tc>
              <w:tc>
                <w:tcPr>
                  <w:tcW w:w="393" w:type="pct"/>
                  <w:tcBorders>
                    <w:tl2br w:val="nil"/>
                    <w:tr2bl w:val="nil"/>
                  </w:tcBorders>
                  <w:noWrap w:val="0"/>
                  <w:vAlign w:val="center"/>
                </w:tcPr>
                <w:p w14:paraId="576CB6E9">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default" w:ascii="Times New Roman" w:hAnsi="Times New Roman" w:eastAsia="宋体" w:cs="Times New Roman"/>
                      <w:b w:val="0"/>
                      <w:bCs/>
                      <w:color w:val="000000"/>
                      <w:kern w:val="0"/>
                      <w:sz w:val="21"/>
                      <w:szCs w:val="21"/>
                      <w:vertAlign w:val="baseline"/>
                      <w:lang w:val="en-US" w:eastAsia="zh-CN" w:bidi="ar"/>
                    </w:rPr>
                    <w:t>危险废物类别</w:t>
                  </w:r>
                </w:p>
              </w:tc>
              <w:tc>
                <w:tcPr>
                  <w:tcW w:w="749" w:type="pct"/>
                  <w:tcBorders>
                    <w:tl2br w:val="nil"/>
                    <w:tr2bl w:val="nil"/>
                  </w:tcBorders>
                  <w:noWrap w:val="0"/>
                  <w:vAlign w:val="center"/>
                </w:tcPr>
                <w:p w14:paraId="288B6DA9">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default" w:ascii="Times New Roman" w:hAnsi="Times New Roman" w:eastAsia="宋体" w:cs="Times New Roman"/>
                      <w:b w:val="0"/>
                      <w:bCs/>
                      <w:color w:val="000000"/>
                      <w:kern w:val="0"/>
                      <w:sz w:val="21"/>
                      <w:szCs w:val="21"/>
                      <w:vertAlign w:val="baseline"/>
                      <w:lang w:val="en-US" w:eastAsia="zh-CN" w:bidi="ar"/>
                    </w:rPr>
                    <w:t>危险废物代码</w:t>
                  </w:r>
                </w:p>
              </w:tc>
              <w:tc>
                <w:tcPr>
                  <w:tcW w:w="574" w:type="pct"/>
                  <w:tcBorders>
                    <w:tl2br w:val="nil"/>
                    <w:tr2bl w:val="nil"/>
                  </w:tcBorders>
                  <w:noWrap w:val="0"/>
                  <w:vAlign w:val="center"/>
                </w:tcPr>
                <w:p w14:paraId="2FE9C7C7">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default" w:ascii="Times New Roman" w:hAnsi="Times New Roman" w:eastAsia="宋体" w:cs="Times New Roman"/>
                      <w:b w:val="0"/>
                      <w:bCs/>
                      <w:color w:val="000000"/>
                      <w:kern w:val="0"/>
                      <w:sz w:val="21"/>
                      <w:szCs w:val="21"/>
                      <w:vertAlign w:val="baseline"/>
                      <w:lang w:val="en-US" w:eastAsia="zh-CN" w:bidi="ar"/>
                    </w:rPr>
                    <w:t>产生量（t/a）</w:t>
                  </w:r>
                </w:p>
              </w:tc>
              <w:tc>
                <w:tcPr>
                  <w:tcW w:w="280" w:type="pct"/>
                  <w:tcBorders>
                    <w:tl2br w:val="nil"/>
                    <w:tr2bl w:val="nil"/>
                  </w:tcBorders>
                  <w:noWrap w:val="0"/>
                  <w:vAlign w:val="center"/>
                </w:tcPr>
                <w:p w14:paraId="2407F601">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default" w:ascii="Times New Roman" w:hAnsi="Times New Roman" w:eastAsia="宋体" w:cs="Times New Roman"/>
                      <w:b w:val="0"/>
                      <w:bCs/>
                      <w:color w:val="000000"/>
                      <w:kern w:val="0"/>
                      <w:sz w:val="21"/>
                      <w:szCs w:val="21"/>
                      <w:vertAlign w:val="baseline"/>
                      <w:lang w:val="en-US" w:eastAsia="zh-CN" w:bidi="ar"/>
                    </w:rPr>
                    <w:t>产生工序及装置</w:t>
                  </w:r>
                </w:p>
              </w:tc>
              <w:tc>
                <w:tcPr>
                  <w:tcW w:w="255" w:type="pct"/>
                  <w:tcBorders>
                    <w:tl2br w:val="nil"/>
                    <w:tr2bl w:val="nil"/>
                  </w:tcBorders>
                  <w:noWrap w:val="0"/>
                  <w:vAlign w:val="center"/>
                </w:tcPr>
                <w:p w14:paraId="24664891">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default" w:ascii="Times New Roman" w:hAnsi="Times New Roman" w:eastAsia="宋体" w:cs="Times New Roman"/>
                      <w:b w:val="0"/>
                      <w:bCs/>
                      <w:color w:val="000000"/>
                      <w:kern w:val="0"/>
                      <w:sz w:val="21"/>
                      <w:szCs w:val="21"/>
                      <w:vertAlign w:val="baseline"/>
                      <w:lang w:val="en-US" w:eastAsia="zh-CN" w:bidi="ar"/>
                    </w:rPr>
                    <w:t>形态</w:t>
                  </w:r>
                </w:p>
              </w:tc>
              <w:tc>
                <w:tcPr>
                  <w:tcW w:w="447" w:type="pct"/>
                  <w:tcBorders>
                    <w:tl2br w:val="nil"/>
                    <w:tr2bl w:val="nil"/>
                  </w:tcBorders>
                  <w:noWrap w:val="0"/>
                  <w:vAlign w:val="center"/>
                </w:tcPr>
                <w:p w14:paraId="0D5F00B3">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default" w:ascii="Times New Roman" w:hAnsi="Times New Roman" w:eastAsia="宋体" w:cs="Times New Roman"/>
                      <w:b w:val="0"/>
                      <w:bCs/>
                      <w:color w:val="000000"/>
                      <w:kern w:val="0"/>
                      <w:sz w:val="21"/>
                      <w:szCs w:val="21"/>
                      <w:vertAlign w:val="baseline"/>
                      <w:lang w:val="en-US" w:eastAsia="zh-CN" w:bidi="ar"/>
                    </w:rPr>
                    <w:t>主要成分</w:t>
                  </w:r>
                </w:p>
              </w:tc>
              <w:tc>
                <w:tcPr>
                  <w:tcW w:w="447" w:type="pct"/>
                  <w:tcBorders>
                    <w:tl2br w:val="nil"/>
                    <w:tr2bl w:val="nil"/>
                  </w:tcBorders>
                  <w:noWrap w:val="0"/>
                  <w:vAlign w:val="center"/>
                </w:tcPr>
                <w:p w14:paraId="4D6D825D">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default" w:ascii="Times New Roman" w:hAnsi="Times New Roman" w:eastAsia="宋体" w:cs="Times New Roman"/>
                      <w:b w:val="0"/>
                      <w:bCs/>
                      <w:color w:val="000000"/>
                      <w:kern w:val="0"/>
                      <w:sz w:val="21"/>
                      <w:szCs w:val="21"/>
                      <w:vertAlign w:val="baseline"/>
                      <w:lang w:val="en-US" w:eastAsia="zh-CN" w:bidi="ar"/>
                    </w:rPr>
                    <w:t>有害成分</w:t>
                  </w:r>
                </w:p>
              </w:tc>
              <w:tc>
                <w:tcPr>
                  <w:tcW w:w="265" w:type="pct"/>
                  <w:tcBorders>
                    <w:tl2br w:val="nil"/>
                    <w:tr2bl w:val="nil"/>
                  </w:tcBorders>
                  <w:noWrap w:val="0"/>
                  <w:vAlign w:val="center"/>
                </w:tcPr>
                <w:p w14:paraId="2F503E06">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default" w:ascii="Times New Roman" w:hAnsi="Times New Roman" w:eastAsia="宋体" w:cs="Times New Roman"/>
                      <w:b w:val="0"/>
                      <w:bCs/>
                      <w:color w:val="000000"/>
                      <w:kern w:val="0"/>
                      <w:sz w:val="21"/>
                      <w:szCs w:val="21"/>
                      <w:vertAlign w:val="baseline"/>
                      <w:lang w:val="en-US" w:eastAsia="zh-CN" w:bidi="ar"/>
                    </w:rPr>
                    <w:t>产废周期</w:t>
                  </w:r>
                </w:p>
              </w:tc>
              <w:tc>
                <w:tcPr>
                  <w:tcW w:w="338" w:type="pct"/>
                  <w:tcBorders>
                    <w:tl2br w:val="nil"/>
                    <w:tr2bl w:val="nil"/>
                  </w:tcBorders>
                  <w:noWrap w:val="0"/>
                  <w:vAlign w:val="center"/>
                </w:tcPr>
                <w:p w14:paraId="084C896E">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default" w:ascii="Times New Roman" w:hAnsi="Times New Roman" w:eastAsia="宋体" w:cs="Times New Roman"/>
                      <w:b w:val="0"/>
                      <w:bCs/>
                      <w:color w:val="000000"/>
                      <w:kern w:val="0"/>
                      <w:sz w:val="21"/>
                      <w:szCs w:val="21"/>
                      <w:vertAlign w:val="baseline"/>
                      <w:lang w:val="en-US" w:eastAsia="zh-CN" w:bidi="ar"/>
                    </w:rPr>
                    <w:t>危险特性</w:t>
                  </w:r>
                </w:p>
              </w:tc>
              <w:tc>
                <w:tcPr>
                  <w:tcW w:w="471" w:type="pct"/>
                  <w:tcBorders>
                    <w:tl2br w:val="nil"/>
                    <w:tr2bl w:val="nil"/>
                  </w:tcBorders>
                  <w:noWrap w:val="0"/>
                  <w:vAlign w:val="center"/>
                </w:tcPr>
                <w:p w14:paraId="503FC466">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default" w:ascii="Times New Roman" w:hAnsi="Times New Roman" w:eastAsia="宋体" w:cs="Times New Roman"/>
                      <w:b w:val="0"/>
                      <w:bCs/>
                      <w:color w:val="000000"/>
                      <w:kern w:val="0"/>
                      <w:sz w:val="21"/>
                      <w:szCs w:val="21"/>
                      <w:vertAlign w:val="baseline"/>
                      <w:lang w:val="en-US" w:eastAsia="zh-CN" w:bidi="ar"/>
                    </w:rPr>
                    <w:t>污染防治措施</w:t>
                  </w:r>
                </w:p>
              </w:tc>
            </w:tr>
            <w:tr w14:paraId="2E7DB4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tcBorders>
                    <w:tl2br w:val="nil"/>
                    <w:tr2bl w:val="nil"/>
                  </w:tcBorders>
                  <w:noWrap w:val="0"/>
                  <w:vAlign w:val="center"/>
                </w:tcPr>
                <w:p w14:paraId="78821B39">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default" w:ascii="Times New Roman" w:hAnsi="Times New Roman" w:eastAsia="宋体" w:cs="Times New Roman"/>
                      <w:b w:val="0"/>
                      <w:bCs/>
                      <w:color w:val="000000"/>
                      <w:kern w:val="0"/>
                      <w:sz w:val="21"/>
                      <w:szCs w:val="21"/>
                      <w:vertAlign w:val="baseline"/>
                      <w:lang w:val="en-US" w:eastAsia="zh-CN" w:bidi="ar"/>
                    </w:rPr>
                    <w:t>1</w:t>
                  </w:r>
                </w:p>
              </w:tc>
              <w:tc>
                <w:tcPr>
                  <w:tcW w:w="520" w:type="pct"/>
                  <w:tcBorders>
                    <w:tl2br w:val="nil"/>
                    <w:tr2bl w:val="nil"/>
                  </w:tcBorders>
                  <w:noWrap w:val="0"/>
                  <w:vAlign w:val="center"/>
                </w:tcPr>
                <w:p w14:paraId="708A657E">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default" w:ascii="Times New Roman" w:hAnsi="Times New Roman" w:eastAsia="宋体" w:cs="Times New Roman"/>
                      <w:b w:val="0"/>
                      <w:bCs/>
                      <w:color w:val="000000"/>
                      <w:kern w:val="0"/>
                      <w:sz w:val="21"/>
                      <w:szCs w:val="21"/>
                      <w:vertAlign w:val="baseline"/>
                      <w:lang w:val="en-US" w:eastAsia="zh-CN" w:bidi="ar"/>
                    </w:rPr>
                    <w:t>使用工业齿轮油进行机械设备润滑过程中产生的废润滑油</w:t>
                  </w:r>
                </w:p>
              </w:tc>
              <w:tc>
                <w:tcPr>
                  <w:tcW w:w="393" w:type="pct"/>
                  <w:tcBorders>
                    <w:tl2br w:val="nil"/>
                    <w:tr2bl w:val="nil"/>
                  </w:tcBorders>
                  <w:noWrap w:val="0"/>
                  <w:vAlign w:val="center"/>
                </w:tcPr>
                <w:p w14:paraId="674147D3">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default" w:ascii="Times New Roman" w:hAnsi="Times New Roman" w:eastAsia="宋体" w:cs="Times New Roman"/>
                      <w:b w:val="0"/>
                      <w:bCs/>
                      <w:color w:val="000000"/>
                      <w:kern w:val="0"/>
                      <w:sz w:val="21"/>
                      <w:szCs w:val="21"/>
                      <w:vertAlign w:val="baseline"/>
                      <w:lang w:val="en-US" w:eastAsia="zh-CN" w:bidi="ar"/>
                    </w:rPr>
                    <w:t>HW08</w:t>
                  </w:r>
                </w:p>
              </w:tc>
              <w:tc>
                <w:tcPr>
                  <w:tcW w:w="749" w:type="pct"/>
                  <w:tcBorders>
                    <w:tl2br w:val="nil"/>
                    <w:tr2bl w:val="nil"/>
                  </w:tcBorders>
                  <w:noWrap w:val="0"/>
                  <w:vAlign w:val="center"/>
                </w:tcPr>
                <w:p w14:paraId="1C955913">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eastAsia" w:cs="Times New Roman"/>
                      <w:b w:val="0"/>
                      <w:bCs/>
                      <w:color w:val="000000"/>
                      <w:kern w:val="0"/>
                      <w:sz w:val="21"/>
                      <w:szCs w:val="21"/>
                      <w:vertAlign w:val="baseline"/>
                      <w:lang w:val="en-US" w:eastAsia="zh-CN" w:bidi="ar"/>
                    </w:rPr>
                    <w:t>900</w:t>
                  </w:r>
                  <w:r>
                    <w:rPr>
                      <w:rFonts w:hint="default" w:ascii="Times New Roman" w:hAnsi="Times New Roman" w:eastAsia="宋体" w:cs="Times New Roman"/>
                      <w:b w:val="0"/>
                      <w:bCs/>
                      <w:color w:val="000000"/>
                      <w:kern w:val="0"/>
                      <w:sz w:val="21"/>
                      <w:szCs w:val="21"/>
                      <w:vertAlign w:val="baseline"/>
                      <w:lang w:val="en-US" w:eastAsia="zh-CN" w:bidi="ar"/>
                    </w:rPr>
                    <w:t>-217-08</w:t>
                  </w:r>
                </w:p>
              </w:tc>
              <w:tc>
                <w:tcPr>
                  <w:tcW w:w="574" w:type="pct"/>
                  <w:tcBorders>
                    <w:tl2br w:val="nil"/>
                    <w:tr2bl w:val="nil"/>
                  </w:tcBorders>
                  <w:noWrap w:val="0"/>
                  <w:vAlign w:val="center"/>
                </w:tcPr>
                <w:p w14:paraId="42438746">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default" w:ascii="Times New Roman" w:hAnsi="Times New Roman" w:eastAsia="宋体" w:cs="Times New Roman"/>
                      <w:b w:val="0"/>
                      <w:bCs/>
                      <w:color w:val="000000"/>
                      <w:kern w:val="0"/>
                      <w:sz w:val="21"/>
                      <w:szCs w:val="21"/>
                      <w:vertAlign w:val="baseline"/>
                      <w:lang w:val="en-US" w:eastAsia="zh-CN" w:bidi="ar"/>
                    </w:rPr>
                    <w:t>0.</w:t>
                  </w:r>
                  <w:r>
                    <w:rPr>
                      <w:rFonts w:hint="eastAsia" w:ascii="Times New Roman" w:hAnsi="Times New Roman" w:eastAsia="宋体" w:cs="Times New Roman"/>
                      <w:b w:val="0"/>
                      <w:bCs/>
                      <w:color w:val="000000"/>
                      <w:kern w:val="0"/>
                      <w:sz w:val="21"/>
                      <w:szCs w:val="21"/>
                      <w:vertAlign w:val="baseline"/>
                      <w:lang w:val="en-US" w:eastAsia="zh-CN" w:bidi="ar"/>
                    </w:rPr>
                    <w:t>2</w:t>
                  </w:r>
                </w:p>
              </w:tc>
              <w:tc>
                <w:tcPr>
                  <w:tcW w:w="280" w:type="pct"/>
                  <w:tcBorders>
                    <w:tl2br w:val="nil"/>
                    <w:tr2bl w:val="nil"/>
                  </w:tcBorders>
                  <w:noWrap w:val="0"/>
                  <w:vAlign w:val="center"/>
                </w:tcPr>
                <w:p w14:paraId="74C771AC">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default" w:ascii="Times New Roman" w:hAnsi="Times New Roman" w:eastAsia="宋体" w:cs="Times New Roman"/>
                      <w:b w:val="0"/>
                      <w:bCs/>
                      <w:color w:val="000000"/>
                      <w:kern w:val="0"/>
                      <w:sz w:val="21"/>
                      <w:szCs w:val="21"/>
                      <w:vertAlign w:val="baseline"/>
                      <w:lang w:val="en-US" w:eastAsia="zh-CN" w:bidi="ar"/>
                    </w:rPr>
                    <w:t>机器维修工序</w:t>
                  </w:r>
                </w:p>
              </w:tc>
              <w:tc>
                <w:tcPr>
                  <w:tcW w:w="255" w:type="pct"/>
                  <w:tcBorders>
                    <w:tl2br w:val="nil"/>
                    <w:tr2bl w:val="nil"/>
                  </w:tcBorders>
                  <w:noWrap w:val="0"/>
                  <w:vAlign w:val="center"/>
                </w:tcPr>
                <w:p w14:paraId="21893F7F">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eastAsia" w:ascii="Times New Roman" w:hAnsi="Times New Roman" w:eastAsia="宋体" w:cs="Times New Roman"/>
                      <w:b w:val="0"/>
                      <w:bCs/>
                      <w:color w:val="000000"/>
                      <w:kern w:val="0"/>
                      <w:sz w:val="21"/>
                      <w:szCs w:val="21"/>
                      <w:vertAlign w:val="baseline"/>
                      <w:lang w:val="en-US" w:eastAsia="zh-CN" w:bidi="ar"/>
                    </w:rPr>
                    <w:t>液态</w:t>
                  </w:r>
                </w:p>
              </w:tc>
              <w:tc>
                <w:tcPr>
                  <w:tcW w:w="447" w:type="pct"/>
                  <w:tcBorders>
                    <w:tl2br w:val="nil"/>
                    <w:tr2bl w:val="nil"/>
                  </w:tcBorders>
                  <w:noWrap w:val="0"/>
                  <w:vAlign w:val="center"/>
                </w:tcPr>
                <w:p w14:paraId="40F034DD">
                  <w:pPr>
                    <w:keepNext w:val="0"/>
                    <w:keepLines w:val="0"/>
                    <w:pageBreakBefore w:val="0"/>
                    <w:widowControl w:val="0"/>
                    <w:kinsoku/>
                    <w:wordWrap/>
                    <w:overflowPunct/>
                    <w:topLinePunct/>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highlight w:val="none"/>
                      <w:vertAlign w:val="baseline"/>
                      <w:lang w:val="en-US" w:eastAsia="zh-CN"/>
                    </w:rPr>
                  </w:pPr>
                  <w:r>
                    <w:rPr>
                      <w:rFonts w:hint="default" w:ascii="Times New Roman" w:hAnsi="Times New Roman" w:eastAsia="宋体" w:cs="Times New Roman"/>
                      <w:color w:val="000000"/>
                      <w:kern w:val="0"/>
                      <w:sz w:val="21"/>
                      <w:szCs w:val="21"/>
                      <w:highlight w:val="none"/>
                    </w:rPr>
                    <w:t>烷烃、多环芳烃、烯烃、苯系物、酚类</w:t>
                  </w:r>
                </w:p>
              </w:tc>
              <w:tc>
                <w:tcPr>
                  <w:tcW w:w="447" w:type="pct"/>
                  <w:tcBorders>
                    <w:tl2br w:val="nil"/>
                    <w:tr2bl w:val="nil"/>
                  </w:tcBorders>
                  <w:noWrap w:val="0"/>
                  <w:vAlign w:val="center"/>
                </w:tcPr>
                <w:p w14:paraId="3DB135C3">
                  <w:pPr>
                    <w:keepNext w:val="0"/>
                    <w:keepLines w:val="0"/>
                    <w:pageBreakBefore w:val="0"/>
                    <w:widowControl w:val="0"/>
                    <w:kinsoku/>
                    <w:wordWrap/>
                    <w:overflowPunct/>
                    <w:topLinePunct/>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sz w:val="21"/>
                      <w:szCs w:val="21"/>
                      <w:highlight w:val="none"/>
                      <w:vertAlign w:val="baseline"/>
                      <w:lang w:eastAsia="zh-CN"/>
                    </w:rPr>
                  </w:pPr>
                </w:p>
                <w:p w14:paraId="265ECD67">
                  <w:pPr>
                    <w:keepNext w:val="0"/>
                    <w:keepLines w:val="0"/>
                    <w:pageBreakBefore w:val="0"/>
                    <w:widowControl w:val="0"/>
                    <w:kinsoku/>
                    <w:wordWrap/>
                    <w:overflowPunct/>
                    <w:topLinePunct/>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highlight w:val="none"/>
                      <w:vertAlign w:val="baseline"/>
                      <w:lang w:val="en-US" w:eastAsia="zh-CN"/>
                    </w:rPr>
                  </w:pPr>
                  <w:r>
                    <w:rPr>
                      <w:rFonts w:hint="default" w:ascii="Times New Roman" w:hAnsi="Times New Roman" w:eastAsia="宋体" w:cs="Times New Roman"/>
                      <w:color w:val="000000"/>
                      <w:kern w:val="0"/>
                      <w:sz w:val="21"/>
                      <w:szCs w:val="21"/>
                      <w:highlight w:val="none"/>
                    </w:rPr>
                    <w:t>烷烃、多环芳烃、烯烃、苯系物、酚类</w:t>
                  </w:r>
                </w:p>
              </w:tc>
              <w:tc>
                <w:tcPr>
                  <w:tcW w:w="265" w:type="pct"/>
                  <w:tcBorders>
                    <w:tl2br w:val="nil"/>
                    <w:tr2bl w:val="nil"/>
                  </w:tcBorders>
                  <w:noWrap w:val="0"/>
                  <w:vAlign w:val="center"/>
                </w:tcPr>
                <w:p w14:paraId="0FD0973D">
                  <w:pPr>
                    <w:keepNext w:val="0"/>
                    <w:keepLines w:val="0"/>
                    <w:pageBreakBefore w:val="0"/>
                    <w:widowControl w:val="0"/>
                    <w:kinsoku/>
                    <w:wordWrap/>
                    <w:overflowPunct/>
                    <w:topLinePunct/>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highlight w:val="none"/>
                      <w:vertAlign w:val="baseline"/>
                      <w:lang w:val="en-US" w:eastAsia="zh-CN"/>
                    </w:rPr>
                  </w:pPr>
                  <w:r>
                    <w:rPr>
                      <w:rFonts w:hint="default" w:ascii="Times New Roman" w:hAnsi="Times New Roman" w:eastAsia="宋体" w:cs="Times New Roman"/>
                      <w:color w:val="000000"/>
                      <w:kern w:val="0"/>
                      <w:sz w:val="21"/>
                      <w:szCs w:val="21"/>
                      <w:highlight w:val="none"/>
                      <w:lang w:eastAsia="zh-CN"/>
                    </w:rPr>
                    <w:t>每年</w:t>
                  </w:r>
                  <w:r>
                    <w:rPr>
                      <w:rFonts w:hint="default" w:ascii="Times New Roman" w:hAnsi="Times New Roman" w:eastAsia="宋体" w:cs="Times New Roman"/>
                      <w:color w:val="000000"/>
                      <w:kern w:val="0"/>
                      <w:sz w:val="21"/>
                      <w:szCs w:val="21"/>
                      <w:highlight w:val="none"/>
                      <w:lang w:val="en-US" w:eastAsia="zh-CN"/>
                    </w:rPr>
                    <w:t>1次</w:t>
                  </w:r>
                </w:p>
              </w:tc>
              <w:tc>
                <w:tcPr>
                  <w:tcW w:w="338" w:type="pct"/>
                  <w:tcBorders>
                    <w:tl2br w:val="nil"/>
                    <w:tr2bl w:val="nil"/>
                  </w:tcBorders>
                  <w:noWrap w:val="0"/>
                  <w:vAlign w:val="center"/>
                </w:tcPr>
                <w:p w14:paraId="07A8E1BC">
                  <w:pPr>
                    <w:keepNext w:val="0"/>
                    <w:keepLines w:val="0"/>
                    <w:pageBreakBefore w:val="0"/>
                    <w:widowControl w:val="0"/>
                    <w:kinsoku/>
                    <w:wordWrap/>
                    <w:overflowPunct/>
                    <w:topLinePunct/>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highlight w:val="none"/>
                      <w:vertAlign w:val="baseline"/>
                      <w:lang w:val="en-US" w:eastAsia="zh-CN"/>
                    </w:rPr>
                  </w:pPr>
                  <w:r>
                    <w:rPr>
                      <w:rFonts w:hint="default" w:ascii="Times New Roman" w:hAnsi="Times New Roman" w:eastAsia="宋体" w:cs="Times New Roman"/>
                      <w:color w:val="000000"/>
                      <w:kern w:val="0"/>
                      <w:sz w:val="21"/>
                      <w:szCs w:val="21"/>
                      <w:highlight w:val="none"/>
                    </w:rPr>
                    <w:t>T</w:t>
                  </w:r>
                  <w:r>
                    <w:rPr>
                      <w:rFonts w:hint="default" w:ascii="Times New Roman" w:hAnsi="Times New Roman" w:eastAsia="宋体" w:cs="Times New Roman"/>
                      <w:color w:val="000000"/>
                      <w:kern w:val="0"/>
                      <w:sz w:val="21"/>
                      <w:szCs w:val="21"/>
                      <w:highlight w:val="none"/>
                      <w:lang w:val="en-US" w:eastAsia="zh-CN"/>
                    </w:rPr>
                    <w:t>/</w:t>
                  </w:r>
                  <w:r>
                    <w:rPr>
                      <w:rFonts w:hint="default" w:ascii="Times New Roman" w:hAnsi="Times New Roman" w:eastAsia="宋体" w:cs="Times New Roman"/>
                      <w:color w:val="000000"/>
                      <w:kern w:val="0"/>
                      <w:sz w:val="21"/>
                      <w:szCs w:val="21"/>
                      <w:highlight w:val="none"/>
                    </w:rPr>
                    <w:t>I</w:t>
                  </w:r>
                </w:p>
              </w:tc>
              <w:tc>
                <w:tcPr>
                  <w:tcW w:w="471" w:type="pct"/>
                  <w:vMerge w:val="restart"/>
                  <w:tcBorders>
                    <w:tl2br w:val="nil"/>
                    <w:tr2bl w:val="nil"/>
                  </w:tcBorders>
                  <w:noWrap w:val="0"/>
                  <w:vAlign w:val="center"/>
                </w:tcPr>
                <w:p w14:paraId="5D5AB4FE">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default" w:ascii="Times New Roman" w:hAnsi="Times New Roman" w:eastAsia="宋体" w:cs="Times New Roman"/>
                      <w:b w:val="0"/>
                      <w:bCs/>
                      <w:color w:val="000000"/>
                      <w:kern w:val="0"/>
                      <w:sz w:val="21"/>
                      <w:szCs w:val="21"/>
                      <w:vertAlign w:val="baseline"/>
                      <w:lang w:val="en-US" w:eastAsia="zh-CN" w:bidi="ar"/>
                    </w:rPr>
                    <w:t>暂存在危险废物贮存库，委托有资质的单位统一处理。</w:t>
                  </w:r>
                </w:p>
              </w:tc>
            </w:tr>
            <w:tr w14:paraId="1DE604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tcBorders>
                    <w:tl2br w:val="nil"/>
                    <w:tr2bl w:val="nil"/>
                  </w:tcBorders>
                  <w:noWrap w:val="0"/>
                  <w:vAlign w:val="center"/>
                </w:tcPr>
                <w:p w14:paraId="794F9852">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eastAsia" w:ascii="Times New Roman" w:hAnsi="Times New Roman" w:eastAsia="宋体" w:cs="Times New Roman"/>
                      <w:b w:val="0"/>
                      <w:bCs/>
                      <w:color w:val="000000"/>
                      <w:kern w:val="0"/>
                      <w:sz w:val="21"/>
                      <w:szCs w:val="21"/>
                      <w:vertAlign w:val="baseline"/>
                      <w:lang w:val="en-US" w:eastAsia="zh-CN" w:bidi="ar"/>
                    </w:rPr>
                    <w:t>2</w:t>
                  </w:r>
                </w:p>
              </w:tc>
              <w:tc>
                <w:tcPr>
                  <w:tcW w:w="520" w:type="pct"/>
                  <w:tcBorders>
                    <w:tl2br w:val="nil"/>
                    <w:tr2bl w:val="nil"/>
                  </w:tcBorders>
                  <w:noWrap w:val="0"/>
                  <w:vAlign w:val="center"/>
                </w:tcPr>
                <w:p w14:paraId="32C59DA7">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default" w:ascii="Times New Roman" w:hAnsi="Times New Roman" w:eastAsia="宋体" w:cs="Times New Roman"/>
                      <w:b w:val="0"/>
                      <w:bCs/>
                      <w:color w:val="000000"/>
                      <w:kern w:val="0"/>
                      <w:sz w:val="21"/>
                      <w:szCs w:val="21"/>
                      <w:vertAlign w:val="baseline"/>
                      <w:lang w:val="en-US" w:eastAsia="zh-CN" w:bidi="ar"/>
                    </w:rPr>
                    <w:t>其他生产、销售、使用过程中产生的废矿物油及含油废弃物</w:t>
                  </w:r>
                </w:p>
              </w:tc>
              <w:tc>
                <w:tcPr>
                  <w:tcW w:w="393" w:type="pct"/>
                  <w:tcBorders>
                    <w:tl2br w:val="nil"/>
                    <w:tr2bl w:val="nil"/>
                  </w:tcBorders>
                  <w:noWrap w:val="0"/>
                  <w:vAlign w:val="center"/>
                </w:tcPr>
                <w:p w14:paraId="46EC880E">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eastAsia" w:ascii="Times New Roman" w:hAnsi="Times New Roman" w:eastAsia="宋体" w:cs="Times New Roman"/>
                      <w:b w:val="0"/>
                      <w:bCs/>
                      <w:color w:val="000000"/>
                      <w:kern w:val="0"/>
                      <w:sz w:val="21"/>
                      <w:szCs w:val="21"/>
                      <w:vertAlign w:val="baseline"/>
                      <w:lang w:val="en-US" w:eastAsia="zh-CN" w:bidi="ar"/>
                    </w:rPr>
                    <w:t>HW08</w:t>
                  </w:r>
                </w:p>
              </w:tc>
              <w:tc>
                <w:tcPr>
                  <w:tcW w:w="749" w:type="pct"/>
                  <w:tcBorders>
                    <w:tl2br w:val="nil"/>
                    <w:tr2bl w:val="nil"/>
                  </w:tcBorders>
                  <w:noWrap w:val="0"/>
                  <w:vAlign w:val="center"/>
                </w:tcPr>
                <w:p w14:paraId="0A56F410">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default" w:ascii="Times New Roman" w:hAnsi="Times New Roman" w:eastAsia="宋体" w:cs="Times New Roman"/>
                      <w:b w:val="0"/>
                      <w:bCs/>
                      <w:color w:val="000000"/>
                      <w:kern w:val="0"/>
                      <w:sz w:val="21"/>
                      <w:szCs w:val="21"/>
                      <w:vertAlign w:val="baseline"/>
                      <w:lang w:val="en-US" w:eastAsia="zh-CN" w:bidi="ar"/>
                    </w:rPr>
                    <w:t>900-249-08</w:t>
                  </w:r>
                </w:p>
              </w:tc>
              <w:tc>
                <w:tcPr>
                  <w:tcW w:w="574" w:type="pct"/>
                  <w:tcBorders>
                    <w:tl2br w:val="nil"/>
                    <w:tr2bl w:val="nil"/>
                  </w:tcBorders>
                  <w:noWrap w:val="0"/>
                  <w:vAlign w:val="center"/>
                </w:tcPr>
                <w:p w14:paraId="48B76C53">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eastAsia" w:ascii="Times New Roman" w:hAnsi="Times New Roman" w:eastAsia="宋体" w:cs="Times New Roman"/>
                      <w:b w:val="0"/>
                      <w:bCs/>
                      <w:color w:val="000000"/>
                      <w:kern w:val="0"/>
                      <w:sz w:val="21"/>
                      <w:szCs w:val="21"/>
                      <w:vertAlign w:val="baseline"/>
                      <w:lang w:val="en-US" w:eastAsia="zh-CN" w:bidi="ar"/>
                    </w:rPr>
                    <w:t>0.05</w:t>
                  </w:r>
                </w:p>
              </w:tc>
              <w:tc>
                <w:tcPr>
                  <w:tcW w:w="280" w:type="pct"/>
                  <w:tcBorders>
                    <w:tl2br w:val="nil"/>
                    <w:tr2bl w:val="nil"/>
                  </w:tcBorders>
                  <w:noWrap w:val="0"/>
                  <w:vAlign w:val="center"/>
                </w:tcPr>
                <w:p w14:paraId="6F587A1D">
                  <w:pPr>
                    <w:keepNext w:val="0"/>
                    <w:keepLines w:val="0"/>
                    <w:widowControl w:val="0"/>
                    <w:suppressLineNumbers w:val="0"/>
                    <w:autoSpaceDE w:val="0"/>
                    <w:autoSpaceDN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default" w:ascii="Times New Roman" w:hAnsi="Times New Roman" w:eastAsia="宋体" w:cs="Times New Roman"/>
                      <w:b w:val="0"/>
                      <w:bCs/>
                      <w:color w:val="000000"/>
                      <w:kern w:val="0"/>
                      <w:sz w:val="21"/>
                      <w:szCs w:val="21"/>
                      <w:vertAlign w:val="baseline"/>
                      <w:lang w:val="en-US" w:eastAsia="zh-CN" w:bidi="ar"/>
                    </w:rPr>
                    <w:t>机器维修工序</w:t>
                  </w:r>
                </w:p>
              </w:tc>
              <w:tc>
                <w:tcPr>
                  <w:tcW w:w="255" w:type="pct"/>
                  <w:tcBorders>
                    <w:tl2br w:val="nil"/>
                    <w:tr2bl w:val="nil"/>
                  </w:tcBorders>
                  <w:noWrap w:val="0"/>
                  <w:vAlign w:val="center"/>
                </w:tcPr>
                <w:p w14:paraId="374FD869">
                  <w:pPr>
                    <w:keepNext w:val="0"/>
                    <w:keepLines w:val="0"/>
                    <w:widowControl w:val="0"/>
                    <w:suppressLineNumbers w:val="0"/>
                    <w:autoSpaceDE w:val="0"/>
                    <w:autoSpaceDN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val="0"/>
                      <w:bCs/>
                      <w:color w:val="000000"/>
                      <w:kern w:val="0"/>
                      <w:sz w:val="21"/>
                      <w:szCs w:val="21"/>
                      <w:vertAlign w:val="baseline"/>
                      <w:lang w:val="en-US" w:eastAsia="zh-CN" w:bidi="ar"/>
                    </w:rPr>
                  </w:pPr>
                  <w:r>
                    <w:rPr>
                      <w:rFonts w:hint="eastAsia" w:ascii="Times New Roman" w:hAnsi="Times New Roman" w:eastAsia="宋体" w:cs="Times New Roman"/>
                      <w:b w:val="0"/>
                      <w:bCs/>
                      <w:color w:val="000000"/>
                      <w:kern w:val="0"/>
                      <w:sz w:val="21"/>
                      <w:szCs w:val="21"/>
                      <w:vertAlign w:val="baseline"/>
                      <w:lang w:val="en-US" w:eastAsia="zh-CN" w:bidi="ar"/>
                    </w:rPr>
                    <w:t>固态</w:t>
                  </w:r>
                </w:p>
              </w:tc>
              <w:tc>
                <w:tcPr>
                  <w:tcW w:w="447" w:type="pct"/>
                  <w:tcBorders>
                    <w:tl2br w:val="nil"/>
                    <w:tr2bl w:val="nil"/>
                  </w:tcBorders>
                  <w:noWrap w:val="0"/>
                  <w:vAlign w:val="center"/>
                </w:tcPr>
                <w:p w14:paraId="2A478D3B">
                  <w:pPr>
                    <w:keepNext w:val="0"/>
                    <w:keepLines w:val="0"/>
                    <w:pageBreakBefore w:val="0"/>
                    <w:widowControl w:val="0"/>
                    <w:kinsoku/>
                    <w:wordWrap/>
                    <w:overflowPunct/>
                    <w:topLinePunct/>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highlight w:val="none"/>
                      <w:vertAlign w:val="baseline"/>
                      <w:lang w:val="en-US" w:eastAsia="zh-CN" w:bidi="ar-SA"/>
                    </w:rPr>
                  </w:pPr>
                  <w:r>
                    <w:rPr>
                      <w:rFonts w:hint="default" w:ascii="Times New Roman" w:hAnsi="Times New Roman" w:eastAsia="宋体" w:cs="Times New Roman"/>
                      <w:color w:val="000000"/>
                      <w:kern w:val="0"/>
                      <w:sz w:val="21"/>
                      <w:szCs w:val="21"/>
                      <w:highlight w:val="none"/>
                    </w:rPr>
                    <w:t>烷烃、多环芳烃、烯烃、苯系物、酚类</w:t>
                  </w:r>
                </w:p>
              </w:tc>
              <w:tc>
                <w:tcPr>
                  <w:tcW w:w="447" w:type="pct"/>
                  <w:tcBorders>
                    <w:tl2br w:val="nil"/>
                    <w:tr2bl w:val="nil"/>
                  </w:tcBorders>
                  <w:noWrap w:val="0"/>
                  <w:vAlign w:val="center"/>
                </w:tcPr>
                <w:p w14:paraId="6536B745">
                  <w:pPr>
                    <w:keepNext w:val="0"/>
                    <w:keepLines w:val="0"/>
                    <w:pageBreakBefore w:val="0"/>
                    <w:widowControl w:val="0"/>
                    <w:kinsoku/>
                    <w:wordWrap/>
                    <w:overflowPunct/>
                    <w:topLinePunct/>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sz w:val="21"/>
                      <w:szCs w:val="21"/>
                      <w:highlight w:val="none"/>
                      <w:vertAlign w:val="baseline"/>
                      <w:lang w:eastAsia="zh-CN"/>
                    </w:rPr>
                  </w:pPr>
                </w:p>
                <w:p w14:paraId="3E1E4E18">
                  <w:pPr>
                    <w:keepNext w:val="0"/>
                    <w:keepLines w:val="0"/>
                    <w:pageBreakBefore w:val="0"/>
                    <w:widowControl w:val="0"/>
                    <w:kinsoku/>
                    <w:wordWrap/>
                    <w:overflowPunct/>
                    <w:topLinePunct/>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highlight w:val="none"/>
                      <w:vertAlign w:val="baseline"/>
                      <w:lang w:val="en-US" w:eastAsia="zh-CN" w:bidi="ar-SA"/>
                    </w:rPr>
                  </w:pPr>
                  <w:r>
                    <w:rPr>
                      <w:rFonts w:hint="default" w:ascii="Times New Roman" w:hAnsi="Times New Roman" w:eastAsia="宋体" w:cs="Times New Roman"/>
                      <w:color w:val="000000"/>
                      <w:kern w:val="0"/>
                      <w:sz w:val="21"/>
                      <w:szCs w:val="21"/>
                      <w:highlight w:val="none"/>
                    </w:rPr>
                    <w:t>烷烃、多环芳烃、烯烃、苯系物、酚类</w:t>
                  </w:r>
                </w:p>
              </w:tc>
              <w:tc>
                <w:tcPr>
                  <w:tcW w:w="265" w:type="pct"/>
                  <w:tcBorders>
                    <w:tl2br w:val="nil"/>
                    <w:tr2bl w:val="nil"/>
                  </w:tcBorders>
                  <w:noWrap w:val="0"/>
                  <w:vAlign w:val="center"/>
                </w:tcPr>
                <w:p w14:paraId="11963DBB">
                  <w:pPr>
                    <w:keepNext w:val="0"/>
                    <w:keepLines w:val="0"/>
                    <w:pageBreakBefore w:val="0"/>
                    <w:widowControl w:val="0"/>
                    <w:kinsoku/>
                    <w:wordWrap/>
                    <w:overflowPunct/>
                    <w:topLinePunct/>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highlight w:val="none"/>
                      <w:vertAlign w:val="baseline"/>
                      <w:lang w:val="en-US" w:eastAsia="zh-CN" w:bidi="ar-SA"/>
                    </w:rPr>
                  </w:pPr>
                  <w:r>
                    <w:rPr>
                      <w:rFonts w:hint="default" w:ascii="Times New Roman" w:hAnsi="Times New Roman" w:eastAsia="宋体" w:cs="Times New Roman"/>
                      <w:color w:val="000000"/>
                      <w:kern w:val="0"/>
                      <w:sz w:val="21"/>
                      <w:szCs w:val="21"/>
                      <w:highlight w:val="none"/>
                      <w:lang w:eastAsia="zh-CN"/>
                    </w:rPr>
                    <w:t>每年</w:t>
                  </w:r>
                  <w:r>
                    <w:rPr>
                      <w:rFonts w:hint="default" w:ascii="Times New Roman" w:hAnsi="Times New Roman" w:eastAsia="宋体" w:cs="Times New Roman"/>
                      <w:color w:val="000000"/>
                      <w:kern w:val="0"/>
                      <w:sz w:val="21"/>
                      <w:szCs w:val="21"/>
                      <w:highlight w:val="none"/>
                      <w:lang w:val="en-US" w:eastAsia="zh-CN"/>
                    </w:rPr>
                    <w:t>1次</w:t>
                  </w:r>
                </w:p>
              </w:tc>
              <w:tc>
                <w:tcPr>
                  <w:tcW w:w="338" w:type="pct"/>
                  <w:tcBorders>
                    <w:tl2br w:val="nil"/>
                    <w:tr2bl w:val="nil"/>
                  </w:tcBorders>
                  <w:noWrap w:val="0"/>
                  <w:vAlign w:val="center"/>
                </w:tcPr>
                <w:p w14:paraId="3C8A3D5C">
                  <w:pPr>
                    <w:keepNext w:val="0"/>
                    <w:keepLines w:val="0"/>
                    <w:pageBreakBefore w:val="0"/>
                    <w:widowControl w:val="0"/>
                    <w:kinsoku/>
                    <w:wordWrap/>
                    <w:overflowPunct/>
                    <w:topLinePunct/>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kern w:val="0"/>
                      <w:sz w:val="21"/>
                      <w:szCs w:val="21"/>
                      <w:highlight w:val="none"/>
                      <w:vertAlign w:val="baseline"/>
                      <w:lang w:val="en-US" w:eastAsia="zh-CN" w:bidi="ar-SA"/>
                    </w:rPr>
                  </w:pPr>
                  <w:r>
                    <w:rPr>
                      <w:rFonts w:hint="default" w:ascii="Times New Roman" w:hAnsi="Times New Roman" w:eastAsia="宋体" w:cs="Times New Roman"/>
                      <w:color w:val="000000"/>
                      <w:kern w:val="0"/>
                      <w:sz w:val="21"/>
                      <w:szCs w:val="21"/>
                      <w:highlight w:val="none"/>
                    </w:rPr>
                    <w:t>T</w:t>
                  </w:r>
                  <w:r>
                    <w:rPr>
                      <w:rFonts w:hint="default" w:ascii="Times New Roman" w:hAnsi="Times New Roman" w:eastAsia="宋体" w:cs="Times New Roman"/>
                      <w:color w:val="000000"/>
                      <w:kern w:val="0"/>
                      <w:sz w:val="21"/>
                      <w:szCs w:val="21"/>
                      <w:highlight w:val="none"/>
                      <w:lang w:val="en-US" w:eastAsia="zh-CN"/>
                    </w:rPr>
                    <w:t>/</w:t>
                  </w:r>
                  <w:r>
                    <w:rPr>
                      <w:rFonts w:hint="default" w:ascii="Times New Roman" w:hAnsi="Times New Roman" w:eastAsia="宋体" w:cs="Times New Roman"/>
                      <w:color w:val="000000"/>
                      <w:kern w:val="0"/>
                      <w:sz w:val="21"/>
                      <w:szCs w:val="21"/>
                      <w:highlight w:val="none"/>
                    </w:rPr>
                    <w:t>I</w:t>
                  </w:r>
                </w:p>
              </w:tc>
              <w:tc>
                <w:tcPr>
                  <w:tcW w:w="471" w:type="pct"/>
                  <w:vMerge w:val="continue"/>
                  <w:tcBorders>
                    <w:tl2br w:val="nil"/>
                    <w:tr2bl w:val="nil"/>
                  </w:tcBorders>
                  <w:noWrap w:val="0"/>
                  <w:vAlign w:val="center"/>
                </w:tcPr>
                <w:p w14:paraId="7F9486B0">
                  <w:pPr>
                    <w:keepNext w:val="0"/>
                    <w:keepLines w:val="0"/>
                    <w:widowControl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p>
              </w:tc>
            </w:tr>
          </w:tbl>
          <w:p w14:paraId="6461EBE0">
            <w:pPr>
              <w:spacing w:line="360" w:lineRule="auto"/>
              <w:ind w:firstLine="482" w:firstLineChars="200"/>
              <w:rPr>
                <w:rFonts w:ascii="Times New Roman" w:hAnsi="Times New Roman" w:eastAsia="宋体" w:cs="Times New Roman"/>
                <w:color w:val="000000"/>
                <w:spacing w:val="0"/>
                <w:kern w:val="0"/>
                <w:sz w:val="24"/>
              </w:rPr>
            </w:pPr>
            <w:r>
              <w:rPr>
                <w:rFonts w:hint="eastAsia" w:ascii="Times New Roman" w:hAnsi="Times New Roman" w:eastAsia="宋体" w:cs="Times New Roman"/>
                <w:b/>
                <w:bCs/>
                <w:color w:val="000000"/>
                <w:spacing w:val="0"/>
                <w:kern w:val="0"/>
                <w:sz w:val="24"/>
                <w:lang w:eastAsia="zh-CN"/>
              </w:rPr>
              <w:t>危险废物贮存库</w:t>
            </w:r>
            <w:r>
              <w:rPr>
                <w:rFonts w:ascii="Times New Roman" w:hAnsi="Times New Roman" w:eastAsia="宋体" w:cs="Times New Roman"/>
                <w:b/>
                <w:bCs/>
                <w:color w:val="000000"/>
                <w:spacing w:val="0"/>
                <w:kern w:val="0"/>
                <w:sz w:val="24"/>
              </w:rPr>
              <w:t>建设要求：</w:t>
            </w:r>
          </w:p>
          <w:p w14:paraId="65F61FED">
            <w:pPr>
              <w:spacing w:line="360" w:lineRule="auto"/>
              <w:ind w:firstLine="480" w:firstLineChars="200"/>
              <w:rPr>
                <w:rFonts w:ascii="Times New Roman" w:hAnsi="Times New Roman" w:eastAsia="宋体" w:cs="Times New Roman"/>
                <w:color w:val="000000"/>
                <w:spacing w:val="0"/>
                <w:kern w:val="0"/>
                <w:sz w:val="24"/>
              </w:rPr>
            </w:pPr>
            <w:r>
              <w:rPr>
                <w:rFonts w:ascii="Times New Roman" w:hAnsi="Times New Roman" w:eastAsia="宋体" w:cs="Times New Roman"/>
                <w:color w:val="000000"/>
                <w:spacing w:val="0"/>
                <w:kern w:val="0"/>
                <w:sz w:val="24"/>
              </w:rPr>
              <w:t>①</w:t>
            </w:r>
            <w:r>
              <w:rPr>
                <w:rFonts w:hint="eastAsia" w:ascii="Times New Roman" w:hAnsi="Times New Roman" w:eastAsia="宋体" w:cs="Times New Roman"/>
                <w:color w:val="000000"/>
                <w:spacing w:val="0"/>
                <w:kern w:val="0"/>
                <w:sz w:val="24"/>
              </w:rPr>
              <w:t>贮存设施应根据危险废物的形态、物理化学性质、包装形式和污染物迁移途径，采取必要的防风、防晒、防雨、防漏、防渗、防腐以及其他环境污染防治措施，不应露天堆放危险废物。</w:t>
            </w:r>
          </w:p>
          <w:p w14:paraId="3E615CF5">
            <w:pPr>
              <w:spacing w:line="360" w:lineRule="auto"/>
              <w:ind w:firstLine="480" w:firstLineChars="200"/>
              <w:rPr>
                <w:rFonts w:hint="eastAsia" w:ascii="Times New Roman" w:hAnsi="Times New Roman" w:eastAsia="宋体" w:cs="Times New Roman"/>
                <w:color w:val="000000"/>
                <w:spacing w:val="0"/>
                <w:kern w:val="0"/>
                <w:sz w:val="24"/>
              </w:rPr>
            </w:pPr>
            <w:r>
              <w:rPr>
                <w:rFonts w:ascii="Times New Roman" w:hAnsi="Times New Roman" w:eastAsia="宋体" w:cs="Times New Roman"/>
                <w:color w:val="000000"/>
                <w:spacing w:val="0"/>
                <w:kern w:val="0"/>
                <w:sz w:val="24"/>
              </w:rPr>
              <w:t>②</w:t>
            </w:r>
            <w:r>
              <w:rPr>
                <w:rFonts w:hint="eastAsia" w:ascii="Times New Roman" w:hAnsi="Times New Roman" w:eastAsia="宋体" w:cs="Times New Roman"/>
                <w:color w:val="000000"/>
                <w:spacing w:val="0"/>
                <w:kern w:val="0"/>
                <w:sz w:val="24"/>
              </w:rPr>
              <w:t>贮存设施应根据危险废物的类别、数量、形态、物理化学性质和污染防治等要求设置必要的贮存分区，避免不相容的危险废物接触、混合。</w:t>
            </w:r>
          </w:p>
          <w:p w14:paraId="39860197">
            <w:pPr>
              <w:spacing w:line="360" w:lineRule="auto"/>
              <w:ind w:firstLine="480" w:firstLineChars="200"/>
              <w:rPr>
                <w:rFonts w:ascii="Times New Roman" w:hAnsi="Times New Roman" w:eastAsia="宋体" w:cs="Times New Roman"/>
                <w:color w:val="000000"/>
                <w:spacing w:val="0"/>
                <w:kern w:val="0"/>
                <w:sz w:val="24"/>
              </w:rPr>
            </w:pPr>
            <w:r>
              <w:rPr>
                <w:rFonts w:ascii="Times New Roman" w:hAnsi="Times New Roman" w:eastAsia="宋体" w:cs="Times New Roman"/>
                <w:color w:val="000000"/>
                <w:spacing w:val="0"/>
                <w:kern w:val="0"/>
                <w:sz w:val="24"/>
              </w:rPr>
              <w:t>③</w:t>
            </w:r>
            <w:r>
              <w:rPr>
                <w:rFonts w:hint="eastAsia" w:ascii="Times New Roman" w:hAnsi="Times New Roman" w:eastAsia="宋体" w:cs="Times New Roman"/>
                <w:color w:val="000000"/>
                <w:spacing w:val="0"/>
                <w:kern w:val="0"/>
                <w:sz w:val="24"/>
              </w:rPr>
              <w:t>贮存设施或贮存分区内地面、墙面裙脚、堵截泄漏的围堰、接触危险废物的隔板和墙体等应采用坚固的材料建造，表面无裂缝。</w:t>
            </w:r>
          </w:p>
          <w:p w14:paraId="6EF91BC7">
            <w:pPr>
              <w:spacing w:line="360" w:lineRule="auto"/>
              <w:ind w:firstLine="480" w:firstLineChars="200"/>
              <w:rPr>
                <w:rFonts w:ascii="Times New Roman" w:hAnsi="Times New Roman" w:eastAsia="宋体" w:cs="Times New Roman"/>
                <w:color w:val="000000"/>
                <w:spacing w:val="0"/>
                <w:kern w:val="0"/>
                <w:sz w:val="24"/>
              </w:rPr>
            </w:pPr>
            <w:r>
              <w:rPr>
                <w:rFonts w:ascii="Times New Roman" w:hAnsi="Times New Roman" w:eastAsia="宋体" w:cs="Times New Roman"/>
                <w:color w:val="000000"/>
                <w:spacing w:val="0"/>
                <w:kern w:val="0"/>
                <w:sz w:val="24"/>
              </w:rPr>
              <w:t>④</w:t>
            </w:r>
            <w:r>
              <w:rPr>
                <w:rFonts w:hint="eastAsia" w:ascii="Times New Roman" w:hAnsi="Times New Roman" w:eastAsia="宋体" w:cs="Times New Roman"/>
                <w:color w:val="000000"/>
                <w:spacing w:val="0"/>
                <w:kern w:val="0"/>
                <w:sz w:val="24"/>
              </w:rPr>
              <w:t>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w:t>
            </w:r>
            <w:r>
              <w:rPr>
                <w:rFonts w:ascii="Times New Roman" w:hAnsi="Times New Roman" w:eastAsia="宋体" w:cs="Times New Roman"/>
                <w:color w:val="000000"/>
                <w:spacing w:val="0"/>
                <w:kern w:val="0"/>
                <w:sz w:val="24"/>
              </w:rPr>
              <w:t>1m</w:t>
            </w:r>
            <w:r>
              <w:rPr>
                <w:rFonts w:hint="eastAsia" w:ascii="Times New Roman" w:hAnsi="Times New Roman" w:eastAsia="宋体" w:cs="Times New Roman"/>
                <w:color w:val="000000"/>
                <w:spacing w:val="0"/>
                <w:kern w:val="0"/>
                <w:sz w:val="24"/>
              </w:rPr>
              <w:t>厚黏土层（渗透系数不大于</w:t>
            </w:r>
            <w:r>
              <w:rPr>
                <w:rFonts w:ascii="Times New Roman" w:hAnsi="Times New Roman" w:eastAsia="宋体" w:cs="Times New Roman"/>
                <w:color w:val="000000"/>
                <w:spacing w:val="0"/>
                <w:kern w:val="0"/>
                <w:sz w:val="24"/>
              </w:rPr>
              <w:t>10</w:t>
            </w:r>
            <w:r>
              <w:rPr>
                <w:rFonts w:ascii="Times New Roman" w:hAnsi="Times New Roman" w:eastAsia="宋体" w:cs="Times New Roman"/>
                <w:color w:val="000000"/>
                <w:spacing w:val="0"/>
                <w:kern w:val="0"/>
                <w:sz w:val="24"/>
                <w:vertAlign w:val="superscript"/>
              </w:rPr>
              <w:t>-7</w:t>
            </w:r>
            <w:r>
              <w:rPr>
                <w:rFonts w:ascii="Times New Roman" w:hAnsi="Times New Roman" w:eastAsia="宋体" w:cs="Times New Roman"/>
                <w:color w:val="000000"/>
                <w:spacing w:val="0"/>
                <w:kern w:val="0"/>
                <w:sz w:val="24"/>
              </w:rPr>
              <w:t>cm/s</w:t>
            </w:r>
            <w:r>
              <w:rPr>
                <w:rFonts w:hint="eastAsia" w:ascii="Times New Roman" w:hAnsi="Times New Roman" w:eastAsia="宋体" w:cs="Times New Roman"/>
                <w:color w:val="000000"/>
                <w:spacing w:val="0"/>
                <w:kern w:val="0"/>
                <w:sz w:val="24"/>
              </w:rPr>
              <w:t>），或至少</w:t>
            </w:r>
            <w:r>
              <w:rPr>
                <w:rFonts w:ascii="Times New Roman" w:hAnsi="Times New Roman" w:eastAsia="宋体" w:cs="Times New Roman"/>
                <w:color w:val="000000"/>
                <w:spacing w:val="0"/>
                <w:kern w:val="0"/>
                <w:sz w:val="24"/>
              </w:rPr>
              <w:t>2mm</w:t>
            </w:r>
            <w:r>
              <w:rPr>
                <w:rFonts w:hint="eastAsia" w:ascii="Times New Roman" w:hAnsi="Times New Roman" w:eastAsia="宋体" w:cs="Times New Roman"/>
                <w:color w:val="000000"/>
                <w:spacing w:val="0"/>
                <w:kern w:val="0"/>
                <w:sz w:val="24"/>
              </w:rPr>
              <w:t>厚高密度聚乙烯膜等人工防渗材料（渗透系数不大于</w:t>
            </w:r>
            <w:r>
              <w:rPr>
                <w:rFonts w:ascii="Times New Roman" w:hAnsi="Times New Roman" w:eastAsia="宋体" w:cs="Times New Roman"/>
                <w:color w:val="000000"/>
                <w:spacing w:val="0"/>
                <w:kern w:val="0"/>
                <w:sz w:val="24"/>
              </w:rPr>
              <w:t>10</w:t>
            </w:r>
            <w:r>
              <w:rPr>
                <w:rFonts w:ascii="Times New Roman" w:hAnsi="Times New Roman" w:eastAsia="宋体" w:cs="Times New Roman"/>
                <w:color w:val="000000"/>
                <w:spacing w:val="0"/>
                <w:kern w:val="0"/>
                <w:sz w:val="24"/>
                <w:vertAlign w:val="superscript"/>
              </w:rPr>
              <w:t>-10</w:t>
            </w:r>
            <w:r>
              <w:rPr>
                <w:rFonts w:ascii="Times New Roman" w:hAnsi="Times New Roman" w:eastAsia="宋体" w:cs="Times New Roman"/>
                <w:color w:val="000000"/>
                <w:spacing w:val="0"/>
                <w:kern w:val="0"/>
                <w:sz w:val="24"/>
              </w:rPr>
              <w:t>cm/s</w:t>
            </w:r>
            <w:r>
              <w:rPr>
                <w:rFonts w:hint="eastAsia" w:ascii="Times New Roman" w:hAnsi="Times New Roman" w:eastAsia="宋体" w:cs="Times New Roman"/>
                <w:color w:val="000000"/>
                <w:spacing w:val="0"/>
                <w:kern w:val="0"/>
                <w:sz w:val="24"/>
              </w:rPr>
              <w:t>），或其他防渗性能等效的材料。</w:t>
            </w:r>
          </w:p>
          <w:p w14:paraId="2EE6B410">
            <w:pPr>
              <w:spacing w:line="360" w:lineRule="auto"/>
              <w:ind w:firstLine="480" w:firstLineChars="200"/>
              <w:rPr>
                <w:rFonts w:ascii="Times New Roman" w:hAnsi="Times New Roman" w:eastAsia="宋体" w:cs="Times New Roman"/>
                <w:color w:val="000000"/>
                <w:spacing w:val="0"/>
                <w:kern w:val="0"/>
                <w:sz w:val="24"/>
              </w:rPr>
            </w:pPr>
            <w:r>
              <w:rPr>
                <w:rFonts w:ascii="Times New Roman" w:hAnsi="Times New Roman" w:eastAsia="宋体" w:cs="Times New Roman"/>
                <w:color w:val="000000"/>
                <w:spacing w:val="0"/>
                <w:kern w:val="0"/>
                <w:sz w:val="24"/>
              </w:rPr>
              <w:t>⑤</w:t>
            </w:r>
            <w:r>
              <w:rPr>
                <w:rFonts w:hint="eastAsia" w:ascii="Times New Roman" w:hAnsi="Times New Roman" w:eastAsia="宋体" w:cs="Times New Roman"/>
                <w:color w:val="000000"/>
                <w:spacing w:val="0"/>
                <w:kern w:val="0"/>
                <w:sz w:val="24"/>
              </w:rPr>
              <w:t>同一贮存设施宜采用相同的防渗、防腐工艺（包括防渗、防腐结构或材料），防渗、防腐材料应覆盖所有可能与废物及其渗滤液、渗漏液等接触的构筑物表面；采用不同防渗、防腐工艺应分别建设贮存分区</w:t>
            </w:r>
            <w:r>
              <w:rPr>
                <w:rFonts w:ascii="Times New Roman" w:hAnsi="Times New Roman" w:eastAsia="宋体" w:cs="Times New Roman"/>
                <w:color w:val="000000"/>
                <w:spacing w:val="0"/>
                <w:kern w:val="0"/>
                <w:sz w:val="24"/>
              </w:rPr>
              <w:t>。</w:t>
            </w:r>
          </w:p>
          <w:p w14:paraId="3858798D">
            <w:pPr>
              <w:spacing w:line="360" w:lineRule="auto"/>
              <w:ind w:firstLine="480" w:firstLineChars="200"/>
              <w:rPr>
                <w:rFonts w:ascii="Times New Roman" w:hAnsi="Times New Roman" w:eastAsia="宋体" w:cs="Times New Roman"/>
                <w:color w:val="000000"/>
                <w:spacing w:val="0"/>
                <w:kern w:val="0"/>
                <w:sz w:val="24"/>
              </w:rPr>
            </w:pPr>
            <w:r>
              <w:rPr>
                <w:rFonts w:ascii="Times New Roman" w:hAnsi="Times New Roman" w:eastAsia="宋体" w:cs="Times New Roman"/>
                <w:color w:val="000000"/>
                <w:spacing w:val="0"/>
                <w:kern w:val="0"/>
                <w:sz w:val="24"/>
              </w:rPr>
              <w:t>⑥</w:t>
            </w:r>
            <w:r>
              <w:rPr>
                <w:rFonts w:hint="eastAsia" w:ascii="Times New Roman" w:hAnsi="Times New Roman" w:eastAsia="宋体" w:cs="Times New Roman"/>
                <w:color w:val="000000"/>
                <w:spacing w:val="0"/>
                <w:kern w:val="0"/>
                <w:sz w:val="24"/>
              </w:rPr>
              <w:t>贮存设施应采取技术和管理措施防止无关人员进入</w:t>
            </w:r>
            <w:r>
              <w:rPr>
                <w:rFonts w:ascii="Times New Roman" w:hAnsi="Times New Roman" w:eastAsia="宋体" w:cs="Times New Roman"/>
                <w:color w:val="000000"/>
                <w:spacing w:val="0"/>
                <w:kern w:val="0"/>
                <w:sz w:val="24"/>
              </w:rPr>
              <w:t>。</w:t>
            </w:r>
          </w:p>
          <w:p w14:paraId="4523BE2E">
            <w:pPr>
              <w:spacing w:line="360" w:lineRule="auto"/>
              <w:ind w:firstLine="482" w:firstLineChars="200"/>
              <w:rPr>
                <w:rFonts w:hint="eastAsia" w:ascii="Times New Roman" w:hAnsi="Times New Roman" w:eastAsia="宋体" w:cs="Times New Roman"/>
                <w:b/>
                <w:bCs/>
                <w:color w:val="000000"/>
                <w:spacing w:val="0"/>
                <w:kern w:val="0"/>
                <w:sz w:val="24"/>
                <w:lang w:bidi="ar"/>
              </w:rPr>
            </w:pPr>
            <w:r>
              <w:rPr>
                <w:rFonts w:hint="eastAsia" w:ascii="Times New Roman" w:hAnsi="Times New Roman" w:eastAsia="宋体" w:cs="Times New Roman"/>
                <w:b/>
                <w:bCs/>
                <w:color w:val="000000"/>
                <w:spacing w:val="0"/>
                <w:kern w:val="0"/>
                <w:sz w:val="24"/>
                <w:lang w:bidi="ar"/>
              </w:rPr>
              <w:t>容器和包装物污染控制要求：</w:t>
            </w:r>
          </w:p>
          <w:p w14:paraId="35FF4388">
            <w:pPr>
              <w:spacing w:line="360" w:lineRule="auto"/>
              <w:ind w:firstLine="480" w:firstLineChars="200"/>
              <w:rPr>
                <w:rFonts w:ascii="Times New Roman" w:hAnsi="Times New Roman" w:eastAsia="宋体" w:cs="Times New Roman"/>
                <w:color w:val="000000"/>
                <w:spacing w:val="0"/>
                <w:kern w:val="0"/>
                <w:sz w:val="24"/>
              </w:rPr>
            </w:pPr>
            <w:r>
              <w:rPr>
                <w:rFonts w:ascii="Times New Roman" w:hAnsi="Times New Roman" w:eastAsia="宋体" w:cs="Times New Roman"/>
                <w:color w:val="000000"/>
                <w:spacing w:val="0"/>
                <w:kern w:val="0"/>
                <w:sz w:val="24"/>
              </w:rPr>
              <w:t>①</w:t>
            </w:r>
            <w:r>
              <w:rPr>
                <w:rFonts w:hint="eastAsia" w:ascii="Times New Roman" w:hAnsi="Times New Roman" w:eastAsia="宋体" w:cs="Times New Roman"/>
                <w:color w:val="000000"/>
                <w:spacing w:val="0"/>
                <w:kern w:val="0"/>
                <w:sz w:val="24"/>
              </w:rPr>
              <w:t>容器和包装物材质、内衬应与盛装的危险废物相容。</w:t>
            </w:r>
          </w:p>
          <w:p w14:paraId="69091942">
            <w:pPr>
              <w:spacing w:line="360" w:lineRule="auto"/>
              <w:ind w:firstLine="480" w:firstLineChars="200"/>
              <w:rPr>
                <w:rFonts w:ascii="Times New Roman" w:hAnsi="Times New Roman" w:eastAsia="宋体" w:cs="Times New Roman"/>
                <w:color w:val="000000"/>
                <w:spacing w:val="0"/>
                <w:kern w:val="0"/>
                <w:sz w:val="24"/>
              </w:rPr>
            </w:pPr>
            <w:r>
              <w:rPr>
                <w:rFonts w:ascii="Times New Roman" w:hAnsi="Times New Roman" w:eastAsia="宋体" w:cs="Times New Roman"/>
                <w:color w:val="000000"/>
                <w:spacing w:val="0"/>
                <w:kern w:val="0"/>
                <w:sz w:val="24"/>
              </w:rPr>
              <w:t>②</w:t>
            </w:r>
            <w:r>
              <w:rPr>
                <w:rFonts w:hint="eastAsia" w:ascii="Times New Roman" w:hAnsi="Times New Roman" w:eastAsia="宋体" w:cs="Times New Roman"/>
                <w:color w:val="000000"/>
                <w:spacing w:val="0"/>
                <w:kern w:val="0"/>
                <w:sz w:val="24"/>
              </w:rPr>
              <w:t>针对不同类别、形态、物理化学性质的危险废物，其容器和包装物应满足相应的防渗、防漏、防腐和强度等要求。</w:t>
            </w:r>
          </w:p>
          <w:p w14:paraId="1B45AE1F">
            <w:pPr>
              <w:spacing w:line="360" w:lineRule="auto"/>
              <w:ind w:firstLine="480" w:firstLineChars="200"/>
              <w:rPr>
                <w:rFonts w:ascii="Times New Roman" w:hAnsi="Times New Roman" w:eastAsia="宋体" w:cs="Times New Roman"/>
                <w:color w:val="000000"/>
                <w:spacing w:val="0"/>
                <w:kern w:val="0"/>
                <w:sz w:val="24"/>
              </w:rPr>
            </w:pPr>
            <w:r>
              <w:rPr>
                <w:rFonts w:ascii="Times New Roman" w:hAnsi="Times New Roman" w:eastAsia="宋体" w:cs="Times New Roman"/>
                <w:color w:val="000000"/>
                <w:spacing w:val="0"/>
                <w:kern w:val="0"/>
                <w:sz w:val="24"/>
              </w:rPr>
              <w:t>③</w:t>
            </w:r>
            <w:r>
              <w:rPr>
                <w:rFonts w:hint="eastAsia" w:ascii="Times New Roman" w:hAnsi="Times New Roman" w:eastAsia="宋体" w:cs="Times New Roman"/>
                <w:color w:val="000000"/>
                <w:spacing w:val="0"/>
                <w:kern w:val="0"/>
                <w:sz w:val="24"/>
              </w:rPr>
              <w:t>硬质容器和包装物及其支护结构堆叠码放时不应有明显变形，无破损泄漏。</w:t>
            </w:r>
          </w:p>
          <w:p w14:paraId="36262EB6">
            <w:pPr>
              <w:spacing w:line="360" w:lineRule="auto"/>
              <w:ind w:firstLine="480" w:firstLineChars="200"/>
              <w:rPr>
                <w:rFonts w:ascii="Times New Roman" w:hAnsi="Times New Roman" w:eastAsia="宋体" w:cs="Times New Roman"/>
                <w:color w:val="000000"/>
                <w:spacing w:val="0"/>
                <w:kern w:val="0"/>
                <w:sz w:val="24"/>
              </w:rPr>
            </w:pPr>
            <w:r>
              <w:rPr>
                <w:rFonts w:ascii="Times New Roman" w:hAnsi="Times New Roman" w:eastAsia="宋体" w:cs="Times New Roman"/>
                <w:color w:val="000000"/>
                <w:spacing w:val="0"/>
                <w:kern w:val="0"/>
                <w:sz w:val="24"/>
              </w:rPr>
              <w:t>④</w:t>
            </w:r>
            <w:r>
              <w:rPr>
                <w:rFonts w:hint="eastAsia" w:ascii="Times New Roman" w:hAnsi="Times New Roman" w:eastAsia="宋体" w:cs="Times New Roman"/>
                <w:color w:val="000000"/>
                <w:spacing w:val="0"/>
                <w:kern w:val="0"/>
                <w:sz w:val="24"/>
              </w:rPr>
              <w:t>柔性容器和包装物堆叠码放时应封口严密，无破损泄漏。</w:t>
            </w:r>
          </w:p>
          <w:p w14:paraId="26E75B64">
            <w:pPr>
              <w:spacing w:line="360" w:lineRule="auto"/>
              <w:ind w:firstLine="480" w:firstLineChars="200"/>
              <w:rPr>
                <w:rFonts w:hint="eastAsia" w:ascii="Times New Roman" w:hAnsi="Times New Roman" w:eastAsia="宋体" w:cs="Times New Roman"/>
                <w:color w:val="000000"/>
                <w:spacing w:val="0"/>
                <w:kern w:val="0"/>
                <w:sz w:val="24"/>
              </w:rPr>
            </w:pPr>
            <w:r>
              <w:rPr>
                <w:rFonts w:hint="eastAsia" w:ascii="Times New Roman" w:hAnsi="Times New Roman" w:eastAsia="宋体" w:cs="Times New Roman"/>
                <w:color w:val="000000"/>
                <w:spacing w:val="0"/>
                <w:kern w:val="0"/>
                <w:sz w:val="24"/>
              </w:rPr>
              <w:t>⑤使用容器盛装液态、半固态危险废物时，容器内部应留有适当的空间，以适应因温度变化等可能引发的收缩和膨胀，防止其导致容器渗漏或永久变形。</w:t>
            </w:r>
          </w:p>
          <w:p w14:paraId="768C2797">
            <w:pPr>
              <w:spacing w:line="360" w:lineRule="auto"/>
              <w:ind w:firstLine="480" w:firstLineChars="200"/>
              <w:rPr>
                <w:rFonts w:hint="eastAsia" w:ascii="Times New Roman" w:hAnsi="Times New Roman" w:eastAsia="宋体" w:cs="Times New Roman"/>
                <w:color w:val="000000"/>
                <w:spacing w:val="0"/>
                <w:kern w:val="0"/>
                <w:sz w:val="24"/>
              </w:rPr>
            </w:pPr>
            <w:r>
              <w:rPr>
                <w:rFonts w:hint="eastAsia" w:ascii="Times New Roman" w:hAnsi="Times New Roman" w:eastAsia="宋体" w:cs="Times New Roman"/>
                <w:color w:val="000000"/>
                <w:spacing w:val="0"/>
                <w:kern w:val="0"/>
                <w:sz w:val="24"/>
              </w:rPr>
              <w:t>⑥容器和包装物外表面应保持清洁。</w:t>
            </w:r>
          </w:p>
          <w:p w14:paraId="02364A4F">
            <w:pPr>
              <w:spacing w:line="360" w:lineRule="auto"/>
              <w:ind w:firstLine="482" w:firstLineChars="200"/>
              <w:rPr>
                <w:rFonts w:hint="eastAsia" w:ascii="Times New Roman" w:hAnsi="Times New Roman" w:eastAsia="宋体" w:cs="Times New Roman"/>
                <w:b/>
                <w:bCs/>
                <w:color w:val="000000"/>
                <w:spacing w:val="0"/>
                <w:kern w:val="0"/>
                <w:sz w:val="24"/>
                <w:lang w:bidi="ar"/>
              </w:rPr>
            </w:pPr>
            <w:r>
              <w:rPr>
                <w:rFonts w:ascii="Times New Roman" w:hAnsi="Times New Roman" w:eastAsia="宋体" w:cs="Times New Roman"/>
                <w:b/>
                <w:bCs/>
                <w:color w:val="000000"/>
                <w:spacing w:val="0"/>
                <w:kern w:val="0"/>
                <w:sz w:val="24"/>
                <w:lang w:bidi="ar"/>
              </w:rPr>
              <w:t>危险废物贮存设施的运行与管理要求</w:t>
            </w:r>
            <w:r>
              <w:rPr>
                <w:rFonts w:hint="eastAsia" w:ascii="Times New Roman" w:hAnsi="Times New Roman" w:eastAsia="宋体" w:cs="Times New Roman"/>
                <w:b/>
                <w:bCs/>
                <w:color w:val="000000"/>
                <w:spacing w:val="0"/>
                <w:kern w:val="0"/>
                <w:sz w:val="24"/>
                <w:lang w:bidi="ar"/>
              </w:rPr>
              <w:t>：</w:t>
            </w:r>
          </w:p>
          <w:p w14:paraId="5CE7A136">
            <w:pPr>
              <w:spacing w:line="360" w:lineRule="auto"/>
              <w:ind w:firstLine="480" w:firstLineChars="200"/>
              <w:rPr>
                <w:rFonts w:ascii="Times New Roman" w:hAnsi="Times New Roman" w:eastAsia="宋体" w:cs="Times New Roman"/>
                <w:color w:val="000000"/>
                <w:spacing w:val="0"/>
                <w:kern w:val="0"/>
                <w:sz w:val="24"/>
                <w:lang w:bidi="ar"/>
              </w:rPr>
            </w:pPr>
            <w:r>
              <w:rPr>
                <w:rFonts w:ascii="Times New Roman" w:hAnsi="Times New Roman" w:eastAsia="宋体" w:cs="Times New Roman"/>
                <w:color w:val="000000"/>
                <w:spacing w:val="0"/>
                <w:kern w:val="0"/>
                <w:sz w:val="24"/>
                <w:lang w:bidi="ar"/>
              </w:rPr>
              <w:t>①危险废物存入贮存设施前应对危险废物类别和特性与危险废物标签等危险废物识别标志的一致性进行核验，不一致的或类别、特性不明的不应存入。</w:t>
            </w:r>
          </w:p>
          <w:p w14:paraId="140DA2CD">
            <w:pPr>
              <w:spacing w:line="360" w:lineRule="auto"/>
              <w:ind w:firstLine="480" w:firstLineChars="200"/>
              <w:rPr>
                <w:rFonts w:ascii="Times New Roman" w:hAnsi="Times New Roman" w:eastAsia="宋体" w:cs="Times New Roman"/>
                <w:color w:val="000000"/>
                <w:spacing w:val="0"/>
                <w:kern w:val="0"/>
                <w:sz w:val="24"/>
                <w:lang w:bidi="ar"/>
              </w:rPr>
            </w:pPr>
            <w:r>
              <w:rPr>
                <w:rFonts w:ascii="Times New Roman" w:hAnsi="Times New Roman" w:eastAsia="宋体" w:cs="Times New Roman"/>
                <w:color w:val="000000"/>
                <w:spacing w:val="0"/>
                <w:kern w:val="0"/>
                <w:sz w:val="24"/>
                <w:lang w:bidi="ar"/>
              </w:rPr>
              <w:t>②应定期检查危险废物的贮存状况，及时清理贮存设施地面，更换破损泄漏的危险废物贮存容器和包装物，保证堆存危险废物的防雨、防风、防扬尘等设施功能完好。</w:t>
            </w:r>
          </w:p>
          <w:p w14:paraId="16560432">
            <w:pPr>
              <w:spacing w:line="360" w:lineRule="auto"/>
              <w:ind w:firstLine="480" w:firstLineChars="200"/>
              <w:rPr>
                <w:rFonts w:ascii="Times New Roman" w:hAnsi="Times New Roman" w:eastAsia="宋体" w:cs="Times New Roman"/>
                <w:color w:val="000000"/>
                <w:spacing w:val="0"/>
                <w:kern w:val="0"/>
                <w:sz w:val="24"/>
                <w:lang w:bidi="ar"/>
              </w:rPr>
            </w:pPr>
            <w:r>
              <w:rPr>
                <w:rFonts w:ascii="Times New Roman" w:hAnsi="Times New Roman" w:eastAsia="宋体" w:cs="Times New Roman"/>
                <w:color w:val="000000"/>
                <w:spacing w:val="0"/>
                <w:kern w:val="0"/>
                <w:sz w:val="24"/>
                <w:lang w:bidi="ar"/>
              </w:rPr>
              <w:t>③作业设备及车辆等结束作业离开贮存设施时，应对其残留的危险废物进行清理，清理的废物或清洗废水应收集处理。</w:t>
            </w:r>
          </w:p>
          <w:p w14:paraId="4B5DCC63">
            <w:pPr>
              <w:spacing w:line="360" w:lineRule="auto"/>
              <w:ind w:firstLine="480" w:firstLineChars="200"/>
              <w:rPr>
                <w:rFonts w:ascii="Times New Roman" w:hAnsi="Times New Roman" w:eastAsia="宋体" w:cs="Times New Roman"/>
                <w:color w:val="000000"/>
                <w:spacing w:val="0"/>
                <w:kern w:val="0"/>
                <w:sz w:val="24"/>
                <w:lang w:bidi="ar"/>
              </w:rPr>
            </w:pPr>
            <w:r>
              <w:rPr>
                <w:rFonts w:ascii="Times New Roman" w:hAnsi="Times New Roman" w:eastAsia="宋体" w:cs="Times New Roman"/>
                <w:color w:val="000000"/>
                <w:spacing w:val="0"/>
                <w:kern w:val="0"/>
                <w:sz w:val="24"/>
                <w:lang w:bidi="ar"/>
              </w:rPr>
              <w:t>④贮存设施运行期间，应按国家有关标准和规定建立危险废物管理台账并保存。</w:t>
            </w:r>
          </w:p>
          <w:p w14:paraId="263EC8E7">
            <w:pPr>
              <w:spacing w:line="360" w:lineRule="auto"/>
              <w:ind w:firstLine="480" w:firstLineChars="200"/>
              <w:rPr>
                <w:rFonts w:ascii="Times New Roman" w:hAnsi="Times New Roman" w:eastAsia="宋体" w:cs="Times New Roman"/>
                <w:color w:val="000000"/>
                <w:spacing w:val="0"/>
                <w:kern w:val="0"/>
                <w:sz w:val="24"/>
                <w:lang w:bidi="ar"/>
              </w:rPr>
            </w:pPr>
            <w:r>
              <w:rPr>
                <w:rFonts w:ascii="Times New Roman" w:hAnsi="Times New Roman" w:eastAsia="宋体" w:cs="Times New Roman"/>
                <w:color w:val="000000"/>
                <w:spacing w:val="0"/>
                <w:kern w:val="0"/>
                <w:sz w:val="24"/>
                <w:lang w:bidi="ar"/>
              </w:rPr>
              <w:t>⑤贮存设施所有者或运营者应建立贮存设施环境管理制度、管理人员岗位职责制度、设施运行操作制度、人员岗位培训制度等。</w:t>
            </w:r>
          </w:p>
          <w:p w14:paraId="5C7363A3">
            <w:pPr>
              <w:spacing w:line="360" w:lineRule="auto"/>
              <w:ind w:firstLine="480" w:firstLineChars="200"/>
              <w:rPr>
                <w:rFonts w:ascii="Times New Roman" w:hAnsi="Times New Roman" w:eastAsia="宋体" w:cs="Times New Roman"/>
                <w:color w:val="000000"/>
                <w:spacing w:val="0"/>
                <w:kern w:val="0"/>
                <w:sz w:val="24"/>
                <w:lang w:bidi="ar"/>
              </w:rPr>
            </w:pPr>
            <w:r>
              <w:rPr>
                <w:rFonts w:ascii="Times New Roman" w:hAnsi="Times New Roman" w:eastAsia="宋体" w:cs="Times New Roman"/>
                <w:color w:val="000000"/>
                <w:spacing w:val="0"/>
                <w:kern w:val="0"/>
                <w:sz w:val="24"/>
                <w:lang w:bidi="ar"/>
              </w:rPr>
              <w:t>⑥贮存设施所有者或运营者应依据国家土壤和地下水污染防治的有关规定，结合贮存设施特点建立土壤和地下水污染隐患排查制度，并定期开展隐患排查；发现隐患应及时采取措施消除隐患，并建立档案。</w:t>
            </w:r>
          </w:p>
          <w:p w14:paraId="4A9C2D4A">
            <w:pPr>
              <w:spacing w:line="360" w:lineRule="auto"/>
              <w:ind w:firstLine="480" w:firstLineChars="200"/>
              <w:rPr>
                <w:rFonts w:ascii="Times New Roman" w:hAnsi="Times New Roman" w:eastAsia="宋体" w:cs="Times New Roman"/>
                <w:color w:val="000000"/>
                <w:spacing w:val="0"/>
                <w:kern w:val="0"/>
                <w:sz w:val="24"/>
                <w:lang w:bidi="ar"/>
              </w:rPr>
            </w:pPr>
            <w:r>
              <w:rPr>
                <w:rFonts w:ascii="Times New Roman" w:hAnsi="Times New Roman" w:eastAsia="宋体" w:cs="Times New Roman"/>
                <w:color w:val="000000"/>
                <w:spacing w:val="0"/>
                <w:kern w:val="0"/>
                <w:sz w:val="24"/>
                <w:lang w:bidi="ar"/>
              </w:rPr>
              <w:t>⑦贮存设施所有者或运营者应建立贮存设施全部档案，包括设计、施工、验收、运行、监测和环境应急等，应按国家有关档案管理的法律法规进行整理和归档。</w:t>
            </w:r>
          </w:p>
          <w:p w14:paraId="096CDC5F">
            <w:pPr>
              <w:spacing w:line="360" w:lineRule="auto"/>
              <w:ind w:firstLine="482" w:firstLineChars="200"/>
              <w:rPr>
                <w:rFonts w:hint="eastAsia" w:ascii="Times New Roman" w:hAnsi="Times New Roman" w:eastAsia="宋体" w:cs="Times New Roman"/>
                <w:b/>
                <w:bCs/>
                <w:color w:val="000000"/>
                <w:spacing w:val="0"/>
                <w:kern w:val="0"/>
                <w:sz w:val="24"/>
                <w:lang w:bidi="ar"/>
              </w:rPr>
            </w:pPr>
            <w:r>
              <w:rPr>
                <w:rFonts w:ascii="Times New Roman" w:hAnsi="Times New Roman" w:eastAsia="宋体" w:cs="Times New Roman"/>
                <w:b/>
                <w:bCs/>
                <w:color w:val="000000"/>
                <w:spacing w:val="0"/>
                <w:kern w:val="0"/>
                <w:sz w:val="24"/>
                <w:lang w:bidi="ar"/>
              </w:rPr>
              <w:t>危险废物贮存设施的安全防护要求</w:t>
            </w:r>
            <w:r>
              <w:rPr>
                <w:rFonts w:hint="eastAsia" w:ascii="Times New Roman" w:hAnsi="Times New Roman" w:eastAsia="宋体" w:cs="Times New Roman"/>
                <w:b/>
                <w:bCs/>
                <w:color w:val="000000"/>
                <w:spacing w:val="0"/>
                <w:kern w:val="0"/>
                <w:sz w:val="24"/>
                <w:lang w:bidi="ar"/>
              </w:rPr>
              <w:t>：</w:t>
            </w:r>
          </w:p>
          <w:p w14:paraId="682C0F57">
            <w:pPr>
              <w:spacing w:line="360" w:lineRule="auto"/>
              <w:ind w:firstLine="480" w:firstLineChars="200"/>
              <w:rPr>
                <w:rFonts w:ascii="Times New Roman" w:hAnsi="Times New Roman" w:eastAsia="宋体" w:cs="Times New Roman"/>
                <w:color w:val="000000"/>
                <w:spacing w:val="0"/>
                <w:kern w:val="0"/>
                <w:sz w:val="24"/>
                <w:lang w:bidi="ar"/>
              </w:rPr>
            </w:pPr>
            <w:r>
              <w:rPr>
                <w:rFonts w:ascii="Times New Roman" w:hAnsi="Times New Roman" w:eastAsia="宋体" w:cs="Times New Roman"/>
                <w:color w:val="000000"/>
                <w:spacing w:val="0"/>
                <w:kern w:val="0"/>
                <w:sz w:val="24"/>
                <w:lang w:bidi="ar"/>
              </w:rPr>
              <w:t>①危险废物贮存设施都必须按GB15562.2</w:t>
            </w:r>
            <w:r>
              <w:rPr>
                <w:rFonts w:hint="eastAsia" w:ascii="Times New Roman" w:hAnsi="Times New Roman" w:eastAsia="宋体" w:cs="Times New Roman"/>
                <w:color w:val="000000"/>
                <w:spacing w:val="0"/>
                <w:kern w:val="0"/>
                <w:sz w:val="24"/>
                <w:lang w:val="en-US" w:eastAsia="zh-CN" w:bidi="ar"/>
              </w:rPr>
              <w:t>及修改单</w:t>
            </w:r>
            <w:r>
              <w:rPr>
                <w:rFonts w:ascii="Times New Roman" w:hAnsi="Times New Roman" w:eastAsia="宋体" w:cs="Times New Roman"/>
                <w:color w:val="000000"/>
                <w:spacing w:val="0"/>
                <w:kern w:val="0"/>
                <w:sz w:val="24"/>
                <w:lang w:bidi="ar"/>
              </w:rPr>
              <w:t>的规定设置警示标志。</w:t>
            </w:r>
          </w:p>
          <w:p w14:paraId="3B70456B">
            <w:pPr>
              <w:spacing w:line="360" w:lineRule="auto"/>
              <w:ind w:firstLine="480" w:firstLineChars="200"/>
              <w:rPr>
                <w:rFonts w:ascii="Times New Roman" w:hAnsi="Times New Roman" w:eastAsia="宋体" w:cs="Times New Roman"/>
                <w:color w:val="000000"/>
                <w:spacing w:val="0"/>
                <w:kern w:val="0"/>
                <w:sz w:val="24"/>
                <w:lang w:bidi="ar"/>
              </w:rPr>
            </w:pPr>
            <w:r>
              <w:rPr>
                <w:rFonts w:ascii="Times New Roman" w:hAnsi="Times New Roman" w:eastAsia="宋体" w:cs="Times New Roman"/>
                <w:color w:val="000000"/>
                <w:spacing w:val="0"/>
                <w:kern w:val="0"/>
                <w:sz w:val="24"/>
                <w:lang w:bidi="ar"/>
              </w:rPr>
              <w:t>②危险废物贮存设施周围应设置围墙</w:t>
            </w:r>
            <w:r>
              <w:rPr>
                <w:rFonts w:hint="eastAsia" w:ascii="Times New Roman" w:hAnsi="Times New Roman" w:eastAsia="宋体" w:cs="Times New Roman"/>
                <w:color w:val="000000"/>
                <w:spacing w:val="0"/>
                <w:kern w:val="0"/>
                <w:sz w:val="24"/>
                <w:lang w:eastAsia="zh-CN" w:bidi="ar"/>
              </w:rPr>
              <w:t>或其他</w:t>
            </w:r>
            <w:r>
              <w:rPr>
                <w:rFonts w:ascii="Times New Roman" w:hAnsi="Times New Roman" w:eastAsia="宋体" w:cs="Times New Roman"/>
                <w:color w:val="000000"/>
                <w:spacing w:val="0"/>
                <w:kern w:val="0"/>
                <w:sz w:val="24"/>
                <w:lang w:bidi="ar"/>
              </w:rPr>
              <w:t>防护栅栏。</w:t>
            </w:r>
          </w:p>
          <w:p w14:paraId="005AC678">
            <w:pPr>
              <w:spacing w:line="360" w:lineRule="auto"/>
              <w:ind w:firstLine="480" w:firstLineChars="200"/>
              <w:rPr>
                <w:rFonts w:ascii="Times New Roman" w:hAnsi="Times New Roman" w:eastAsia="宋体" w:cs="Times New Roman"/>
                <w:color w:val="000000"/>
                <w:spacing w:val="0"/>
                <w:kern w:val="0"/>
                <w:sz w:val="24"/>
                <w:lang w:bidi="ar"/>
              </w:rPr>
            </w:pPr>
            <w:r>
              <w:rPr>
                <w:rFonts w:ascii="Times New Roman" w:hAnsi="Times New Roman" w:eastAsia="宋体" w:cs="Times New Roman"/>
                <w:color w:val="000000"/>
                <w:spacing w:val="0"/>
                <w:kern w:val="0"/>
                <w:sz w:val="24"/>
                <w:lang w:bidi="ar"/>
              </w:rPr>
              <w:t>③危险废物贮存设施应配备通讯设备、照明设施、安全防护服装及工具，并设有应急防护设施。</w:t>
            </w:r>
          </w:p>
          <w:p w14:paraId="32E9CAF2">
            <w:pPr>
              <w:spacing w:line="360" w:lineRule="auto"/>
              <w:ind w:firstLine="480" w:firstLineChars="200"/>
              <w:rPr>
                <w:rFonts w:ascii="Times New Roman" w:hAnsi="Times New Roman" w:eastAsia="宋体" w:cs="Times New Roman"/>
                <w:color w:val="000000"/>
                <w:spacing w:val="0"/>
                <w:kern w:val="0"/>
                <w:sz w:val="24"/>
                <w:lang w:bidi="ar"/>
              </w:rPr>
            </w:pPr>
            <w:r>
              <w:rPr>
                <w:rFonts w:ascii="Times New Roman" w:hAnsi="Times New Roman" w:eastAsia="宋体" w:cs="Times New Roman"/>
                <w:color w:val="000000"/>
                <w:spacing w:val="0"/>
                <w:kern w:val="0"/>
                <w:sz w:val="24"/>
                <w:lang w:bidi="ar"/>
              </w:rPr>
              <w:t>④危险废物贮存设施内清理出来的泄漏物，一律按危险废物处理。</w:t>
            </w:r>
          </w:p>
          <w:p w14:paraId="14AE0CD9">
            <w:pPr>
              <w:spacing w:line="360" w:lineRule="auto"/>
              <w:ind w:firstLine="482" w:firstLineChars="200"/>
              <w:rPr>
                <w:rFonts w:ascii="Times New Roman" w:hAnsi="Times New Roman" w:eastAsia="宋体" w:cs="Times New Roman"/>
                <w:b/>
                <w:bCs/>
                <w:color w:val="000000"/>
                <w:spacing w:val="0"/>
                <w:kern w:val="0"/>
                <w:sz w:val="24"/>
              </w:rPr>
            </w:pPr>
            <w:r>
              <w:rPr>
                <w:rFonts w:ascii="Times New Roman" w:hAnsi="Times New Roman" w:eastAsia="宋体" w:cs="Times New Roman"/>
                <w:b/>
                <w:bCs/>
                <w:color w:val="000000"/>
                <w:spacing w:val="0"/>
                <w:kern w:val="0"/>
                <w:sz w:val="24"/>
              </w:rPr>
              <w:t>危险废物的转运要求：</w:t>
            </w:r>
          </w:p>
          <w:p w14:paraId="0C297936">
            <w:pPr>
              <w:spacing w:line="360" w:lineRule="auto"/>
              <w:ind w:firstLine="480" w:firstLineChars="200"/>
              <w:rPr>
                <w:rFonts w:ascii="Times New Roman" w:hAnsi="Times New Roman" w:eastAsia="宋体" w:cs="Times New Roman"/>
                <w:color w:val="000000"/>
                <w:spacing w:val="0"/>
                <w:kern w:val="0"/>
                <w:sz w:val="24"/>
              </w:rPr>
            </w:pPr>
            <w:r>
              <w:rPr>
                <w:rFonts w:ascii="Times New Roman" w:hAnsi="Times New Roman" w:eastAsia="宋体" w:cs="Times New Roman"/>
                <w:color w:val="000000"/>
                <w:spacing w:val="0"/>
                <w:kern w:val="0"/>
                <w:sz w:val="24"/>
              </w:rPr>
              <w:t>危险废物应按照国家有关规定向当地环境保护行政主管部门申报登记，接受当地环境保护行政主管部门监督管理。在危险废物外运至处置单位时必须严格遵守以下要求：</w:t>
            </w:r>
          </w:p>
          <w:p w14:paraId="23E065CD">
            <w:pPr>
              <w:spacing w:line="360" w:lineRule="auto"/>
              <w:ind w:firstLine="480" w:firstLineChars="200"/>
              <w:rPr>
                <w:rFonts w:ascii="Times New Roman" w:hAnsi="Times New Roman" w:eastAsia="宋体" w:cs="Times New Roman"/>
                <w:color w:val="000000"/>
                <w:spacing w:val="0"/>
                <w:kern w:val="0"/>
                <w:sz w:val="24"/>
              </w:rPr>
            </w:pPr>
            <w:r>
              <w:rPr>
                <w:rFonts w:ascii="Times New Roman" w:hAnsi="Times New Roman" w:eastAsia="宋体" w:cs="Times New Roman"/>
                <w:color w:val="000000"/>
                <w:spacing w:val="0"/>
                <w:kern w:val="0"/>
                <w:sz w:val="24"/>
              </w:rPr>
              <w:t>①做好每次外运处置废弃物的运输登记，</w:t>
            </w:r>
            <w:r>
              <w:rPr>
                <w:rFonts w:hint="eastAsia" w:ascii="Times New Roman" w:hAnsi="Times New Roman" w:eastAsia="宋体" w:cs="Times New Roman"/>
                <w:color w:val="000000"/>
                <w:spacing w:val="0"/>
                <w:kern w:val="0"/>
                <w:sz w:val="24"/>
              </w:rPr>
              <w:t>做好危险废物电子转移联单工作</w:t>
            </w:r>
            <w:r>
              <w:rPr>
                <w:rFonts w:ascii="Times New Roman" w:hAnsi="Times New Roman" w:eastAsia="宋体" w:cs="Times New Roman"/>
                <w:color w:val="000000"/>
                <w:spacing w:val="0"/>
                <w:kern w:val="0"/>
                <w:sz w:val="24"/>
              </w:rPr>
              <w:t>。</w:t>
            </w:r>
          </w:p>
          <w:p w14:paraId="698BF5A7">
            <w:pPr>
              <w:spacing w:line="360" w:lineRule="auto"/>
              <w:ind w:firstLine="480" w:firstLineChars="200"/>
              <w:rPr>
                <w:rFonts w:ascii="Times New Roman" w:hAnsi="Times New Roman" w:eastAsia="宋体" w:cs="Times New Roman"/>
                <w:color w:val="000000"/>
                <w:spacing w:val="0"/>
                <w:kern w:val="0"/>
                <w:sz w:val="24"/>
              </w:rPr>
            </w:pPr>
            <w:r>
              <w:rPr>
                <w:rFonts w:ascii="Times New Roman" w:hAnsi="Times New Roman" w:eastAsia="宋体" w:cs="Times New Roman"/>
                <w:color w:val="000000"/>
                <w:spacing w:val="0"/>
                <w:kern w:val="0"/>
                <w:sz w:val="24"/>
              </w:rPr>
              <w:t>②废弃物处置单位的运输人员必须掌握危险化学品运输的安全知识，化学品的性质、危害特性、包装容器的使用特性和发生意外时的应急措施了解所运载的危险。运输车辆必须具有车辆危险货物运输许可证。</w:t>
            </w:r>
          </w:p>
          <w:p w14:paraId="72B83E02">
            <w:pPr>
              <w:spacing w:line="360" w:lineRule="auto"/>
              <w:ind w:firstLine="480" w:firstLineChars="200"/>
              <w:rPr>
                <w:rFonts w:ascii="Times New Roman" w:hAnsi="Times New Roman" w:eastAsia="宋体" w:cs="Times New Roman"/>
                <w:color w:val="000000"/>
                <w:spacing w:val="0"/>
                <w:kern w:val="0"/>
                <w:sz w:val="24"/>
              </w:rPr>
            </w:pPr>
            <w:r>
              <w:rPr>
                <w:rFonts w:ascii="Times New Roman" w:hAnsi="Times New Roman" w:eastAsia="宋体" w:cs="Times New Roman"/>
                <w:color w:val="000000"/>
                <w:spacing w:val="0"/>
                <w:kern w:val="0"/>
                <w:sz w:val="24"/>
              </w:rPr>
              <w:t>③处置单位在运输危险废物时必须配备押运人员，并随时处于押运人员的监管之下，不得超装、超载，严格按照所在城市规定的行车时间和行车路线行驶，不得进入危险化学品运输车辆禁止通行的区域。</w:t>
            </w:r>
          </w:p>
          <w:p w14:paraId="014F54B3">
            <w:pPr>
              <w:spacing w:line="360" w:lineRule="auto"/>
              <w:ind w:firstLine="480" w:firstLineChars="200"/>
              <w:rPr>
                <w:rFonts w:ascii="Times New Roman" w:hAnsi="Times New Roman" w:eastAsia="宋体" w:cs="Times New Roman"/>
                <w:color w:val="000000"/>
                <w:spacing w:val="0"/>
                <w:kern w:val="0"/>
                <w:sz w:val="24"/>
              </w:rPr>
            </w:pPr>
            <w:r>
              <w:rPr>
                <w:rFonts w:ascii="Times New Roman" w:hAnsi="Times New Roman" w:eastAsia="宋体" w:cs="Times New Roman"/>
                <w:color w:val="000000"/>
                <w:spacing w:val="0"/>
                <w:kern w:val="0"/>
                <w:sz w:val="24"/>
              </w:rPr>
              <w:t>④危险废物在运输途中若发生被盗、丢失、流散、泄漏等情况时，公司及押运人员必须立即向当地公安部门报告，并采取一切可能的警示措施。</w:t>
            </w:r>
          </w:p>
          <w:p w14:paraId="1EA4C51F">
            <w:pPr>
              <w:spacing w:line="360" w:lineRule="auto"/>
              <w:ind w:firstLine="480" w:firstLineChars="200"/>
              <w:rPr>
                <w:rFonts w:ascii="Times New Roman" w:hAnsi="Times New Roman" w:eastAsia="宋体" w:cs="Times New Roman"/>
                <w:color w:val="000000"/>
                <w:spacing w:val="0"/>
                <w:kern w:val="0"/>
                <w:sz w:val="24"/>
              </w:rPr>
            </w:pPr>
            <w:r>
              <w:rPr>
                <w:rFonts w:ascii="Times New Roman" w:hAnsi="Times New Roman" w:eastAsia="宋体" w:cs="Times New Roman"/>
                <w:color w:val="000000"/>
                <w:spacing w:val="0"/>
                <w:kern w:val="0"/>
                <w:sz w:val="24"/>
              </w:rPr>
              <w:t>⑤一旦发生废弃物泄漏事故，公司和废弃物处置单位都应积极协助有关部门采取必要的安全措施，减少事故损失，防止事故蔓延、扩大；针对事故对人体、动植物、土壤、水源、空气造成的现实危害和可能产生的危害，应迅速采取封闭、隔离、洗消等措施，并对事故造成的危害进行监测、处置，直至符合国家环境保护标准。</w:t>
            </w:r>
          </w:p>
          <w:p w14:paraId="73E539E8">
            <w:pPr>
              <w:spacing w:line="360" w:lineRule="auto"/>
              <w:rPr>
                <w:rFonts w:hint="default" w:ascii="Times New Roman" w:hAnsi="Times New Roman" w:eastAsia="宋体" w:cs="Times New Roman"/>
                <w:b/>
                <w:bCs/>
                <w:color w:val="000000"/>
                <w:spacing w:val="0"/>
                <w:kern w:val="0"/>
                <w:sz w:val="24"/>
              </w:rPr>
            </w:pPr>
            <w:r>
              <w:rPr>
                <w:rFonts w:hint="eastAsia" w:ascii="Times New Roman" w:hAnsi="Times New Roman" w:eastAsia="宋体" w:cs="Times New Roman"/>
                <w:b/>
                <w:bCs/>
                <w:color w:val="000000"/>
                <w:spacing w:val="0"/>
                <w:kern w:val="0"/>
                <w:sz w:val="24"/>
                <w:lang w:val="en-US" w:eastAsia="zh-CN"/>
              </w:rPr>
              <w:t>4.4</w:t>
            </w:r>
            <w:r>
              <w:rPr>
                <w:rFonts w:hint="eastAsia" w:ascii="Times New Roman" w:hAnsi="Times New Roman" w:eastAsia="宋体" w:cs="Times New Roman"/>
                <w:b/>
                <w:bCs/>
                <w:color w:val="000000"/>
                <w:spacing w:val="0"/>
                <w:kern w:val="0"/>
                <w:sz w:val="24"/>
              </w:rPr>
              <w:t>固体废物汇总</w:t>
            </w:r>
          </w:p>
          <w:p w14:paraId="20927BC6">
            <w:pPr>
              <w:spacing w:line="360" w:lineRule="auto"/>
              <w:ind w:firstLine="480" w:firstLineChars="200"/>
              <w:rPr>
                <w:rFonts w:hint="default" w:ascii="Times New Roman" w:hAnsi="Times New Roman" w:eastAsia="宋体" w:cs="Times New Roman"/>
                <w:color w:val="000000"/>
                <w:spacing w:val="0"/>
                <w:kern w:val="0"/>
                <w:sz w:val="24"/>
                <w:lang w:val="en-US" w:eastAsia="zh-CN"/>
              </w:rPr>
            </w:pPr>
            <w:r>
              <w:rPr>
                <w:rFonts w:hint="eastAsia" w:ascii="Times New Roman" w:hAnsi="Times New Roman" w:eastAsia="宋体" w:cs="Times New Roman"/>
                <w:color w:val="000000"/>
                <w:spacing w:val="0"/>
                <w:kern w:val="0"/>
                <w:sz w:val="24"/>
                <w:lang w:val="en-US" w:eastAsia="zh-CN"/>
              </w:rPr>
              <w:t>本项目固体废物汇总表见表4-9。</w:t>
            </w:r>
          </w:p>
          <w:p w14:paraId="360923B4">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ascii="Times New Roman" w:hAnsi="Times New Roman" w:eastAsia="宋体" w:cs="Times New Roman"/>
                <w:b/>
                <w:bCs/>
                <w:color w:val="000000"/>
                <w:spacing w:val="0"/>
                <w:kern w:val="0"/>
                <w:sz w:val="21"/>
                <w:szCs w:val="21"/>
              </w:rPr>
            </w:pPr>
            <w:r>
              <w:rPr>
                <w:rFonts w:ascii="Times New Roman" w:hAnsi="Times New Roman" w:eastAsia="宋体" w:cs="Times New Roman"/>
                <w:b/>
                <w:bCs/>
                <w:color w:val="000000"/>
                <w:spacing w:val="0"/>
                <w:kern w:val="0"/>
                <w:sz w:val="21"/>
                <w:szCs w:val="21"/>
              </w:rPr>
              <w:t>表</w:t>
            </w:r>
            <w:r>
              <w:rPr>
                <w:rFonts w:hint="eastAsia" w:ascii="Times New Roman" w:hAnsi="Times New Roman" w:eastAsia="宋体" w:cs="Times New Roman"/>
                <w:b/>
                <w:bCs/>
                <w:color w:val="000000"/>
                <w:spacing w:val="0"/>
                <w:kern w:val="0"/>
                <w:sz w:val="21"/>
                <w:szCs w:val="21"/>
                <w:lang w:val="en-US" w:eastAsia="zh-CN"/>
              </w:rPr>
              <w:t>4-9</w:t>
            </w:r>
            <w:r>
              <w:rPr>
                <w:rFonts w:ascii="Times New Roman" w:hAnsi="Times New Roman" w:eastAsia="宋体" w:cs="Times New Roman"/>
                <w:b/>
                <w:bCs/>
                <w:color w:val="000000"/>
                <w:spacing w:val="0"/>
                <w:kern w:val="0"/>
                <w:sz w:val="21"/>
                <w:szCs w:val="21"/>
              </w:rPr>
              <w:t xml:space="preserve">             </w:t>
            </w:r>
            <w:r>
              <w:rPr>
                <w:rFonts w:hint="eastAsia" w:ascii="Times New Roman" w:hAnsi="Times New Roman" w:eastAsia="宋体" w:cs="Times New Roman"/>
                <w:b/>
                <w:bCs/>
                <w:color w:val="000000"/>
                <w:spacing w:val="0"/>
                <w:kern w:val="0"/>
                <w:sz w:val="21"/>
                <w:szCs w:val="21"/>
                <w:lang w:val="en-US" w:eastAsia="zh-CN"/>
              </w:rPr>
              <w:t>固体</w:t>
            </w:r>
            <w:r>
              <w:rPr>
                <w:rFonts w:ascii="Times New Roman" w:hAnsi="Times New Roman" w:eastAsia="宋体" w:cs="Times New Roman"/>
                <w:b/>
                <w:bCs/>
                <w:color w:val="000000"/>
                <w:spacing w:val="0"/>
                <w:kern w:val="0"/>
                <w:sz w:val="21"/>
                <w:szCs w:val="21"/>
              </w:rPr>
              <w:t>废物产生及处置情况一览表</w:t>
            </w:r>
          </w:p>
          <w:tbl>
            <w:tblPr>
              <w:tblStyle w:val="24"/>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07"/>
              <w:gridCol w:w="964"/>
              <w:gridCol w:w="895"/>
              <w:gridCol w:w="710"/>
              <w:gridCol w:w="829"/>
              <w:gridCol w:w="671"/>
              <w:gridCol w:w="1058"/>
              <w:gridCol w:w="723"/>
              <w:gridCol w:w="1061"/>
              <w:gridCol w:w="915"/>
            </w:tblGrid>
            <w:tr w14:paraId="08902E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9" w:type="pct"/>
                  <w:vMerge w:val="restart"/>
                  <w:tcBorders>
                    <w:tl2br w:val="nil"/>
                    <w:tr2bl w:val="nil"/>
                  </w:tcBorders>
                  <w:noWrap w:val="0"/>
                  <w:vAlign w:val="center"/>
                </w:tcPr>
                <w:p w14:paraId="6F30CF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工序/生产线</w:t>
                  </w:r>
                </w:p>
              </w:tc>
              <w:tc>
                <w:tcPr>
                  <w:tcW w:w="571" w:type="pct"/>
                  <w:vMerge w:val="restart"/>
                  <w:tcBorders>
                    <w:tl2br w:val="nil"/>
                    <w:tr2bl w:val="nil"/>
                  </w:tcBorders>
                  <w:noWrap w:val="0"/>
                  <w:vAlign w:val="center"/>
                </w:tcPr>
                <w:p w14:paraId="41A2E9C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装置</w:t>
                  </w:r>
                </w:p>
              </w:tc>
              <w:tc>
                <w:tcPr>
                  <w:tcW w:w="530" w:type="pct"/>
                  <w:vMerge w:val="restart"/>
                  <w:tcBorders>
                    <w:tl2br w:val="nil"/>
                    <w:tr2bl w:val="nil"/>
                  </w:tcBorders>
                  <w:noWrap w:val="0"/>
                  <w:vAlign w:val="center"/>
                </w:tcPr>
                <w:p w14:paraId="12795F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固体废物名称</w:t>
                  </w:r>
                </w:p>
              </w:tc>
              <w:tc>
                <w:tcPr>
                  <w:tcW w:w="420" w:type="pct"/>
                  <w:vMerge w:val="restart"/>
                  <w:tcBorders>
                    <w:tl2br w:val="nil"/>
                    <w:tr2bl w:val="nil"/>
                  </w:tcBorders>
                  <w:noWrap w:val="0"/>
                  <w:vAlign w:val="center"/>
                </w:tcPr>
                <w:p w14:paraId="16090C7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固废属性</w:t>
                  </w:r>
                </w:p>
              </w:tc>
              <w:tc>
                <w:tcPr>
                  <w:tcW w:w="491" w:type="pct"/>
                  <w:vMerge w:val="restart"/>
                  <w:tcBorders>
                    <w:tl2br w:val="nil"/>
                    <w:tr2bl w:val="nil"/>
                  </w:tcBorders>
                  <w:noWrap w:val="0"/>
                  <w:vAlign w:val="center"/>
                </w:tcPr>
                <w:p w14:paraId="3A0A24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固废代码</w:t>
                  </w:r>
                </w:p>
              </w:tc>
              <w:tc>
                <w:tcPr>
                  <w:tcW w:w="1025" w:type="pct"/>
                  <w:gridSpan w:val="2"/>
                  <w:tcBorders>
                    <w:tl2br w:val="nil"/>
                    <w:tr2bl w:val="nil"/>
                  </w:tcBorders>
                  <w:noWrap w:val="0"/>
                  <w:vAlign w:val="center"/>
                </w:tcPr>
                <w:p w14:paraId="5395C14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产生情况</w:t>
                  </w:r>
                </w:p>
              </w:tc>
              <w:tc>
                <w:tcPr>
                  <w:tcW w:w="1057" w:type="pct"/>
                  <w:gridSpan w:val="2"/>
                  <w:tcBorders>
                    <w:tl2br w:val="nil"/>
                    <w:tr2bl w:val="nil"/>
                  </w:tcBorders>
                  <w:noWrap w:val="0"/>
                  <w:vAlign w:val="center"/>
                </w:tcPr>
                <w:p w14:paraId="6FA1FCD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处置措施</w:t>
                  </w:r>
                </w:p>
              </w:tc>
              <w:tc>
                <w:tcPr>
                  <w:tcW w:w="542" w:type="pct"/>
                  <w:vMerge w:val="restart"/>
                  <w:tcBorders>
                    <w:tl2br w:val="nil"/>
                    <w:tr2bl w:val="nil"/>
                  </w:tcBorders>
                  <w:noWrap w:val="0"/>
                  <w:vAlign w:val="center"/>
                </w:tcPr>
                <w:p w14:paraId="0670C7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最终去向</w:t>
                  </w:r>
                </w:p>
              </w:tc>
            </w:tr>
            <w:tr w14:paraId="2C7533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9" w:type="pct"/>
                  <w:vMerge w:val="continue"/>
                  <w:tcBorders>
                    <w:tl2br w:val="nil"/>
                    <w:tr2bl w:val="nil"/>
                  </w:tcBorders>
                  <w:noWrap w:val="0"/>
                  <w:vAlign w:val="center"/>
                </w:tcPr>
                <w:p w14:paraId="1F67FDD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p>
              </w:tc>
              <w:tc>
                <w:tcPr>
                  <w:tcW w:w="571" w:type="pct"/>
                  <w:vMerge w:val="continue"/>
                  <w:tcBorders>
                    <w:tl2br w:val="nil"/>
                    <w:tr2bl w:val="nil"/>
                  </w:tcBorders>
                  <w:noWrap w:val="0"/>
                  <w:vAlign w:val="center"/>
                </w:tcPr>
                <w:p w14:paraId="71186E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p>
              </w:tc>
              <w:tc>
                <w:tcPr>
                  <w:tcW w:w="530" w:type="pct"/>
                  <w:vMerge w:val="continue"/>
                  <w:tcBorders>
                    <w:tl2br w:val="nil"/>
                    <w:tr2bl w:val="nil"/>
                  </w:tcBorders>
                  <w:noWrap w:val="0"/>
                  <w:vAlign w:val="center"/>
                </w:tcPr>
                <w:p w14:paraId="79C72C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p>
              </w:tc>
              <w:tc>
                <w:tcPr>
                  <w:tcW w:w="420" w:type="pct"/>
                  <w:vMerge w:val="continue"/>
                  <w:tcBorders>
                    <w:tl2br w:val="nil"/>
                    <w:tr2bl w:val="nil"/>
                  </w:tcBorders>
                  <w:noWrap w:val="0"/>
                  <w:vAlign w:val="center"/>
                </w:tcPr>
                <w:p w14:paraId="7DEF516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p>
              </w:tc>
              <w:tc>
                <w:tcPr>
                  <w:tcW w:w="491" w:type="pct"/>
                  <w:vMerge w:val="continue"/>
                  <w:tcBorders>
                    <w:tl2br w:val="nil"/>
                    <w:tr2bl w:val="nil"/>
                  </w:tcBorders>
                  <w:noWrap w:val="0"/>
                  <w:vAlign w:val="center"/>
                </w:tcPr>
                <w:p w14:paraId="59B8D8B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p>
              </w:tc>
              <w:tc>
                <w:tcPr>
                  <w:tcW w:w="397" w:type="pct"/>
                  <w:tcBorders>
                    <w:tl2br w:val="nil"/>
                    <w:tr2bl w:val="nil"/>
                  </w:tcBorders>
                  <w:noWrap w:val="0"/>
                  <w:vAlign w:val="center"/>
                </w:tcPr>
                <w:p w14:paraId="66741C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核算方法</w:t>
                  </w:r>
                </w:p>
              </w:tc>
              <w:tc>
                <w:tcPr>
                  <w:tcW w:w="627" w:type="pct"/>
                  <w:tcBorders>
                    <w:tl2br w:val="nil"/>
                    <w:tr2bl w:val="nil"/>
                  </w:tcBorders>
                  <w:noWrap w:val="0"/>
                  <w:vAlign w:val="center"/>
                </w:tcPr>
                <w:p w14:paraId="781265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产生量（t/a）</w:t>
                  </w:r>
                </w:p>
              </w:tc>
              <w:tc>
                <w:tcPr>
                  <w:tcW w:w="428" w:type="pct"/>
                  <w:tcBorders>
                    <w:tl2br w:val="nil"/>
                    <w:tr2bl w:val="nil"/>
                  </w:tcBorders>
                  <w:noWrap w:val="0"/>
                  <w:vAlign w:val="center"/>
                </w:tcPr>
                <w:p w14:paraId="6240485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工艺</w:t>
                  </w:r>
                </w:p>
              </w:tc>
              <w:tc>
                <w:tcPr>
                  <w:tcW w:w="629" w:type="pct"/>
                  <w:tcBorders>
                    <w:tl2br w:val="nil"/>
                    <w:tr2bl w:val="nil"/>
                  </w:tcBorders>
                  <w:noWrap w:val="0"/>
                  <w:vAlign w:val="center"/>
                </w:tcPr>
                <w:p w14:paraId="34E0C63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处置量（t/a）</w:t>
                  </w:r>
                </w:p>
              </w:tc>
              <w:tc>
                <w:tcPr>
                  <w:tcW w:w="542" w:type="pct"/>
                  <w:vMerge w:val="continue"/>
                  <w:tcBorders>
                    <w:tl2br w:val="nil"/>
                    <w:tr2bl w:val="nil"/>
                  </w:tcBorders>
                  <w:noWrap w:val="0"/>
                  <w:vAlign w:val="center"/>
                </w:tcPr>
                <w:p w14:paraId="1BFC744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p>
              </w:tc>
            </w:tr>
            <w:tr w14:paraId="210AE5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9" w:type="pct"/>
                  <w:vMerge w:val="restart"/>
                  <w:tcBorders>
                    <w:tl2br w:val="nil"/>
                    <w:tr2bl w:val="nil"/>
                  </w:tcBorders>
                  <w:noWrap w:val="0"/>
                  <w:vAlign w:val="center"/>
                </w:tcPr>
                <w:p w14:paraId="14825C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生产线</w:t>
                  </w:r>
                </w:p>
              </w:tc>
              <w:tc>
                <w:tcPr>
                  <w:tcW w:w="571" w:type="pct"/>
                  <w:tcBorders>
                    <w:tl2br w:val="nil"/>
                    <w:tr2bl w:val="nil"/>
                  </w:tcBorders>
                  <w:noWrap w:val="0"/>
                  <w:vAlign w:val="center"/>
                </w:tcPr>
                <w:p w14:paraId="71B2E2E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破碎、雷蒙磨、搅拌机</w:t>
                  </w:r>
                </w:p>
              </w:tc>
              <w:tc>
                <w:tcPr>
                  <w:tcW w:w="530" w:type="pct"/>
                  <w:tcBorders>
                    <w:tl2br w:val="nil"/>
                    <w:tr2bl w:val="nil"/>
                  </w:tcBorders>
                  <w:noWrap w:val="0"/>
                  <w:vAlign w:val="center"/>
                </w:tcPr>
                <w:p w14:paraId="6994633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除尘灰</w:t>
                  </w:r>
                </w:p>
              </w:tc>
              <w:tc>
                <w:tcPr>
                  <w:tcW w:w="420" w:type="pct"/>
                  <w:tcBorders>
                    <w:tl2br w:val="nil"/>
                    <w:tr2bl w:val="nil"/>
                  </w:tcBorders>
                  <w:noWrap w:val="0"/>
                  <w:vAlign w:val="center"/>
                </w:tcPr>
                <w:p w14:paraId="388E69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一般固废</w:t>
                  </w:r>
                </w:p>
              </w:tc>
              <w:tc>
                <w:tcPr>
                  <w:tcW w:w="491" w:type="pct"/>
                  <w:tcBorders>
                    <w:tl2br w:val="nil"/>
                    <w:tr2bl w:val="nil"/>
                  </w:tcBorders>
                  <w:noWrap w:val="0"/>
                  <w:vAlign w:val="center"/>
                </w:tcPr>
                <w:p w14:paraId="5DE748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b w:val="0"/>
                      <w:bCs w:val="0"/>
                      <w:spacing w:val="0"/>
                      <w:kern w:val="0"/>
                      <w:position w:val="0"/>
                      <w:sz w:val="21"/>
                      <w:szCs w:val="21"/>
                      <w:vertAlign w:val="baseline"/>
                      <w:lang w:val="en-US" w:eastAsia="zh-CN"/>
                    </w:rPr>
                    <w:t>900-099-S59</w:t>
                  </w:r>
                </w:p>
              </w:tc>
              <w:tc>
                <w:tcPr>
                  <w:tcW w:w="397" w:type="pct"/>
                  <w:tcBorders>
                    <w:tl2br w:val="nil"/>
                    <w:tr2bl w:val="nil"/>
                  </w:tcBorders>
                  <w:noWrap w:val="0"/>
                  <w:vAlign w:val="center"/>
                </w:tcPr>
                <w:p w14:paraId="15738A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类比法</w:t>
                  </w:r>
                </w:p>
              </w:tc>
              <w:tc>
                <w:tcPr>
                  <w:tcW w:w="627" w:type="pct"/>
                  <w:tcBorders>
                    <w:tl2br w:val="nil"/>
                    <w:tr2bl w:val="nil"/>
                  </w:tcBorders>
                  <w:noWrap w:val="0"/>
                  <w:vAlign w:val="center"/>
                </w:tcPr>
                <w:p w14:paraId="62268F9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cs="Times New Roman"/>
                      <w:color w:val="000000"/>
                      <w:spacing w:val="0"/>
                      <w:kern w:val="0"/>
                      <w:sz w:val="21"/>
                      <w:szCs w:val="21"/>
                      <w:lang w:val="en-US" w:eastAsia="zh-CN"/>
                    </w:rPr>
                    <w:t>398215.877</w:t>
                  </w:r>
                </w:p>
              </w:tc>
              <w:tc>
                <w:tcPr>
                  <w:tcW w:w="428" w:type="pct"/>
                  <w:tcBorders>
                    <w:tl2br w:val="nil"/>
                    <w:tr2bl w:val="nil"/>
                  </w:tcBorders>
                  <w:noWrap w:val="0"/>
                  <w:vAlign w:val="center"/>
                </w:tcPr>
                <w:p w14:paraId="1954D0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自行利用</w:t>
                  </w:r>
                </w:p>
              </w:tc>
              <w:tc>
                <w:tcPr>
                  <w:tcW w:w="629" w:type="pct"/>
                  <w:tcBorders>
                    <w:tl2br w:val="nil"/>
                    <w:tr2bl w:val="nil"/>
                  </w:tcBorders>
                  <w:noWrap w:val="0"/>
                  <w:vAlign w:val="center"/>
                </w:tcPr>
                <w:p w14:paraId="4F8698E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cs="Times New Roman"/>
                      <w:color w:val="000000"/>
                      <w:spacing w:val="0"/>
                      <w:kern w:val="0"/>
                      <w:sz w:val="21"/>
                      <w:szCs w:val="21"/>
                      <w:lang w:val="en-US" w:eastAsia="zh-CN"/>
                    </w:rPr>
                    <w:t>398215.877</w:t>
                  </w:r>
                </w:p>
              </w:tc>
              <w:tc>
                <w:tcPr>
                  <w:tcW w:w="542" w:type="pct"/>
                  <w:tcBorders>
                    <w:tl2br w:val="nil"/>
                    <w:tr2bl w:val="nil"/>
                  </w:tcBorders>
                  <w:noWrap w:val="0"/>
                  <w:vAlign w:val="center"/>
                </w:tcPr>
                <w:p w14:paraId="23EB7C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回用于生产线</w:t>
                  </w:r>
                </w:p>
              </w:tc>
            </w:tr>
            <w:tr w14:paraId="2745D7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9" w:type="pct"/>
                  <w:vMerge w:val="continue"/>
                  <w:tcBorders>
                    <w:tl2br w:val="nil"/>
                    <w:tr2bl w:val="nil"/>
                  </w:tcBorders>
                  <w:noWrap w:val="0"/>
                  <w:vAlign w:val="center"/>
                </w:tcPr>
                <w:p w14:paraId="62E6D7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p>
              </w:tc>
              <w:tc>
                <w:tcPr>
                  <w:tcW w:w="571" w:type="pct"/>
                  <w:tcBorders>
                    <w:tl2br w:val="nil"/>
                    <w:tr2bl w:val="nil"/>
                  </w:tcBorders>
                  <w:noWrap w:val="0"/>
                  <w:vAlign w:val="center"/>
                </w:tcPr>
                <w:p w14:paraId="640521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1#厂房</w:t>
                  </w:r>
                </w:p>
              </w:tc>
              <w:tc>
                <w:tcPr>
                  <w:tcW w:w="530" w:type="pct"/>
                  <w:tcBorders>
                    <w:tl2br w:val="nil"/>
                    <w:tr2bl w:val="nil"/>
                  </w:tcBorders>
                  <w:noWrap w:val="0"/>
                  <w:vAlign w:val="center"/>
                </w:tcPr>
                <w:p w14:paraId="0C810ED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沉降粉尘</w:t>
                  </w:r>
                </w:p>
              </w:tc>
              <w:tc>
                <w:tcPr>
                  <w:tcW w:w="420" w:type="pct"/>
                  <w:tcBorders>
                    <w:tl2br w:val="nil"/>
                    <w:tr2bl w:val="nil"/>
                  </w:tcBorders>
                  <w:noWrap w:val="0"/>
                  <w:vAlign w:val="center"/>
                </w:tcPr>
                <w:p w14:paraId="1AEBDB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一般固废</w:t>
                  </w:r>
                </w:p>
              </w:tc>
              <w:tc>
                <w:tcPr>
                  <w:tcW w:w="491" w:type="pct"/>
                  <w:tcBorders>
                    <w:tl2br w:val="nil"/>
                    <w:tr2bl w:val="nil"/>
                  </w:tcBorders>
                  <w:noWrap w:val="0"/>
                  <w:vAlign w:val="center"/>
                </w:tcPr>
                <w:p w14:paraId="6F4A3EA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b w:val="0"/>
                      <w:bCs w:val="0"/>
                      <w:spacing w:val="0"/>
                      <w:kern w:val="0"/>
                      <w:position w:val="0"/>
                      <w:sz w:val="21"/>
                      <w:szCs w:val="21"/>
                      <w:vertAlign w:val="baseline"/>
                      <w:lang w:val="en-US" w:eastAsia="zh-CN"/>
                    </w:rPr>
                    <w:t>900-099-S59</w:t>
                  </w:r>
                </w:p>
              </w:tc>
              <w:tc>
                <w:tcPr>
                  <w:tcW w:w="397" w:type="pct"/>
                  <w:tcBorders>
                    <w:tl2br w:val="nil"/>
                    <w:tr2bl w:val="nil"/>
                  </w:tcBorders>
                  <w:noWrap w:val="0"/>
                  <w:vAlign w:val="center"/>
                </w:tcPr>
                <w:p w14:paraId="2083374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类比法</w:t>
                  </w:r>
                </w:p>
              </w:tc>
              <w:tc>
                <w:tcPr>
                  <w:tcW w:w="627" w:type="pct"/>
                  <w:tcBorders>
                    <w:tl2br w:val="nil"/>
                    <w:tr2bl w:val="nil"/>
                  </w:tcBorders>
                  <w:noWrap w:val="0"/>
                  <w:vAlign w:val="center"/>
                </w:tcPr>
                <w:p w14:paraId="596F135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cs="Times New Roman"/>
                      <w:color w:val="000000"/>
                      <w:spacing w:val="0"/>
                      <w:kern w:val="0"/>
                      <w:sz w:val="21"/>
                      <w:szCs w:val="21"/>
                      <w:lang w:val="en-US" w:eastAsia="zh-CN"/>
                    </w:rPr>
                    <w:t>358.482</w:t>
                  </w:r>
                </w:p>
              </w:tc>
              <w:tc>
                <w:tcPr>
                  <w:tcW w:w="428" w:type="pct"/>
                  <w:tcBorders>
                    <w:tl2br w:val="nil"/>
                    <w:tr2bl w:val="nil"/>
                  </w:tcBorders>
                  <w:noWrap w:val="0"/>
                  <w:vAlign w:val="center"/>
                </w:tcPr>
                <w:p w14:paraId="6F9577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自行利用</w:t>
                  </w:r>
                </w:p>
              </w:tc>
              <w:tc>
                <w:tcPr>
                  <w:tcW w:w="629" w:type="pct"/>
                  <w:tcBorders>
                    <w:tl2br w:val="nil"/>
                    <w:tr2bl w:val="nil"/>
                  </w:tcBorders>
                  <w:noWrap w:val="0"/>
                  <w:vAlign w:val="center"/>
                </w:tcPr>
                <w:p w14:paraId="2A5049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cs="Times New Roman"/>
                      <w:color w:val="000000"/>
                      <w:spacing w:val="0"/>
                      <w:kern w:val="0"/>
                      <w:sz w:val="21"/>
                      <w:szCs w:val="21"/>
                      <w:lang w:val="en-US" w:eastAsia="zh-CN"/>
                    </w:rPr>
                    <w:t>358.482</w:t>
                  </w:r>
                </w:p>
              </w:tc>
              <w:tc>
                <w:tcPr>
                  <w:tcW w:w="542" w:type="pct"/>
                  <w:tcBorders>
                    <w:tl2br w:val="nil"/>
                    <w:tr2bl w:val="nil"/>
                  </w:tcBorders>
                  <w:noWrap w:val="0"/>
                  <w:vAlign w:val="center"/>
                </w:tcPr>
                <w:p w14:paraId="0B52EF9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回用于生产线</w:t>
                  </w:r>
                </w:p>
              </w:tc>
            </w:tr>
            <w:tr w14:paraId="3021D8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9" w:type="pct"/>
                  <w:vMerge w:val="continue"/>
                  <w:tcBorders>
                    <w:tl2br w:val="nil"/>
                    <w:tr2bl w:val="nil"/>
                  </w:tcBorders>
                  <w:noWrap w:val="0"/>
                  <w:vAlign w:val="center"/>
                </w:tcPr>
                <w:p w14:paraId="6E9A05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p>
              </w:tc>
              <w:tc>
                <w:tcPr>
                  <w:tcW w:w="571" w:type="pct"/>
                  <w:tcBorders>
                    <w:tl2br w:val="nil"/>
                    <w:tr2bl w:val="nil"/>
                  </w:tcBorders>
                  <w:noWrap w:val="0"/>
                  <w:vAlign w:val="center"/>
                </w:tcPr>
                <w:p w14:paraId="12E2B9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腻子粉生产线</w:t>
                  </w:r>
                </w:p>
              </w:tc>
              <w:tc>
                <w:tcPr>
                  <w:tcW w:w="530" w:type="pct"/>
                  <w:tcBorders>
                    <w:tl2br w:val="nil"/>
                    <w:tr2bl w:val="nil"/>
                  </w:tcBorders>
                  <w:noWrap w:val="0"/>
                  <w:vAlign w:val="center"/>
                </w:tcPr>
                <w:p w14:paraId="6CCF241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废包装袋</w:t>
                  </w:r>
                </w:p>
              </w:tc>
              <w:tc>
                <w:tcPr>
                  <w:tcW w:w="420" w:type="pct"/>
                  <w:tcBorders>
                    <w:tl2br w:val="nil"/>
                    <w:tr2bl w:val="nil"/>
                  </w:tcBorders>
                  <w:noWrap w:val="0"/>
                  <w:vAlign w:val="center"/>
                </w:tcPr>
                <w:p w14:paraId="00E159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一般固废</w:t>
                  </w:r>
                </w:p>
              </w:tc>
              <w:tc>
                <w:tcPr>
                  <w:tcW w:w="491" w:type="pct"/>
                  <w:tcBorders>
                    <w:tl2br w:val="nil"/>
                    <w:tr2bl w:val="nil"/>
                  </w:tcBorders>
                  <w:noWrap w:val="0"/>
                  <w:vAlign w:val="center"/>
                </w:tcPr>
                <w:p w14:paraId="6B4D536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spacing w:val="0"/>
                      <w:kern w:val="0"/>
                      <w:position w:val="0"/>
                      <w:sz w:val="21"/>
                      <w:szCs w:val="21"/>
                      <w:vertAlign w:val="baseline"/>
                      <w:lang w:val="en-US" w:eastAsia="zh-CN"/>
                    </w:rPr>
                  </w:pPr>
                  <w:r>
                    <w:rPr>
                      <w:rFonts w:hint="eastAsia" w:ascii="Times New Roman" w:hAnsi="Times New Roman" w:eastAsia="宋体" w:cs="Times New Roman"/>
                      <w:b w:val="0"/>
                      <w:bCs w:val="0"/>
                      <w:spacing w:val="0"/>
                      <w:kern w:val="0"/>
                      <w:position w:val="0"/>
                      <w:sz w:val="21"/>
                      <w:szCs w:val="21"/>
                      <w:vertAlign w:val="baseline"/>
                      <w:lang w:val="en-US" w:eastAsia="zh-CN"/>
                    </w:rPr>
                    <w:t>900-003-S17</w:t>
                  </w:r>
                </w:p>
              </w:tc>
              <w:tc>
                <w:tcPr>
                  <w:tcW w:w="397" w:type="pct"/>
                  <w:tcBorders>
                    <w:tl2br w:val="nil"/>
                    <w:tr2bl w:val="nil"/>
                  </w:tcBorders>
                  <w:noWrap w:val="0"/>
                  <w:vAlign w:val="center"/>
                </w:tcPr>
                <w:p w14:paraId="184F2EC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类比法</w:t>
                  </w:r>
                </w:p>
              </w:tc>
              <w:tc>
                <w:tcPr>
                  <w:tcW w:w="627" w:type="pct"/>
                  <w:tcBorders>
                    <w:tl2br w:val="nil"/>
                    <w:tr2bl w:val="nil"/>
                  </w:tcBorders>
                  <w:noWrap w:val="0"/>
                  <w:vAlign w:val="center"/>
                </w:tcPr>
                <w:p w14:paraId="3BEBD0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10</w:t>
                  </w:r>
                </w:p>
              </w:tc>
              <w:tc>
                <w:tcPr>
                  <w:tcW w:w="428" w:type="pct"/>
                  <w:tcBorders>
                    <w:tl2br w:val="nil"/>
                    <w:tr2bl w:val="nil"/>
                  </w:tcBorders>
                  <w:noWrap w:val="0"/>
                  <w:vAlign w:val="center"/>
                </w:tcPr>
                <w:p w14:paraId="1E5F3B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委托处置</w:t>
                  </w:r>
                </w:p>
              </w:tc>
              <w:tc>
                <w:tcPr>
                  <w:tcW w:w="629" w:type="pct"/>
                  <w:tcBorders>
                    <w:tl2br w:val="nil"/>
                    <w:tr2bl w:val="nil"/>
                  </w:tcBorders>
                  <w:noWrap w:val="0"/>
                  <w:vAlign w:val="center"/>
                </w:tcPr>
                <w:p w14:paraId="62A29E7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10</w:t>
                  </w:r>
                </w:p>
              </w:tc>
              <w:tc>
                <w:tcPr>
                  <w:tcW w:w="542" w:type="pct"/>
                  <w:tcBorders>
                    <w:tl2br w:val="nil"/>
                    <w:tr2bl w:val="nil"/>
                  </w:tcBorders>
                  <w:noWrap w:val="0"/>
                  <w:vAlign w:val="center"/>
                </w:tcPr>
                <w:p w14:paraId="2745DF7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一般固废处置单位</w:t>
                  </w:r>
                </w:p>
              </w:tc>
            </w:tr>
            <w:tr w14:paraId="147BAF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9" w:type="pct"/>
                  <w:vMerge w:val="continue"/>
                  <w:tcBorders>
                    <w:tl2br w:val="nil"/>
                    <w:tr2bl w:val="nil"/>
                  </w:tcBorders>
                  <w:noWrap w:val="0"/>
                  <w:vAlign w:val="center"/>
                </w:tcPr>
                <w:p w14:paraId="0E9CB5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p>
              </w:tc>
              <w:tc>
                <w:tcPr>
                  <w:tcW w:w="571" w:type="pct"/>
                  <w:tcBorders>
                    <w:tl2br w:val="nil"/>
                    <w:tr2bl w:val="nil"/>
                  </w:tcBorders>
                  <w:noWrap w:val="0"/>
                  <w:vAlign w:val="center"/>
                </w:tcPr>
                <w:p w14:paraId="32147A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布袋除尘器</w:t>
                  </w:r>
                </w:p>
              </w:tc>
              <w:tc>
                <w:tcPr>
                  <w:tcW w:w="530" w:type="pct"/>
                  <w:tcBorders>
                    <w:tl2br w:val="nil"/>
                    <w:tr2bl w:val="nil"/>
                  </w:tcBorders>
                  <w:noWrap w:val="0"/>
                  <w:vAlign w:val="center"/>
                </w:tcPr>
                <w:p w14:paraId="713A4FE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废布袋</w:t>
                  </w:r>
                </w:p>
              </w:tc>
              <w:tc>
                <w:tcPr>
                  <w:tcW w:w="420" w:type="pct"/>
                  <w:tcBorders>
                    <w:tl2br w:val="nil"/>
                    <w:tr2bl w:val="nil"/>
                  </w:tcBorders>
                  <w:noWrap w:val="0"/>
                  <w:vAlign w:val="center"/>
                </w:tcPr>
                <w:p w14:paraId="7383790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一般固废</w:t>
                  </w:r>
                </w:p>
              </w:tc>
              <w:tc>
                <w:tcPr>
                  <w:tcW w:w="491" w:type="pct"/>
                  <w:tcBorders>
                    <w:tl2br w:val="nil"/>
                    <w:tr2bl w:val="nil"/>
                  </w:tcBorders>
                  <w:noWrap w:val="0"/>
                  <w:vAlign w:val="center"/>
                </w:tcPr>
                <w:p w14:paraId="594FF6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spacing w:val="0"/>
                      <w:kern w:val="0"/>
                      <w:position w:val="0"/>
                      <w:sz w:val="21"/>
                      <w:szCs w:val="21"/>
                      <w:vertAlign w:val="baseline"/>
                      <w:lang w:val="en-US" w:eastAsia="zh-CN"/>
                    </w:rPr>
                  </w:pPr>
                  <w:r>
                    <w:rPr>
                      <w:rFonts w:hint="eastAsia" w:ascii="Times New Roman" w:hAnsi="Times New Roman" w:eastAsia="宋体" w:cs="Times New Roman"/>
                      <w:b w:val="0"/>
                      <w:bCs w:val="0"/>
                      <w:spacing w:val="0"/>
                      <w:kern w:val="0"/>
                      <w:position w:val="0"/>
                      <w:sz w:val="21"/>
                      <w:szCs w:val="21"/>
                      <w:vertAlign w:val="baseline"/>
                      <w:lang w:val="en-US" w:eastAsia="zh-CN"/>
                    </w:rPr>
                    <w:t>900-009-S59</w:t>
                  </w:r>
                </w:p>
              </w:tc>
              <w:tc>
                <w:tcPr>
                  <w:tcW w:w="397" w:type="pct"/>
                  <w:tcBorders>
                    <w:tl2br w:val="nil"/>
                    <w:tr2bl w:val="nil"/>
                  </w:tcBorders>
                  <w:noWrap w:val="0"/>
                  <w:vAlign w:val="center"/>
                </w:tcPr>
                <w:p w14:paraId="37158F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bidi="ar-SA"/>
                    </w:rPr>
                  </w:pPr>
                  <w:r>
                    <w:rPr>
                      <w:rFonts w:hint="default" w:ascii="Times New Roman" w:hAnsi="Times New Roman" w:eastAsia="宋体" w:cs="Times New Roman"/>
                      <w:color w:val="000000"/>
                      <w:spacing w:val="0"/>
                      <w:kern w:val="0"/>
                      <w:sz w:val="21"/>
                      <w:szCs w:val="21"/>
                      <w:lang w:val="en-US" w:eastAsia="zh-CN"/>
                    </w:rPr>
                    <w:t>类比法</w:t>
                  </w:r>
                </w:p>
              </w:tc>
              <w:tc>
                <w:tcPr>
                  <w:tcW w:w="627" w:type="pct"/>
                  <w:tcBorders>
                    <w:tl2br w:val="nil"/>
                    <w:tr2bl w:val="nil"/>
                  </w:tcBorders>
                  <w:noWrap w:val="0"/>
                  <w:vAlign w:val="center"/>
                </w:tcPr>
                <w:p w14:paraId="568A301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bidi="ar-SA"/>
                    </w:rPr>
                  </w:pPr>
                  <w:r>
                    <w:rPr>
                      <w:rFonts w:hint="eastAsia" w:ascii="Times New Roman" w:hAnsi="Times New Roman" w:eastAsia="宋体" w:cs="Times New Roman"/>
                      <w:color w:val="000000"/>
                      <w:spacing w:val="0"/>
                      <w:kern w:val="0"/>
                      <w:sz w:val="21"/>
                      <w:szCs w:val="21"/>
                      <w:lang w:val="en-US" w:eastAsia="zh-CN"/>
                    </w:rPr>
                    <w:t>0.1</w:t>
                  </w:r>
                </w:p>
              </w:tc>
              <w:tc>
                <w:tcPr>
                  <w:tcW w:w="428" w:type="pct"/>
                  <w:tcBorders>
                    <w:tl2br w:val="nil"/>
                    <w:tr2bl w:val="nil"/>
                  </w:tcBorders>
                  <w:noWrap w:val="0"/>
                  <w:vAlign w:val="center"/>
                </w:tcPr>
                <w:p w14:paraId="0FA985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bidi="ar-SA"/>
                    </w:rPr>
                  </w:pPr>
                  <w:r>
                    <w:rPr>
                      <w:rFonts w:hint="eastAsia" w:ascii="Times New Roman" w:hAnsi="Times New Roman" w:eastAsia="宋体" w:cs="Times New Roman"/>
                      <w:color w:val="000000"/>
                      <w:spacing w:val="0"/>
                      <w:kern w:val="0"/>
                      <w:sz w:val="21"/>
                      <w:szCs w:val="21"/>
                      <w:lang w:val="en-US" w:eastAsia="zh-CN"/>
                    </w:rPr>
                    <w:t>委托处置</w:t>
                  </w:r>
                </w:p>
              </w:tc>
              <w:tc>
                <w:tcPr>
                  <w:tcW w:w="629" w:type="pct"/>
                  <w:tcBorders>
                    <w:tl2br w:val="nil"/>
                    <w:tr2bl w:val="nil"/>
                  </w:tcBorders>
                  <w:noWrap w:val="0"/>
                  <w:vAlign w:val="center"/>
                </w:tcPr>
                <w:p w14:paraId="5416964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bidi="ar-SA"/>
                    </w:rPr>
                  </w:pPr>
                  <w:r>
                    <w:rPr>
                      <w:rFonts w:hint="eastAsia" w:ascii="Times New Roman" w:hAnsi="Times New Roman" w:eastAsia="宋体" w:cs="Times New Roman"/>
                      <w:color w:val="000000"/>
                      <w:spacing w:val="0"/>
                      <w:kern w:val="0"/>
                      <w:sz w:val="21"/>
                      <w:szCs w:val="21"/>
                      <w:lang w:val="en-US" w:eastAsia="zh-CN"/>
                    </w:rPr>
                    <w:t>0.1</w:t>
                  </w:r>
                </w:p>
              </w:tc>
              <w:tc>
                <w:tcPr>
                  <w:tcW w:w="542" w:type="pct"/>
                  <w:tcBorders>
                    <w:tl2br w:val="nil"/>
                    <w:tr2bl w:val="nil"/>
                  </w:tcBorders>
                  <w:noWrap w:val="0"/>
                  <w:vAlign w:val="center"/>
                </w:tcPr>
                <w:p w14:paraId="079299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一般固废处置单位</w:t>
                  </w:r>
                </w:p>
              </w:tc>
            </w:tr>
            <w:tr w14:paraId="5372A8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9" w:type="pct"/>
                  <w:vMerge w:val="continue"/>
                  <w:tcBorders>
                    <w:tl2br w:val="nil"/>
                    <w:tr2bl w:val="nil"/>
                  </w:tcBorders>
                  <w:noWrap w:val="0"/>
                  <w:vAlign w:val="center"/>
                </w:tcPr>
                <w:p w14:paraId="6D4C4E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p>
              </w:tc>
              <w:tc>
                <w:tcPr>
                  <w:tcW w:w="571" w:type="pct"/>
                  <w:tcBorders>
                    <w:tl2br w:val="nil"/>
                    <w:tr2bl w:val="nil"/>
                  </w:tcBorders>
                  <w:noWrap w:val="0"/>
                  <w:vAlign w:val="center"/>
                </w:tcPr>
                <w:p w14:paraId="485E72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机械设备</w:t>
                  </w:r>
                </w:p>
              </w:tc>
              <w:tc>
                <w:tcPr>
                  <w:tcW w:w="530" w:type="pct"/>
                  <w:tcBorders>
                    <w:tl2br w:val="nil"/>
                    <w:tr2bl w:val="nil"/>
                  </w:tcBorders>
                  <w:noWrap w:val="0"/>
                  <w:vAlign w:val="center"/>
                </w:tcPr>
                <w:p w14:paraId="7CAC90B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废润滑油</w:t>
                  </w:r>
                </w:p>
              </w:tc>
              <w:tc>
                <w:tcPr>
                  <w:tcW w:w="420" w:type="pct"/>
                  <w:tcBorders>
                    <w:tl2br w:val="nil"/>
                    <w:tr2bl w:val="nil"/>
                  </w:tcBorders>
                  <w:noWrap w:val="0"/>
                  <w:vAlign w:val="center"/>
                </w:tcPr>
                <w:p w14:paraId="409977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危险废物</w:t>
                  </w:r>
                </w:p>
              </w:tc>
              <w:tc>
                <w:tcPr>
                  <w:tcW w:w="491" w:type="pct"/>
                  <w:tcBorders>
                    <w:tl2br w:val="nil"/>
                    <w:tr2bl w:val="nil"/>
                  </w:tcBorders>
                  <w:noWrap w:val="0"/>
                  <w:vAlign w:val="center"/>
                </w:tcPr>
                <w:p w14:paraId="346C72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900-217-08</w:t>
                  </w:r>
                </w:p>
              </w:tc>
              <w:tc>
                <w:tcPr>
                  <w:tcW w:w="397" w:type="pct"/>
                  <w:tcBorders>
                    <w:tl2br w:val="nil"/>
                    <w:tr2bl w:val="nil"/>
                  </w:tcBorders>
                  <w:noWrap w:val="0"/>
                  <w:vAlign w:val="center"/>
                </w:tcPr>
                <w:p w14:paraId="521553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类比法</w:t>
                  </w:r>
                </w:p>
              </w:tc>
              <w:tc>
                <w:tcPr>
                  <w:tcW w:w="627" w:type="pct"/>
                  <w:tcBorders>
                    <w:tl2br w:val="nil"/>
                    <w:tr2bl w:val="nil"/>
                  </w:tcBorders>
                  <w:noWrap w:val="0"/>
                  <w:vAlign w:val="center"/>
                </w:tcPr>
                <w:p w14:paraId="5578C17C">
                  <w:pPr>
                    <w:keepNext w:val="0"/>
                    <w:keepLines w:val="0"/>
                    <w:widowControl w:val="0"/>
                    <w:suppressLineNumbers w:val="0"/>
                    <w:autoSpaceDE w:val="0"/>
                    <w:autoSpaceDN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default" w:ascii="Times New Roman" w:hAnsi="Times New Roman" w:eastAsia="宋体" w:cs="Times New Roman"/>
                      <w:b w:val="0"/>
                      <w:bCs/>
                      <w:color w:val="000000"/>
                      <w:kern w:val="0"/>
                      <w:sz w:val="21"/>
                      <w:szCs w:val="21"/>
                      <w:vertAlign w:val="baseline"/>
                      <w:lang w:val="en-US" w:eastAsia="zh-CN" w:bidi="ar"/>
                    </w:rPr>
                    <w:t>0.</w:t>
                  </w:r>
                  <w:r>
                    <w:rPr>
                      <w:rFonts w:hint="eastAsia" w:ascii="Times New Roman" w:hAnsi="Times New Roman" w:eastAsia="宋体" w:cs="Times New Roman"/>
                      <w:b w:val="0"/>
                      <w:bCs/>
                      <w:color w:val="000000"/>
                      <w:kern w:val="0"/>
                      <w:sz w:val="21"/>
                      <w:szCs w:val="21"/>
                      <w:vertAlign w:val="baseline"/>
                      <w:lang w:val="en-US" w:eastAsia="zh-CN" w:bidi="ar"/>
                    </w:rPr>
                    <w:t>2</w:t>
                  </w:r>
                </w:p>
              </w:tc>
              <w:tc>
                <w:tcPr>
                  <w:tcW w:w="428" w:type="pct"/>
                  <w:tcBorders>
                    <w:tl2br w:val="nil"/>
                    <w:tr2bl w:val="nil"/>
                  </w:tcBorders>
                  <w:noWrap w:val="0"/>
                  <w:vAlign w:val="center"/>
                </w:tcPr>
                <w:p w14:paraId="79B35C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委托处置</w:t>
                  </w:r>
                </w:p>
              </w:tc>
              <w:tc>
                <w:tcPr>
                  <w:tcW w:w="629" w:type="pct"/>
                  <w:tcBorders>
                    <w:tl2br w:val="nil"/>
                    <w:tr2bl w:val="nil"/>
                  </w:tcBorders>
                  <w:noWrap w:val="0"/>
                  <w:vAlign w:val="center"/>
                </w:tcPr>
                <w:p w14:paraId="3B52ABB4">
                  <w:pPr>
                    <w:keepNext w:val="0"/>
                    <w:keepLines w:val="0"/>
                    <w:widowControl w:val="0"/>
                    <w:suppressLineNumbers w:val="0"/>
                    <w:autoSpaceDE w:val="0"/>
                    <w:autoSpaceDN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default" w:ascii="Times New Roman" w:hAnsi="Times New Roman" w:eastAsia="宋体" w:cs="Times New Roman"/>
                      <w:b w:val="0"/>
                      <w:bCs/>
                      <w:color w:val="000000"/>
                      <w:kern w:val="0"/>
                      <w:sz w:val="21"/>
                      <w:szCs w:val="21"/>
                      <w:vertAlign w:val="baseline"/>
                      <w:lang w:val="en-US" w:eastAsia="zh-CN" w:bidi="ar"/>
                    </w:rPr>
                    <w:t>0.</w:t>
                  </w:r>
                  <w:r>
                    <w:rPr>
                      <w:rFonts w:hint="eastAsia" w:ascii="Times New Roman" w:hAnsi="Times New Roman" w:eastAsia="宋体" w:cs="Times New Roman"/>
                      <w:b w:val="0"/>
                      <w:bCs/>
                      <w:color w:val="000000"/>
                      <w:kern w:val="0"/>
                      <w:sz w:val="21"/>
                      <w:szCs w:val="21"/>
                      <w:vertAlign w:val="baseline"/>
                      <w:lang w:val="en-US" w:eastAsia="zh-CN" w:bidi="ar"/>
                    </w:rPr>
                    <w:t>2</w:t>
                  </w:r>
                </w:p>
              </w:tc>
              <w:tc>
                <w:tcPr>
                  <w:tcW w:w="542" w:type="pct"/>
                  <w:tcBorders>
                    <w:tl2br w:val="nil"/>
                    <w:tr2bl w:val="nil"/>
                  </w:tcBorders>
                  <w:noWrap w:val="0"/>
                  <w:vAlign w:val="center"/>
                </w:tcPr>
                <w:p w14:paraId="04C6DD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委托有资质单位处置</w:t>
                  </w:r>
                </w:p>
              </w:tc>
            </w:tr>
            <w:tr w14:paraId="2D3B55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9" w:type="pct"/>
                  <w:vMerge w:val="continue"/>
                  <w:tcBorders>
                    <w:tl2br w:val="nil"/>
                    <w:tr2bl w:val="nil"/>
                  </w:tcBorders>
                  <w:noWrap w:val="0"/>
                  <w:vAlign w:val="center"/>
                </w:tcPr>
                <w:p w14:paraId="21A313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p>
              </w:tc>
              <w:tc>
                <w:tcPr>
                  <w:tcW w:w="571" w:type="pct"/>
                  <w:tcBorders>
                    <w:tl2br w:val="nil"/>
                    <w:tr2bl w:val="nil"/>
                  </w:tcBorders>
                  <w:noWrap w:val="0"/>
                  <w:vAlign w:val="center"/>
                </w:tcPr>
                <w:p w14:paraId="29EC97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机械设备</w:t>
                  </w:r>
                </w:p>
              </w:tc>
              <w:tc>
                <w:tcPr>
                  <w:tcW w:w="530" w:type="pct"/>
                  <w:tcBorders>
                    <w:tl2br w:val="nil"/>
                    <w:tr2bl w:val="nil"/>
                  </w:tcBorders>
                  <w:noWrap w:val="0"/>
                  <w:vAlign w:val="center"/>
                </w:tcPr>
                <w:p w14:paraId="0B7DEB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沾染矿物油的废弃包装物</w:t>
                  </w:r>
                </w:p>
              </w:tc>
              <w:tc>
                <w:tcPr>
                  <w:tcW w:w="420" w:type="pct"/>
                  <w:tcBorders>
                    <w:tl2br w:val="nil"/>
                    <w:tr2bl w:val="nil"/>
                  </w:tcBorders>
                  <w:noWrap w:val="0"/>
                  <w:vAlign w:val="center"/>
                </w:tcPr>
                <w:p w14:paraId="04FBD2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危险废物</w:t>
                  </w:r>
                </w:p>
              </w:tc>
              <w:tc>
                <w:tcPr>
                  <w:tcW w:w="491" w:type="pct"/>
                  <w:tcBorders>
                    <w:tl2br w:val="nil"/>
                    <w:tr2bl w:val="nil"/>
                  </w:tcBorders>
                  <w:noWrap w:val="0"/>
                  <w:vAlign w:val="center"/>
                </w:tcPr>
                <w:p w14:paraId="0B5692F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900-249-08</w:t>
                  </w:r>
                </w:p>
              </w:tc>
              <w:tc>
                <w:tcPr>
                  <w:tcW w:w="397" w:type="pct"/>
                  <w:tcBorders>
                    <w:tl2br w:val="nil"/>
                    <w:tr2bl w:val="nil"/>
                  </w:tcBorders>
                  <w:noWrap w:val="0"/>
                  <w:vAlign w:val="center"/>
                </w:tcPr>
                <w:p w14:paraId="2130085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eastAsia" w:ascii="Times New Roman" w:hAnsi="Times New Roman" w:eastAsia="宋体" w:cs="Times New Roman"/>
                      <w:color w:val="000000"/>
                      <w:spacing w:val="0"/>
                      <w:kern w:val="0"/>
                      <w:sz w:val="21"/>
                      <w:szCs w:val="21"/>
                      <w:lang w:val="en-US" w:eastAsia="zh-CN"/>
                    </w:rPr>
                    <w:t>类比法</w:t>
                  </w:r>
                </w:p>
              </w:tc>
              <w:tc>
                <w:tcPr>
                  <w:tcW w:w="627" w:type="pct"/>
                  <w:tcBorders>
                    <w:tl2br w:val="nil"/>
                    <w:tr2bl w:val="nil"/>
                  </w:tcBorders>
                  <w:noWrap w:val="0"/>
                  <w:vAlign w:val="center"/>
                </w:tcPr>
                <w:p w14:paraId="37AE1CDE">
                  <w:pPr>
                    <w:keepNext w:val="0"/>
                    <w:keepLines w:val="0"/>
                    <w:widowControl w:val="0"/>
                    <w:suppressLineNumbers w:val="0"/>
                    <w:autoSpaceDE w:val="0"/>
                    <w:autoSpaceDN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eastAsia" w:ascii="Times New Roman" w:hAnsi="Times New Roman" w:eastAsia="宋体" w:cs="Times New Roman"/>
                      <w:b w:val="0"/>
                      <w:bCs/>
                      <w:color w:val="000000"/>
                      <w:kern w:val="0"/>
                      <w:sz w:val="21"/>
                      <w:szCs w:val="21"/>
                      <w:vertAlign w:val="baseline"/>
                      <w:lang w:val="en-US" w:eastAsia="zh-CN" w:bidi="ar"/>
                    </w:rPr>
                    <w:t>0.05</w:t>
                  </w:r>
                </w:p>
              </w:tc>
              <w:tc>
                <w:tcPr>
                  <w:tcW w:w="428" w:type="pct"/>
                  <w:tcBorders>
                    <w:tl2br w:val="nil"/>
                    <w:tr2bl w:val="nil"/>
                  </w:tcBorders>
                  <w:noWrap w:val="0"/>
                  <w:vAlign w:val="center"/>
                </w:tcPr>
                <w:p w14:paraId="42CD7A7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委托处置</w:t>
                  </w:r>
                </w:p>
              </w:tc>
              <w:tc>
                <w:tcPr>
                  <w:tcW w:w="629" w:type="pct"/>
                  <w:tcBorders>
                    <w:tl2br w:val="nil"/>
                    <w:tr2bl w:val="nil"/>
                  </w:tcBorders>
                  <w:noWrap w:val="0"/>
                  <w:vAlign w:val="center"/>
                </w:tcPr>
                <w:p w14:paraId="5ACF65AA">
                  <w:pPr>
                    <w:keepNext w:val="0"/>
                    <w:keepLines w:val="0"/>
                    <w:widowControl w:val="0"/>
                    <w:suppressLineNumbers w:val="0"/>
                    <w:autoSpaceDE w:val="0"/>
                    <w:autoSpaceDN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kern w:val="0"/>
                      <w:sz w:val="21"/>
                      <w:szCs w:val="21"/>
                      <w:vertAlign w:val="baseline"/>
                      <w:lang w:val="en-US" w:eastAsia="zh-CN" w:bidi="ar"/>
                    </w:rPr>
                  </w:pPr>
                  <w:r>
                    <w:rPr>
                      <w:rFonts w:hint="eastAsia" w:ascii="Times New Roman" w:hAnsi="Times New Roman" w:eastAsia="宋体" w:cs="Times New Roman"/>
                      <w:b w:val="0"/>
                      <w:bCs/>
                      <w:color w:val="000000"/>
                      <w:kern w:val="0"/>
                      <w:sz w:val="21"/>
                      <w:szCs w:val="21"/>
                      <w:vertAlign w:val="baseline"/>
                      <w:lang w:val="en-US" w:eastAsia="zh-CN" w:bidi="ar"/>
                    </w:rPr>
                    <w:t>0.05</w:t>
                  </w:r>
                </w:p>
              </w:tc>
              <w:tc>
                <w:tcPr>
                  <w:tcW w:w="542" w:type="pct"/>
                  <w:tcBorders>
                    <w:tl2br w:val="nil"/>
                    <w:tr2bl w:val="nil"/>
                  </w:tcBorders>
                  <w:noWrap w:val="0"/>
                  <w:vAlign w:val="center"/>
                </w:tcPr>
                <w:p w14:paraId="0EC470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pacing w:val="0"/>
                      <w:kern w:val="0"/>
                      <w:sz w:val="21"/>
                      <w:szCs w:val="21"/>
                      <w:lang w:val="en-US" w:eastAsia="zh-CN"/>
                    </w:rPr>
                  </w:pPr>
                  <w:r>
                    <w:rPr>
                      <w:rFonts w:hint="default" w:ascii="Times New Roman" w:hAnsi="Times New Roman" w:eastAsia="宋体" w:cs="Times New Roman"/>
                      <w:color w:val="000000"/>
                      <w:spacing w:val="0"/>
                      <w:kern w:val="0"/>
                      <w:sz w:val="21"/>
                      <w:szCs w:val="21"/>
                      <w:lang w:val="en-US" w:eastAsia="zh-CN"/>
                    </w:rPr>
                    <w:t>委托有资质单位处置</w:t>
                  </w:r>
                </w:p>
              </w:tc>
            </w:tr>
          </w:tbl>
          <w:p w14:paraId="30A039F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0" w:firstLineChars="0"/>
              <w:jc w:val="both"/>
              <w:textAlignment w:val="auto"/>
              <w:rPr>
                <w:rFonts w:hint="eastAsia" w:ascii="宋体" w:hAnsi="宋体" w:eastAsia="宋体" w:cs="宋体"/>
                <w:b/>
                <w:bCs w:val="0"/>
                <w:color w:val="000000"/>
                <w:kern w:val="24"/>
                <w:sz w:val="24"/>
                <w:szCs w:val="24"/>
                <w:lang w:val="en-US" w:eastAsia="zh-CN" w:bidi="ar-SA"/>
              </w:rPr>
            </w:pPr>
            <w:r>
              <w:rPr>
                <w:rFonts w:hint="default" w:ascii="Times New Roman" w:hAnsi="Times New Roman" w:eastAsia="宋体" w:cs="Times New Roman"/>
                <w:b/>
                <w:bCs w:val="0"/>
                <w:color w:val="000000"/>
                <w:kern w:val="24"/>
                <w:sz w:val="24"/>
                <w:szCs w:val="24"/>
                <w:lang w:val="en-US" w:eastAsia="zh-CN" w:bidi="ar-SA"/>
              </w:rPr>
              <w:t>5、地</w:t>
            </w:r>
            <w:r>
              <w:rPr>
                <w:rFonts w:hint="eastAsia" w:ascii="宋体" w:hAnsi="宋体" w:eastAsia="宋体" w:cs="宋体"/>
                <w:b/>
                <w:bCs w:val="0"/>
                <w:color w:val="000000"/>
                <w:kern w:val="24"/>
                <w:sz w:val="24"/>
                <w:szCs w:val="24"/>
                <w:lang w:val="en-US" w:eastAsia="zh-CN" w:bidi="ar-SA"/>
              </w:rPr>
              <w:t>下水、土壤影响分析</w:t>
            </w:r>
          </w:p>
          <w:p w14:paraId="54CAE1A6">
            <w:pPr>
              <w:widowControl w:val="0"/>
              <w:bidi w:val="0"/>
              <w:spacing w:line="360" w:lineRule="auto"/>
              <w:ind w:firstLine="482" w:firstLineChars="200"/>
              <w:jc w:val="both"/>
              <w:rPr>
                <w:rFonts w:hint="default" w:ascii="Times New Roman" w:hAnsi="Times New Roman" w:eastAsia="宋体" w:cs="Times New Roman"/>
                <w:b/>
                <w:bCs w:val="0"/>
                <w:color w:val="000000"/>
                <w:kern w:val="24"/>
                <w:sz w:val="24"/>
                <w:szCs w:val="24"/>
                <w:lang w:val="en-US" w:eastAsia="zh-CN" w:bidi="ar-SA"/>
              </w:rPr>
            </w:pPr>
            <w:r>
              <w:rPr>
                <w:rFonts w:hint="default" w:ascii="Times New Roman" w:hAnsi="Times New Roman" w:eastAsia="宋体" w:cs="Times New Roman"/>
                <w:b/>
                <w:bCs w:val="0"/>
                <w:color w:val="000000"/>
                <w:kern w:val="24"/>
                <w:sz w:val="24"/>
                <w:szCs w:val="24"/>
                <w:lang w:val="en-US" w:eastAsia="zh-CN" w:bidi="ar-SA"/>
              </w:rPr>
              <w:t>5.1污染源及污染途径</w:t>
            </w:r>
          </w:p>
          <w:p w14:paraId="1CAEAF8A">
            <w:pPr>
              <w:widowControl w:val="0"/>
              <w:bidi w:val="0"/>
              <w:spacing w:line="360" w:lineRule="auto"/>
              <w:ind w:firstLine="480" w:firstLineChars="200"/>
              <w:jc w:val="both"/>
              <w:rPr>
                <w:rFonts w:hint="default" w:ascii="Times New Roman" w:hAnsi="Times New Roman" w:eastAsia="宋体" w:cs="Times New Roman"/>
                <w:bCs/>
                <w:color w:val="000000"/>
                <w:kern w:val="24"/>
                <w:sz w:val="24"/>
                <w:szCs w:val="24"/>
                <w:lang w:val="en-US" w:eastAsia="zh-CN" w:bidi="ar-SA"/>
              </w:rPr>
            </w:pPr>
            <w:r>
              <w:rPr>
                <w:rFonts w:hint="default" w:ascii="Times New Roman" w:hAnsi="Times New Roman" w:eastAsia="宋体" w:cs="Times New Roman"/>
                <w:bCs/>
                <w:color w:val="000000"/>
                <w:kern w:val="24"/>
                <w:sz w:val="24"/>
                <w:szCs w:val="24"/>
                <w:lang w:val="en-US" w:eastAsia="zh-CN" w:bidi="ar-SA"/>
              </w:rPr>
              <w:t>项目运营期地下水及土壤的污染源主要为危险废</w:t>
            </w:r>
            <w:r>
              <w:rPr>
                <w:rFonts w:hint="eastAsia" w:ascii="Times New Roman" w:hAnsi="Times New Roman" w:eastAsia="宋体" w:cs="Times New Roman"/>
                <w:bCs/>
                <w:color w:val="000000"/>
                <w:kern w:val="24"/>
                <w:sz w:val="24"/>
                <w:szCs w:val="24"/>
                <w:lang w:val="en-US" w:eastAsia="zh-CN" w:bidi="ar-SA"/>
              </w:rPr>
              <w:t>物</w:t>
            </w:r>
            <w:r>
              <w:rPr>
                <w:rFonts w:hint="default" w:ascii="Times New Roman" w:hAnsi="Times New Roman" w:eastAsia="宋体" w:cs="Times New Roman"/>
                <w:bCs/>
                <w:color w:val="000000"/>
                <w:kern w:val="24"/>
                <w:sz w:val="24"/>
                <w:szCs w:val="24"/>
                <w:lang w:val="en-US" w:eastAsia="zh-CN" w:bidi="ar-SA"/>
              </w:rPr>
              <w:t>，</w:t>
            </w:r>
            <w:r>
              <w:rPr>
                <w:rFonts w:hint="eastAsia" w:ascii="Times New Roman" w:hAnsi="Times New Roman" w:eastAsia="宋体" w:cs="Times New Roman"/>
                <w:bCs/>
                <w:color w:val="000000"/>
                <w:kern w:val="24"/>
                <w:sz w:val="24"/>
                <w:szCs w:val="24"/>
                <w:lang w:val="en-US" w:eastAsia="zh-CN" w:bidi="ar-SA"/>
              </w:rPr>
              <w:t>危险废物贮存库内需按照《危险废物贮存污染控制标准》</w:t>
            </w:r>
            <w:r>
              <w:rPr>
                <w:rFonts w:hint="eastAsia" w:cs="Times New Roman"/>
                <w:bCs/>
                <w:color w:val="000000"/>
                <w:kern w:val="24"/>
                <w:sz w:val="24"/>
                <w:szCs w:val="24"/>
                <w:lang w:val="en-US" w:eastAsia="zh-CN" w:bidi="ar-SA"/>
              </w:rPr>
              <w:t>（</w:t>
            </w:r>
            <w:r>
              <w:rPr>
                <w:rFonts w:hint="eastAsia" w:ascii="Times New Roman" w:hAnsi="Times New Roman" w:eastAsia="宋体" w:cs="Times New Roman"/>
                <w:bCs/>
                <w:color w:val="000000"/>
                <w:kern w:val="24"/>
                <w:sz w:val="24"/>
                <w:szCs w:val="24"/>
                <w:lang w:val="en-US" w:eastAsia="zh-CN" w:bidi="ar-SA"/>
              </w:rPr>
              <w:t>GB 18597-2023</w:t>
            </w:r>
            <w:r>
              <w:rPr>
                <w:rFonts w:hint="eastAsia" w:cs="Times New Roman"/>
                <w:bCs/>
                <w:color w:val="000000"/>
                <w:kern w:val="24"/>
                <w:sz w:val="24"/>
                <w:szCs w:val="24"/>
                <w:lang w:val="en-US" w:eastAsia="zh-CN" w:bidi="ar-SA"/>
              </w:rPr>
              <w:t>）</w:t>
            </w:r>
            <w:r>
              <w:rPr>
                <w:rFonts w:hint="eastAsia" w:ascii="Times New Roman" w:hAnsi="Times New Roman" w:eastAsia="宋体" w:cs="Times New Roman"/>
                <w:bCs/>
                <w:color w:val="000000"/>
                <w:kern w:val="24"/>
                <w:sz w:val="24"/>
                <w:szCs w:val="24"/>
                <w:lang w:val="en-US" w:eastAsia="zh-CN" w:bidi="ar-SA"/>
              </w:rPr>
              <w:t>进行重点防渗，正常工况下不存在地下水、土壤污染途径，非正常工况下</w:t>
            </w:r>
            <w:r>
              <w:rPr>
                <w:rFonts w:hint="default" w:ascii="Times New Roman" w:hAnsi="Times New Roman" w:eastAsia="宋体" w:cs="Times New Roman"/>
                <w:bCs/>
                <w:color w:val="000000"/>
                <w:kern w:val="24"/>
                <w:sz w:val="24"/>
                <w:szCs w:val="24"/>
                <w:lang w:val="en-US" w:eastAsia="zh-CN" w:bidi="ar-SA"/>
              </w:rPr>
              <w:t>对地下水</w:t>
            </w:r>
            <w:r>
              <w:rPr>
                <w:rFonts w:hint="eastAsia" w:ascii="Times New Roman" w:hAnsi="Times New Roman" w:eastAsia="宋体" w:cs="Times New Roman"/>
                <w:bCs/>
                <w:color w:val="000000"/>
                <w:kern w:val="24"/>
                <w:sz w:val="24"/>
                <w:szCs w:val="24"/>
                <w:lang w:val="en-US" w:eastAsia="zh-CN" w:bidi="ar-SA"/>
              </w:rPr>
              <w:t>、土壤</w:t>
            </w:r>
            <w:r>
              <w:rPr>
                <w:rFonts w:hint="default" w:ascii="Times New Roman" w:hAnsi="Times New Roman" w:eastAsia="宋体" w:cs="Times New Roman"/>
                <w:bCs/>
                <w:color w:val="000000"/>
                <w:kern w:val="24"/>
                <w:sz w:val="24"/>
                <w:szCs w:val="24"/>
                <w:lang w:val="en-US" w:eastAsia="zh-CN" w:bidi="ar-SA"/>
              </w:rPr>
              <w:t>的主要污染途径为下渗：项目危险废物暂存过程，盛装容器发生破裂，液体下渗污染地下水及土壤。</w:t>
            </w:r>
            <w:r>
              <w:rPr>
                <w:rFonts w:hint="eastAsia" w:ascii="宋体" w:hAnsi="宋体" w:eastAsia="宋体" w:cs="宋体"/>
                <w:bCs/>
                <w:color w:val="000000"/>
                <w:kern w:val="24"/>
                <w:sz w:val="24"/>
                <w:szCs w:val="24"/>
                <w:lang w:val="en-US" w:eastAsia="zh-CN" w:bidi="ar-SA"/>
              </w:rPr>
              <w:t xml:space="preserve"> </w:t>
            </w:r>
            <w:r>
              <w:rPr>
                <w:rFonts w:hint="default" w:ascii="Times New Roman" w:hAnsi="Times New Roman" w:eastAsia="宋体" w:cs="Times New Roman"/>
                <w:bCs/>
                <w:color w:val="000000"/>
                <w:kern w:val="24"/>
                <w:sz w:val="24"/>
                <w:szCs w:val="24"/>
                <w:lang w:val="en-US" w:eastAsia="zh-CN" w:bidi="ar-SA"/>
              </w:rPr>
              <w:t xml:space="preserve"> </w:t>
            </w:r>
          </w:p>
          <w:p w14:paraId="2B844D50">
            <w:pPr>
              <w:widowControl w:val="0"/>
              <w:bidi w:val="0"/>
              <w:spacing w:line="360" w:lineRule="auto"/>
              <w:ind w:firstLine="482" w:firstLineChars="200"/>
              <w:jc w:val="both"/>
              <w:rPr>
                <w:rFonts w:hint="eastAsia" w:ascii="宋体" w:hAnsi="宋体" w:eastAsia="宋体" w:cs="宋体"/>
                <w:b/>
                <w:bCs w:val="0"/>
                <w:color w:val="000000"/>
                <w:kern w:val="24"/>
                <w:sz w:val="24"/>
                <w:szCs w:val="24"/>
                <w:lang w:val="en-US" w:eastAsia="zh-CN" w:bidi="ar-SA"/>
              </w:rPr>
            </w:pPr>
            <w:r>
              <w:rPr>
                <w:rFonts w:hint="default" w:ascii="Times New Roman" w:hAnsi="Times New Roman" w:eastAsia="宋体" w:cs="Times New Roman"/>
                <w:b/>
                <w:bCs w:val="0"/>
                <w:color w:val="000000"/>
                <w:kern w:val="24"/>
                <w:sz w:val="24"/>
                <w:szCs w:val="24"/>
                <w:lang w:val="en-US" w:eastAsia="zh-CN" w:bidi="ar-SA"/>
              </w:rPr>
              <w:t>5.2</w:t>
            </w:r>
            <w:r>
              <w:rPr>
                <w:rFonts w:hint="eastAsia" w:ascii="宋体" w:hAnsi="宋体" w:eastAsia="宋体" w:cs="宋体"/>
                <w:b/>
                <w:bCs w:val="0"/>
                <w:color w:val="000000"/>
                <w:kern w:val="24"/>
                <w:sz w:val="24"/>
                <w:szCs w:val="24"/>
                <w:lang w:val="en-US" w:eastAsia="zh-CN" w:bidi="ar-SA"/>
              </w:rPr>
              <w:t>防控措施</w:t>
            </w:r>
          </w:p>
          <w:p w14:paraId="09283E96">
            <w:pPr>
              <w:widowControl w:val="0"/>
              <w:bidi w:val="0"/>
              <w:spacing w:line="360" w:lineRule="auto"/>
              <w:ind w:firstLine="480" w:firstLineChars="200"/>
              <w:jc w:val="both"/>
              <w:rPr>
                <w:rFonts w:hint="default" w:ascii="Times New Roman" w:hAnsi="Times New Roman" w:eastAsia="宋体" w:cs="Times New Roman"/>
                <w:bCs/>
                <w:color w:val="000000"/>
                <w:kern w:val="24"/>
                <w:sz w:val="24"/>
                <w:szCs w:val="24"/>
                <w:lang w:val="en-US" w:eastAsia="zh-CN" w:bidi="ar-SA"/>
              </w:rPr>
            </w:pPr>
            <w:r>
              <w:rPr>
                <w:rFonts w:hint="default" w:ascii="Times New Roman" w:hAnsi="Times New Roman" w:eastAsia="宋体" w:cs="Times New Roman"/>
                <w:bCs/>
                <w:color w:val="000000"/>
                <w:kern w:val="24"/>
                <w:sz w:val="24"/>
                <w:szCs w:val="24"/>
                <w:lang w:val="en-US" w:eastAsia="zh-CN" w:bidi="ar-SA"/>
              </w:rPr>
              <w:t xml:space="preserve">（1）预防措施 </w:t>
            </w:r>
          </w:p>
          <w:p w14:paraId="311D49D4">
            <w:pPr>
              <w:widowControl w:val="0"/>
              <w:bidi w:val="0"/>
              <w:spacing w:line="360" w:lineRule="auto"/>
              <w:ind w:firstLine="480" w:firstLineChars="200"/>
              <w:jc w:val="both"/>
              <w:rPr>
                <w:rFonts w:hint="default" w:ascii="Times New Roman" w:hAnsi="Times New Roman" w:eastAsia="宋体" w:cs="Times New Roman"/>
                <w:bCs/>
                <w:color w:val="000000"/>
                <w:kern w:val="24"/>
                <w:sz w:val="24"/>
                <w:szCs w:val="24"/>
                <w:lang w:val="en-US" w:eastAsia="zh-CN" w:bidi="ar-SA"/>
              </w:rPr>
            </w:pPr>
            <w:r>
              <w:rPr>
                <w:rFonts w:hint="default" w:ascii="Times New Roman" w:hAnsi="Times New Roman" w:eastAsia="宋体" w:cs="Times New Roman"/>
                <w:bCs/>
                <w:color w:val="000000"/>
                <w:kern w:val="24"/>
                <w:sz w:val="24"/>
                <w:szCs w:val="24"/>
                <w:lang w:val="en-US" w:eastAsia="zh-CN" w:bidi="ar-SA"/>
              </w:rPr>
              <w:t xml:space="preserve">预防措施主要是在本项目工程设计、施工时，应严把设计、施工质量关，杜绝因材质、焊接缺陷及运行失误造成的泄漏，定期检查，杜绝厂区存在长期事故排放点源的现象保护厂址区域地下水资源。 </w:t>
            </w:r>
          </w:p>
          <w:p w14:paraId="76604A7F">
            <w:pPr>
              <w:widowControl w:val="0"/>
              <w:bidi w:val="0"/>
              <w:spacing w:line="360" w:lineRule="auto"/>
              <w:ind w:firstLine="480" w:firstLineChars="200"/>
              <w:jc w:val="both"/>
              <w:rPr>
                <w:rFonts w:hint="default" w:ascii="Times New Roman" w:hAnsi="Times New Roman" w:eastAsia="宋体" w:cs="Times New Roman"/>
                <w:bCs/>
                <w:color w:val="000000"/>
                <w:kern w:val="24"/>
                <w:sz w:val="24"/>
                <w:szCs w:val="24"/>
                <w:lang w:val="en-US" w:eastAsia="zh-CN" w:bidi="ar-SA"/>
              </w:rPr>
            </w:pPr>
            <w:r>
              <w:rPr>
                <w:rFonts w:hint="default" w:ascii="Times New Roman" w:hAnsi="Times New Roman" w:eastAsia="宋体" w:cs="Times New Roman"/>
                <w:bCs/>
                <w:color w:val="000000"/>
                <w:kern w:val="24"/>
                <w:sz w:val="24"/>
                <w:szCs w:val="24"/>
                <w:lang w:val="en-US" w:eastAsia="zh-CN" w:bidi="ar-SA"/>
              </w:rPr>
              <w:t>（2）防渗分区措施</w:t>
            </w:r>
          </w:p>
          <w:p w14:paraId="5DAE7532">
            <w:pPr>
              <w:widowControl w:val="0"/>
              <w:bidi w:val="0"/>
              <w:spacing w:line="360" w:lineRule="auto"/>
              <w:ind w:firstLine="480" w:firstLineChars="200"/>
              <w:jc w:val="both"/>
              <w:rPr>
                <w:rFonts w:hint="default" w:ascii="Times New Roman" w:hAnsi="Times New Roman" w:eastAsia="宋体" w:cs="Times New Roman"/>
                <w:bCs/>
                <w:color w:val="000000"/>
                <w:kern w:val="24"/>
                <w:sz w:val="24"/>
                <w:szCs w:val="24"/>
                <w:lang w:val="en-US" w:eastAsia="zh-CN" w:bidi="ar-SA"/>
              </w:rPr>
            </w:pPr>
            <w:r>
              <w:rPr>
                <w:rFonts w:hint="default" w:ascii="Times New Roman" w:hAnsi="Times New Roman" w:eastAsia="宋体" w:cs="Times New Roman"/>
                <w:bCs/>
                <w:color w:val="000000"/>
                <w:kern w:val="24"/>
                <w:sz w:val="24"/>
                <w:szCs w:val="24"/>
                <w:lang w:val="en-US" w:eastAsia="zh-CN" w:bidi="ar-SA"/>
              </w:rPr>
              <w:t xml:space="preserve">为有效预防地下水污染，本项目采取分区防渗措施。本项目按重点防渗区和简单防渗区分区域进行防渗处理。 </w:t>
            </w:r>
          </w:p>
          <w:p w14:paraId="06566E78">
            <w:pPr>
              <w:widowControl w:val="0"/>
              <w:bidi w:val="0"/>
              <w:spacing w:line="360" w:lineRule="auto"/>
              <w:ind w:firstLine="480" w:firstLineChars="200"/>
              <w:jc w:val="both"/>
              <w:rPr>
                <w:rFonts w:hint="default" w:ascii="Times New Roman" w:hAnsi="Times New Roman" w:eastAsia="宋体" w:cs="Times New Roman"/>
                <w:b/>
                <w:bCs w:val="0"/>
                <w:color w:val="000000"/>
                <w:kern w:val="24"/>
                <w:sz w:val="21"/>
                <w:szCs w:val="21"/>
                <w:lang w:val="en-US" w:eastAsia="zh-CN" w:bidi="ar-SA"/>
              </w:rPr>
            </w:pPr>
            <w:r>
              <w:rPr>
                <w:rFonts w:hint="default" w:ascii="Times New Roman" w:hAnsi="Times New Roman" w:eastAsia="宋体" w:cs="Times New Roman"/>
                <w:bCs/>
                <w:color w:val="000000"/>
                <w:kern w:val="24"/>
                <w:sz w:val="24"/>
                <w:szCs w:val="24"/>
                <w:lang w:val="en-US" w:eastAsia="zh-CN" w:bidi="ar-SA"/>
              </w:rPr>
              <w:t>重点防渗区包括</w:t>
            </w:r>
            <w:r>
              <w:rPr>
                <w:rFonts w:hint="eastAsia" w:ascii="Times New Roman" w:hAnsi="Times New Roman" w:eastAsia="宋体" w:cs="Times New Roman"/>
                <w:bCs/>
                <w:color w:val="000000"/>
                <w:kern w:val="24"/>
                <w:sz w:val="24"/>
                <w:szCs w:val="24"/>
                <w:lang w:val="en-US" w:eastAsia="zh-CN" w:bidi="ar-SA"/>
              </w:rPr>
              <w:t>危险废物贮存库</w:t>
            </w:r>
            <w:r>
              <w:rPr>
                <w:rFonts w:hint="default" w:ascii="Times New Roman" w:hAnsi="Times New Roman" w:eastAsia="宋体" w:cs="Times New Roman"/>
                <w:bCs/>
                <w:color w:val="000000"/>
                <w:kern w:val="24"/>
                <w:sz w:val="24"/>
                <w:szCs w:val="24"/>
                <w:lang w:val="en-US" w:eastAsia="zh-CN" w:bidi="ar-SA"/>
              </w:rPr>
              <w:t>。</w:t>
            </w:r>
            <w:r>
              <w:rPr>
                <w:rFonts w:hint="eastAsia" w:ascii="Times New Roman" w:hAnsi="Times New Roman" w:eastAsia="宋体" w:cs="Times New Roman"/>
                <w:bCs/>
                <w:color w:val="000000"/>
                <w:kern w:val="24"/>
                <w:sz w:val="24"/>
                <w:szCs w:val="24"/>
                <w:lang w:val="en-US" w:eastAsia="zh-CN" w:bidi="ar-SA"/>
              </w:rPr>
              <w:t>一般防渗区包括1#厂房、2#厂房。</w:t>
            </w:r>
            <w:r>
              <w:rPr>
                <w:rFonts w:hint="default" w:ascii="Times New Roman" w:hAnsi="Times New Roman" w:eastAsia="宋体" w:cs="Times New Roman"/>
                <w:bCs/>
                <w:color w:val="000000"/>
                <w:kern w:val="24"/>
                <w:sz w:val="24"/>
                <w:szCs w:val="24"/>
                <w:lang w:val="en-US" w:eastAsia="zh-CN" w:bidi="ar-SA"/>
              </w:rPr>
              <w:t>其他生产生活设施为简单防渗区，仅做一般地面硬化。</w:t>
            </w:r>
          </w:p>
          <w:p w14:paraId="31DCB01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2" w:firstLineChars="200"/>
              <w:jc w:val="both"/>
              <w:textAlignment w:val="auto"/>
              <w:rPr>
                <w:rFonts w:hint="eastAsia" w:ascii="宋体" w:hAnsi="宋体" w:eastAsia="宋体" w:cs="宋体"/>
                <w:b/>
                <w:bCs w:val="0"/>
                <w:color w:val="000000"/>
                <w:kern w:val="24"/>
                <w:sz w:val="21"/>
                <w:szCs w:val="21"/>
                <w:lang w:val="en-US" w:eastAsia="zh-CN" w:bidi="ar-SA"/>
              </w:rPr>
            </w:pPr>
            <w:r>
              <w:rPr>
                <w:rFonts w:hint="default" w:ascii="Times New Roman" w:hAnsi="Times New Roman" w:eastAsia="宋体" w:cs="Times New Roman"/>
                <w:b/>
                <w:bCs w:val="0"/>
                <w:color w:val="000000"/>
                <w:kern w:val="24"/>
                <w:sz w:val="21"/>
                <w:szCs w:val="21"/>
                <w:lang w:val="en-US" w:eastAsia="zh-CN" w:bidi="ar-SA"/>
              </w:rPr>
              <w:t>表</w:t>
            </w:r>
            <w:r>
              <w:rPr>
                <w:rFonts w:hint="eastAsia" w:ascii="Times New Roman" w:hAnsi="Times New Roman" w:eastAsia="宋体" w:cs="Times New Roman"/>
                <w:b/>
                <w:bCs w:val="0"/>
                <w:color w:val="000000"/>
                <w:kern w:val="24"/>
                <w:sz w:val="21"/>
                <w:szCs w:val="21"/>
                <w:lang w:val="en-US" w:eastAsia="zh-CN" w:bidi="ar-SA"/>
              </w:rPr>
              <w:t>4-10</w:t>
            </w:r>
            <w:r>
              <w:rPr>
                <w:rFonts w:hint="eastAsia" w:ascii="宋体" w:hAnsi="宋体" w:eastAsia="宋体" w:cs="宋体"/>
                <w:b/>
                <w:bCs w:val="0"/>
                <w:color w:val="000000"/>
                <w:kern w:val="24"/>
                <w:sz w:val="21"/>
                <w:szCs w:val="21"/>
                <w:lang w:val="en-US" w:eastAsia="zh-CN" w:bidi="ar-SA"/>
              </w:rPr>
              <w:t xml:space="preserve">        项目污染地下水途径及防治措施一览表</w:t>
            </w: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44"/>
              <w:gridCol w:w="988"/>
              <w:gridCol w:w="1125"/>
              <w:gridCol w:w="5573"/>
            </w:tblGrid>
            <w:tr w14:paraId="256E9D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41" w:type="pct"/>
                  <w:tcBorders>
                    <w:tl2br w:val="nil"/>
                    <w:tr2bl w:val="nil"/>
                  </w:tcBorders>
                  <w:noWrap w:val="0"/>
                  <w:vAlign w:val="center"/>
                </w:tcPr>
                <w:p w14:paraId="7BD123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序号</w:t>
                  </w:r>
                </w:p>
              </w:tc>
              <w:tc>
                <w:tcPr>
                  <w:tcW w:w="586" w:type="pct"/>
                  <w:tcBorders>
                    <w:tl2br w:val="nil"/>
                    <w:tr2bl w:val="nil"/>
                  </w:tcBorders>
                  <w:noWrap w:val="0"/>
                  <w:vAlign w:val="center"/>
                </w:tcPr>
                <w:p w14:paraId="36464C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类别</w:t>
                  </w:r>
                </w:p>
              </w:tc>
              <w:tc>
                <w:tcPr>
                  <w:tcW w:w="667" w:type="pct"/>
                  <w:tcBorders>
                    <w:tl2br w:val="nil"/>
                    <w:tr2bl w:val="nil"/>
                  </w:tcBorders>
                  <w:noWrap w:val="0"/>
                  <w:vAlign w:val="center"/>
                </w:tcPr>
                <w:p w14:paraId="580A45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项目</w:t>
                  </w:r>
                </w:p>
              </w:tc>
              <w:tc>
                <w:tcPr>
                  <w:tcW w:w="3305" w:type="pct"/>
                  <w:tcBorders>
                    <w:tl2br w:val="nil"/>
                    <w:tr2bl w:val="nil"/>
                  </w:tcBorders>
                  <w:noWrap w:val="0"/>
                  <w:vAlign w:val="center"/>
                </w:tcPr>
                <w:p w14:paraId="043321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保护措施</w:t>
                  </w:r>
                </w:p>
              </w:tc>
            </w:tr>
            <w:tr w14:paraId="5F9A807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41" w:type="pct"/>
                  <w:tcBorders>
                    <w:tl2br w:val="nil"/>
                    <w:tr2bl w:val="nil"/>
                  </w:tcBorders>
                  <w:noWrap w:val="0"/>
                  <w:vAlign w:val="center"/>
                </w:tcPr>
                <w:p w14:paraId="2844B7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p>
              </w:tc>
              <w:tc>
                <w:tcPr>
                  <w:tcW w:w="586" w:type="pct"/>
                  <w:tcBorders>
                    <w:tl2br w:val="nil"/>
                    <w:tr2bl w:val="nil"/>
                  </w:tcBorders>
                  <w:noWrap w:val="0"/>
                  <w:vAlign w:val="center"/>
                </w:tcPr>
                <w:p w14:paraId="35BB84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重点防渗区</w:t>
                  </w:r>
                </w:p>
              </w:tc>
              <w:tc>
                <w:tcPr>
                  <w:tcW w:w="667" w:type="pct"/>
                  <w:tcBorders>
                    <w:tl2br w:val="nil"/>
                    <w:tr2bl w:val="nil"/>
                  </w:tcBorders>
                  <w:noWrap w:val="0"/>
                  <w:vAlign w:val="center"/>
                </w:tcPr>
                <w:p w14:paraId="0C0C78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危险废物贮存库</w:t>
                  </w:r>
                </w:p>
              </w:tc>
              <w:tc>
                <w:tcPr>
                  <w:tcW w:w="3305" w:type="pct"/>
                  <w:tcBorders>
                    <w:tl2br w:val="nil"/>
                    <w:tr2bl w:val="nil"/>
                  </w:tcBorders>
                  <w:noWrap w:val="0"/>
                  <w:vAlign w:val="center"/>
                </w:tcPr>
                <w:p w14:paraId="0184C6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pacing w:val="0"/>
                      <w:kern w:val="0"/>
                      <w:sz w:val="21"/>
                      <w:szCs w:val="21"/>
                    </w:rPr>
                    <w:t>表面防渗材料应与所接触的物料或污染物相容，可采用抗渗混凝土、高密度聚乙烯膜、钠基膨润土防水毯或其他防渗性能等效的材料。贮存的危险废物直接接触地面的，还应进行基础防渗，防渗层为至少</w:t>
                  </w:r>
                  <w:r>
                    <w:rPr>
                      <w:rFonts w:ascii="Times New Roman" w:hAnsi="Times New Roman" w:eastAsia="宋体" w:cs="Times New Roman"/>
                      <w:color w:val="000000"/>
                      <w:spacing w:val="0"/>
                      <w:kern w:val="0"/>
                      <w:sz w:val="21"/>
                      <w:szCs w:val="21"/>
                    </w:rPr>
                    <w:t>1m</w:t>
                  </w:r>
                  <w:r>
                    <w:rPr>
                      <w:rFonts w:hint="eastAsia" w:ascii="Times New Roman" w:hAnsi="Times New Roman" w:eastAsia="宋体" w:cs="Times New Roman"/>
                      <w:color w:val="000000"/>
                      <w:spacing w:val="0"/>
                      <w:kern w:val="0"/>
                      <w:sz w:val="21"/>
                      <w:szCs w:val="21"/>
                    </w:rPr>
                    <w:t>厚黏土层（渗透系数不大于</w:t>
                  </w:r>
                  <w:r>
                    <w:rPr>
                      <w:rFonts w:ascii="Times New Roman" w:hAnsi="Times New Roman" w:eastAsia="宋体" w:cs="Times New Roman"/>
                      <w:color w:val="000000"/>
                      <w:spacing w:val="0"/>
                      <w:kern w:val="0"/>
                      <w:sz w:val="21"/>
                      <w:szCs w:val="21"/>
                    </w:rPr>
                    <w:t>10</w:t>
                  </w:r>
                  <w:r>
                    <w:rPr>
                      <w:rFonts w:ascii="Times New Roman" w:hAnsi="Times New Roman" w:eastAsia="宋体" w:cs="Times New Roman"/>
                      <w:color w:val="000000"/>
                      <w:spacing w:val="0"/>
                      <w:kern w:val="0"/>
                      <w:sz w:val="21"/>
                      <w:szCs w:val="21"/>
                      <w:vertAlign w:val="superscript"/>
                    </w:rPr>
                    <w:t>-7</w:t>
                  </w:r>
                  <w:r>
                    <w:rPr>
                      <w:rFonts w:ascii="Times New Roman" w:hAnsi="Times New Roman" w:eastAsia="宋体" w:cs="Times New Roman"/>
                      <w:color w:val="000000"/>
                      <w:spacing w:val="0"/>
                      <w:kern w:val="0"/>
                      <w:sz w:val="21"/>
                      <w:szCs w:val="21"/>
                    </w:rPr>
                    <w:t>cm/s</w:t>
                  </w:r>
                  <w:r>
                    <w:rPr>
                      <w:rFonts w:hint="eastAsia" w:ascii="Times New Roman" w:hAnsi="Times New Roman" w:eastAsia="宋体" w:cs="Times New Roman"/>
                      <w:color w:val="000000"/>
                      <w:spacing w:val="0"/>
                      <w:kern w:val="0"/>
                      <w:sz w:val="21"/>
                      <w:szCs w:val="21"/>
                    </w:rPr>
                    <w:t>），或至少</w:t>
                  </w:r>
                  <w:r>
                    <w:rPr>
                      <w:rFonts w:ascii="Times New Roman" w:hAnsi="Times New Roman" w:eastAsia="宋体" w:cs="Times New Roman"/>
                      <w:color w:val="000000"/>
                      <w:spacing w:val="0"/>
                      <w:kern w:val="0"/>
                      <w:sz w:val="21"/>
                      <w:szCs w:val="21"/>
                    </w:rPr>
                    <w:t>2mm</w:t>
                  </w:r>
                  <w:r>
                    <w:rPr>
                      <w:rFonts w:hint="eastAsia" w:ascii="Times New Roman" w:hAnsi="Times New Roman" w:eastAsia="宋体" w:cs="Times New Roman"/>
                      <w:color w:val="000000"/>
                      <w:spacing w:val="0"/>
                      <w:kern w:val="0"/>
                      <w:sz w:val="21"/>
                      <w:szCs w:val="21"/>
                    </w:rPr>
                    <w:t>厚高密度聚乙烯膜等人工防渗材料（渗透系数不大于</w:t>
                  </w:r>
                  <w:r>
                    <w:rPr>
                      <w:rFonts w:ascii="Times New Roman" w:hAnsi="Times New Roman" w:eastAsia="宋体" w:cs="Times New Roman"/>
                      <w:color w:val="000000"/>
                      <w:spacing w:val="0"/>
                      <w:kern w:val="0"/>
                      <w:sz w:val="21"/>
                      <w:szCs w:val="21"/>
                    </w:rPr>
                    <w:t>10</w:t>
                  </w:r>
                  <w:r>
                    <w:rPr>
                      <w:rFonts w:ascii="Times New Roman" w:hAnsi="Times New Roman" w:eastAsia="宋体" w:cs="Times New Roman"/>
                      <w:color w:val="000000"/>
                      <w:spacing w:val="0"/>
                      <w:kern w:val="0"/>
                      <w:sz w:val="21"/>
                      <w:szCs w:val="21"/>
                      <w:vertAlign w:val="superscript"/>
                    </w:rPr>
                    <w:t>-10</w:t>
                  </w:r>
                  <w:r>
                    <w:rPr>
                      <w:rFonts w:ascii="Times New Roman" w:hAnsi="Times New Roman" w:eastAsia="宋体" w:cs="Times New Roman"/>
                      <w:color w:val="000000"/>
                      <w:spacing w:val="0"/>
                      <w:kern w:val="0"/>
                      <w:sz w:val="21"/>
                      <w:szCs w:val="21"/>
                    </w:rPr>
                    <w:t>cm/s</w:t>
                  </w:r>
                  <w:r>
                    <w:rPr>
                      <w:rFonts w:hint="eastAsia" w:ascii="Times New Roman" w:hAnsi="Times New Roman" w:eastAsia="宋体" w:cs="Times New Roman"/>
                      <w:color w:val="000000"/>
                      <w:spacing w:val="0"/>
                      <w:kern w:val="0"/>
                      <w:sz w:val="21"/>
                      <w:szCs w:val="21"/>
                    </w:rPr>
                    <w:t>），或其他防渗性能等效的材料</w:t>
                  </w:r>
                </w:p>
              </w:tc>
            </w:tr>
            <w:tr w14:paraId="132C6C3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41" w:type="pct"/>
                  <w:tcBorders>
                    <w:tl2br w:val="nil"/>
                    <w:tr2bl w:val="nil"/>
                  </w:tcBorders>
                  <w:noWrap w:val="0"/>
                  <w:vAlign w:val="center"/>
                </w:tcPr>
                <w:p w14:paraId="4724BF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3</w:t>
                  </w:r>
                </w:p>
              </w:tc>
              <w:tc>
                <w:tcPr>
                  <w:tcW w:w="586" w:type="pct"/>
                  <w:tcBorders>
                    <w:tl2br w:val="nil"/>
                    <w:tr2bl w:val="nil"/>
                  </w:tcBorders>
                  <w:noWrap w:val="0"/>
                  <w:vAlign w:val="center"/>
                </w:tcPr>
                <w:p w14:paraId="5620AA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eastAsia="zh-CN"/>
                    </w:rPr>
                    <w:t>简单防渗区</w:t>
                  </w:r>
                </w:p>
              </w:tc>
              <w:tc>
                <w:tcPr>
                  <w:tcW w:w="667" w:type="pct"/>
                  <w:tcBorders>
                    <w:tl2br w:val="nil"/>
                    <w:tr2bl w:val="nil"/>
                  </w:tcBorders>
                  <w:noWrap w:val="0"/>
                  <w:vAlign w:val="center"/>
                </w:tcPr>
                <w:p w14:paraId="2C1C7A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val="en-US" w:eastAsia="zh-CN"/>
                    </w:rPr>
                    <w:t>1#厂房、2#厂房、</w:t>
                  </w:r>
                  <w:r>
                    <w:rPr>
                      <w:rFonts w:hint="default" w:ascii="Times New Roman" w:hAnsi="Times New Roman" w:eastAsia="宋体" w:cs="Times New Roman"/>
                      <w:color w:val="000000"/>
                      <w:sz w:val="21"/>
                      <w:szCs w:val="21"/>
                      <w:lang w:eastAsia="zh-CN"/>
                    </w:rPr>
                    <w:t>其他生产生活设施</w:t>
                  </w:r>
                </w:p>
              </w:tc>
              <w:tc>
                <w:tcPr>
                  <w:tcW w:w="3305" w:type="pct"/>
                  <w:tcBorders>
                    <w:tl2br w:val="nil"/>
                    <w:tr2bl w:val="nil"/>
                  </w:tcBorders>
                  <w:noWrap w:val="0"/>
                  <w:vAlign w:val="center"/>
                </w:tcPr>
                <w:p w14:paraId="281B0A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地面硬化</w:t>
                  </w:r>
                </w:p>
              </w:tc>
            </w:tr>
          </w:tbl>
          <w:p w14:paraId="4B586D90">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0" w:firstLineChars="0"/>
              <w:jc w:val="both"/>
              <w:textAlignment w:val="auto"/>
              <w:rPr>
                <w:rFonts w:hint="eastAsia" w:ascii="Times New Roman" w:hAnsi="Times New Roman" w:eastAsia="宋体" w:cs="Times New Roman"/>
                <w:b/>
                <w:bCs w:val="0"/>
                <w:color w:val="000000"/>
                <w:kern w:val="24"/>
                <w:sz w:val="24"/>
                <w:szCs w:val="24"/>
                <w:lang w:val="en-US" w:eastAsia="zh-CN" w:bidi="ar-SA"/>
              </w:rPr>
            </w:pPr>
            <w:r>
              <w:rPr>
                <w:rFonts w:hint="eastAsia" w:ascii="Times New Roman" w:hAnsi="Times New Roman" w:eastAsia="宋体" w:cs="Times New Roman"/>
                <w:b/>
                <w:bCs w:val="0"/>
                <w:color w:val="000000"/>
                <w:kern w:val="24"/>
                <w:sz w:val="24"/>
                <w:szCs w:val="24"/>
                <w:lang w:val="en-US" w:eastAsia="zh-CN" w:bidi="ar-SA"/>
              </w:rPr>
              <w:t>6环境风险分析</w:t>
            </w:r>
          </w:p>
          <w:p w14:paraId="342CB183">
            <w:pPr>
              <w:spacing w:line="360" w:lineRule="auto"/>
              <w:ind w:firstLine="482" w:firstLineChars="200"/>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lang w:val="en-US" w:eastAsia="zh-CN"/>
              </w:rPr>
              <w:t>6</w:t>
            </w:r>
            <w:r>
              <w:rPr>
                <w:rFonts w:ascii="Times New Roman" w:hAnsi="Times New Roman" w:eastAsia="宋体" w:cs="Times New Roman"/>
                <w:b/>
                <w:bCs/>
                <w:color w:val="000000"/>
                <w:sz w:val="24"/>
              </w:rPr>
              <w:t>.1评价依据</w:t>
            </w:r>
          </w:p>
          <w:p w14:paraId="4C895CA2">
            <w:pPr>
              <w:spacing w:line="360" w:lineRule="auto"/>
              <w:ind w:firstLine="480"/>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根据《建设项目环境风险评价技术导则》（HJ169-2018）中</w:t>
            </w:r>
            <w:r>
              <w:rPr>
                <w:rFonts w:hint="eastAsia" w:ascii="Times New Roman" w:hAnsi="Times New Roman" w:eastAsia="宋体" w:cs="Times New Roman"/>
                <w:color w:val="000000"/>
                <w:sz w:val="24"/>
                <w:szCs w:val="21"/>
              </w:rPr>
              <w:t>“</w:t>
            </w:r>
            <w:r>
              <w:rPr>
                <w:rFonts w:ascii="Times New Roman" w:hAnsi="Times New Roman" w:eastAsia="宋体" w:cs="Times New Roman"/>
                <w:color w:val="000000"/>
                <w:sz w:val="24"/>
                <w:szCs w:val="21"/>
              </w:rPr>
              <w:t>附录B重点关注的危险物质及临界量</w:t>
            </w:r>
            <w:r>
              <w:rPr>
                <w:rFonts w:hint="eastAsia" w:ascii="Times New Roman" w:hAnsi="Times New Roman" w:eastAsia="宋体" w:cs="Times New Roman"/>
                <w:color w:val="000000"/>
                <w:sz w:val="24"/>
                <w:szCs w:val="21"/>
              </w:rPr>
              <w:t>”</w:t>
            </w:r>
            <w:r>
              <w:rPr>
                <w:rFonts w:ascii="Times New Roman" w:hAnsi="Times New Roman" w:eastAsia="宋体" w:cs="Times New Roman"/>
                <w:color w:val="000000"/>
                <w:sz w:val="24"/>
                <w:szCs w:val="21"/>
              </w:rPr>
              <w:t>、附录C，计算危险物质数量与临界量比值Q：</w:t>
            </w:r>
          </w:p>
          <w:p w14:paraId="28EC94A1">
            <w:pPr>
              <w:spacing w:line="360" w:lineRule="auto"/>
              <w:ind w:firstLine="480"/>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q1/Q1+q2/Q2+…+qn/Qn≥1</w:t>
            </w:r>
          </w:p>
          <w:p w14:paraId="00186EAC">
            <w:pPr>
              <w:spacing w:line="360" w:lineRule="auto"/>
              <w:ind w:firstLine="480"/>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式中：q1、q2、qn每种危险物质最大存在总量，t；</w:t>
            </w:r>
          </w:p>
          <w:p w14:paraId="34883EB9">
            <w:pPr>
              <w:spacing w:line="360" w:lineRule="auto"/>
              <w:ind w:firstLine="480"/>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Q1、Q2、Qn每种危险物质的临界量，t；</w:t>
            </w:r>
          </w:p>
          <w:p w14:paraId="38357335">
            <w:pPr>
              <w:spacing w:line="360" w:lineRule="auto"/>
              <w:ind w:firstLine="480"/>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当Q＜1时，该项目环境风险潜势为I。</w:t>
            </w:r>
          </w:p>
          <w:p w14:paraId="54E849C2">
            <w:pPr>
              <w:spacing w:line="360" w:lineRule="auto"/>
              <w:ind w:firstLine="480"/>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当Q≥1时，将Q值划分为：①1≤Q＜10；②10≤Q＜100；③100≤Q。</w:t>
            </w:r>
          </w:p>
          <w:p w14:paraId="4BDADC9C">
            <w:pPr>
              <w:spacing w:line="360" w:lineRule="auto"/>
              <w:ind w:firstLine="480"/>
              <w:rPr>
                <w:rFonts w:ascii="Times New Roman" w:hAnsi="Times New Roman" w:eastAsia="宋体" w:cs="Times New Roman"/>
                <w:b/>
                <w:bCs/>
                <w:color w:val="000000"/>
                <w:sz w:val="21"/>
                <w:szCs w:val="21"/>
              </w:rPr>
            </w:pPr>
            <w:r>
              <w:rPr>
                <w:rFonts w:ascii="Times New Roman" w:hAnsi="Times New Roman" w:eastAsia="宋体" w:cs="Times New Roman"/>
                <w:color w:val="000000"/>
                <w:sz w:val="24"/>
                <w:szCs w:val="21"/>
              </w:rPr>
              <w:t>本项目各物质的具体暂存情况如下</w:t>
            </w:r>
            <w:r>
              <w:rPr>
                <w:rFonts w:ascii="Times New Roman" w:hAnsi="Times New Roman" w:eastAsia="宋体" w:cs="Times New Roman"/>
                <w:b/>
                <w:bCs/>
                <w:color w:val="000000"/>
                <w:sz w:val="21"/>
                <w:szCs w:val="21"/>
              </w:rPr>
              <w:t>：</w:t>
            </w:r>
          </w:p>
          <w:p w14:paraId="296C3C4B">
            <w:pPr>
              <w:adjustRightInd w:val="0"/>
              <w:snapToGrid w:val="0"/>
              <w:spacing w:line="240" w:lineRule="auto"/>
              <w:ind w:firstLine="422" w:firstLineChars="200"/>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表</w:t>
            </w:r>
            <w:r>
              <w:rPr>
                <w:rFonts w:hint="eastAsia" w:ascii="Times New Roman" w:hAnsi="Times New Roman" w:eastAsia="宋体" w:cs="Times New Roman"/>
                <w:b/>
                <w:bCs/>
                <w:color w:val="000000"/>
                <w:sz w:val="21"/>
                <w:szCs w:val="21"/>
                <w:lang w:val="en-US" w:eastAsia="zh-CN"/>
              </w:rPr>
              <w:t>4-11</w:t>
            </w:r>
            <w:r>
              <w:rPr>
                <w:rFonts w:hint="eastAsia" w:ascii="Times New Roman" w:hAnsi="Times New Roman" w:eastAsia="宋体" w:cs="Times New Roman"/>
                <w:b/>
                <w:bCs/>
                <w:color w:val="000000"/>
                <w:sz w:val="21"/>
                <w:szCs w:val="21"/>
              </w:rPr>
              <w:t xml:space="preserve">           </w:t>
            </w:r>
            <w:r>
              <w:rPr>
                <w:rFonts w:ascii="Times New Roman" w:hAnsi="Times New Roman" w:eastAsia="宋体" w:cs="Times New Roman"/>
                <w:b/>
                <w:bCs/>
                <w:color w:val="000000"/>
                <w:sz w:val="21"/>
                <w:szCs w:val="21"/>
              </w:rPr>
              <w:t>建设项目Q值确定表</w:t>
            </w:r>
          </w:p>
          <w:tbl>
            <w:tblPr>
              <w:tblStyle w:val="23"/>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364"/>
              <w:gridCol w:w="2061"/>
              <w:gridCol w:w="1619"/>
              <w:gridCol w:w="2958"/>
              <w:gridCol w:w="1428"/>
            </w:tblGrid>
            <w:tr w14:paraId="5C8AF1E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c>
                <w:tcPr>
                  <w:tcW w:w="216" w:type="pct"/>
                  <w:noWrap w:val="0"/>
                  <w:vAlign w:val="center"/>
                </w:tcPr>
                <w:p w14:paraId="45C66B77">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序号</w:t>
                  </w:r>
                </w:p>
              </w:tc>
              <w:tc>
                <w:tcPr>
                  <w:tcW w:w="1222" w:type="pct"/>
                  <w:noWrap w:val="0"/>
                  <w:vAlign w:val="center"/>
                </w:tcPr>
                <w:p w14:paraId="4BE94D1A">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危险物质名称</w:t>
                  </w:r>
                </w:p>
              </w:tc>
              <w:tc>
                <w:tcPr>
                  <w:tcW w:w="960" w:type="pct"/>
                  <w:noWrap w:val="0"/>
                  <w:vAlign w:val="center"/>
                </w:tcPr>
                <w:p w14:paraId="1ED1DFE7">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厂内最大贮存总量</w:t>
                  </w:r>
                </w:p>
              </w:tc>
              <w:tc>
                <w:tcPr>
                  <w:tcW w:w="1753" w:type="pct"/>
                  <w:noWrap w:val="0"/>
                  <w:vAlign w:val="center"/>
                </w:tcPr>
                <w:p w14:paraId="78F39D0B">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临界量</w:t>
                  </w:r>
                </w:p>
              </w:tc>
              <w:tc>
                <w:tcPr>
                  <w:tcW w:w="847" w:type="pct"/>
                  <w:noWrap w:val="0"/>
                  <w:vAlign w:val="center"/>
                </w:tcPr>
                <w:p w14:paraId="1D1AC655">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该种危险物质Q值</w:t>
                  </w:r>
                </w:p>
              </w:tc>
            </w:tr>
            <w:tr w14:paraId="7C9E571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c>
                <w:tcPr>
                  <w:tcW w:w="216" w:type="pct"/>
                  <w:noWrap w:val="0"/>
                  <w:vAlign w:val="center"/>
                </w:tcPr>
                <w:p w14:paraId="50FFC770">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p>
              </w:tc>
              <w:tc>
                <w:tcPr>
                  <w:tcW w:w="1222" w:type="pct"/>
                  <w:noWrap w:val="0"/>
                  <w:vAlign w:val="center"/>
                </w:tcPr>
                <w:p w14:paraId="51A394C1">
                  <w:pPr>
                    <w:adjustRightInd w:val="0"/>
                    <w:snapToGrid w:val="0"/>
                    <w:spacing w:line="240" w:lineRule="auto"/>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润滑油</w:t>
                  </w:r>
                </w:p>
              </w:tc>
              <w:tc>
                <w:tcPr>
                  <w:tcW w:w="960" w:type="pct"/>
                  <w:noWrap w:val="0"/>
                  <w:vAlign w:val="center"/>
                </w:tcPr>
                <w:p w14:paraId="011AA57F">
                  <w:pPr>
                    <w:adjustRightInd w:val="0"/>
                    <w:snapToGrid w:val="0"/>
                    <w:spacing w:line="240" w:lineRule="auto"/>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r>
                    <w:rPr>
                      <w:rFonts w:hint="eastAsia" w:ascii="Times New Roman" w:hAnsi="Times New Roman" w:eastAsia="宋体" w:cs="Times New Roman"/>
                      <w:color w:val="000000"/>
                      <w:sz w:val="21"/>
                      <w:szCs w:val="21"/>
                    </w:rPr>
                    <w:t>2</w:t>
                  </w:r>
                </w:p>
              </w:tc>
              <w:tc>
                <w:tcPr>
                  <w:tcW w:w="1753" w:type="pct"/>
                  <w:noWrap w:val="0"/>
                  <w:vAlign w:val="center"/>
                </w:tcPr>
                <w:p w14:paraId="4D17F3F8">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2500</w:t>
                  </w:r>
                </w:p>
              </w:tc>
              <w:tc>
                <w:tcPr>
                  <w:tcW w:w="847" w:type="pct"/>
                  <w:noWrap w:val="0"/>
                  <w:vAlign w:val="center"/>
                </w:tcPr>
                <w:p w14:paraId="23BA6C34">
                  <w:pPr>
                    <w:adjustRightInd w:val="0"/>
                    <w:snapToGrid w:val="0"/>
                    <w:spacing w:line="240" w:lineRule="auto"/>
                    <w:jc w:val="center"/>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0.0000</w:t>
                  </w:r>
                  <w:r>
                    <w:rPr>
                      <w:rFonts w:hint="eastAsia" w:ascii="Times New Roman" w:hAnsi="Times New Roman" w:eastAsia="宋体" w:cs="Times New Roman"/>
                      <w:color w:val="000000"/>
                      <w:sz w:val="21"/>
                      <w:szCs w:val="21"/>
                    </w:rPr>
                    <w:t>8</w:t>
                  </w:r>
                </w:p>
              </w:tc>
            </w:tr>
            <w:tr w14:paraId="28831AF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c>
                <w:tcPr>
                  <w:tcW w:w="4152" w:type="pct"/>
                  <w:gridSpan w:val="4"/>
                  <w:noWrap w:val="0"/>
                  <w:vAlign w:val="center"/>
                </w:tcPr>
                <w:p w14:paraId="502C323F">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合计</w:t>
                  </w:r>
                </w:p>
              </w:tc>
              <w:tc>
                <w:tcPr>
                  <w:tcW w:w="847" w:type="pct"/>
                  <w:noWrap w:val="0"/>
                  <w:vAlign w:val="center"/>
                </w:tcPr>
                <w:p w14:paraId="5632F6B7">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r>
                    <w:rPr>
                      <w:rFonts w:hint="eastAsia" w:ascii="Times New Roman" w:hAnsi="Times New Roman" w:eastAsia="宋体" w:cs="Times New Roman"/>
                      <w:color w:val="000000"/>
                      <w:sz w:val="21"/>
                      <w:szCs w:val="21"/>
                    </w:rPr>
                    <w:t>00008</w:t>
                  </w:r>
                </w:p>
              </w:tc>
            </w:tr>
          </w:tbl>
          <w:p w14:paraId="44334C83">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color w:val="000000"/>
                <w:sz w:val="24"/>
              </w:rPr>
              <w:t>根据《建设项目环境风险评价技术导则》（HJ169-2018）中环境风险评价工作等级划分基本原则。本项目Q＜1环境风险潜势为I级，结合下表可知，本项目的风险评价等级为简单分析</w:t>
            </w:r>
            <w:r>
              <w:rPr>
                <w:rFonts w:ascii="Times New Roman" w:hAnsi="Times New Roman" w:eastAsia="宋体" w:cs="Times New Roman"/>
                <w:b/>
                <w:bCs/>
                <w:color w:val="000000"/>
                <w:sz w:val="24"/>
              </w:rPr>
              <w:t>。</w:t>
            </w:r>
          </w:p>
          <w:p w14:paraId="2E3C6B11">
            <w:pPr>
              <w:adjustRightInd w:val="0"/>
              <w:snapToGrid w:val="0"/>
              <w:spacing w:line="240" w:lineRule="auto"/>
              <w:ind w:firstLine="422" w:firstLineChars="200"/>
              <w:rPr>
                <w:rFonts w:ascii="Times New Roman" w:hAnsi="Times New Roman" w:eastAsia="宋体" w:cs="Times New Roman"/>
                <w:color w:val="000000"/>
                <w:sz w:val="24"/>
              </w:rPr>
            </w:pPr>
            <w:r>
              <w:rPr>
                <w:rFonts w:ascii="Times New Roman" w:hAnsi="Times New Roman" w:eastAsia="宋体" w:cs="Times New Roman"/>
                <w:b/>
                <w:bCs/>
                <w:color w:val="000000"/>
                <w:sz w:val="21"/>
                <w:szCs w:val="21"/>
              </w:rPr>
              <w:t>表</w:t>
            </w:r>
            <w:r>
              <w:rPr>
                <w:rFonts w:hint="eastAsia" w:ascii="Times New Roman" w:hAnsi="Times New Roman" w:eastAsia="宋体" w:cs="Times New Roman"/>
                <w:b/>
                <w:bCs/>
                <w:color w:val="000000"/>
                <w:sz w:val="21"/>
                <w:szCs w:val="21"/>
                <w:lang w:val="en-US" w:eastAsia="zh-CN"/>
              </w:rPr>
              <w:t>4-12</w:t>
            </w:r>
            <w:r>
              <w:rPr>
                <w:rFonts w:hint="eastAsia" w:ascii="Times New Roman" w:hAnsi="Times New Roman" w:eastAsia="宋体" w:cs="Times New Roman"/>
                <w:b/>
                <w:bCs/>
                <w:color w:val="000000"/>
                <w:sz w:val="21"/>
                <w:szCs w:val="21"/>
              </w:rPr>
              <w:t xml:space="preserve">                </w:t>
            </w:r>
            <w:r>
              <w:rPr>
                <w:rFonts w:ascii="Times New Roman" w:hAnsi="Times New Roman" w:eastAsia="宋体" w:cs="Times New Roman"/>
                <w:b/>
                <w:bCs/>
                <w:color w:val="000000"/>
                <w:sz w:val="21"/>
                <w:szCs w:val="21"/>
              </w:rPr>
              <w:t>评价工作等级划分</w:t>
            </w:r>
          </w:p>
          <w:tbl>
            <w:tblPr>
              <w:tblStyle w:val="23"/>
              <w:tblW w:w="4998" w:type="pct"/>
              <w:tblInd w:w="2"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3109"/>
              <w:gridCol w:w="2021"/>
              <w:gridCol w:w="600"/>
              <w:gridCol w:w="599"/>
              <w:gridCol w:w="2101"/>
            </w:tblGrid>
            <w:tr w14:paraId="4F7B1E6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c>
                <w:tcPr>
                  <w:tcW w:w="3123" w:type="dxa"/>
                  <w:noWrap w:val="0"/>
                  <w:vAlign w:val="center"/>
                </w:tcPr>
                <w:p w14:paraId="0CA9C6CC">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环境风险潜势</w:t>
                  </w:r>
                </w:p>
              </w:tc>
              <w:tc>
                <w:tcPr>
                  <w:tcW w:w="2030" w:type="dxa"/>
                  <w:noWrap w:val="0"/>
                  <w:vAlign w:val="center"/>
                </w:tcPr>
                <w:p w14:paraId="3176B3AE">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IV，IV+</w:t>
                  </w:r>
                </w:p>
              </w:tc>
              <w:tc>
                <w:tcPr>
                  <w:tcW w:w="603" w:type="dxa"/>
                  <w:noWrap w:val="0"/>
                  <w:vAlign w:val="center"/>
                </w:tcPr>
                <w:p w14:paraId="5770AD17">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III</w:t>
                  </w:r>
                </w:p>
              </w:tc>
              <w:tc>
                <w:tcPr>
                  <w:tcW w:w="602" w:type="dxa"/>
                  <w:noWrap w:val="0"/>
                  <w:vAlign w:val="center"/>
                </w:tcPr>
                <w:p w14:paraId="1C6EBEFE">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II</w:t>
                  </w:r>
                </w:p>
              </w:tc>
              <w:tc>
                <w:tcPr>
                  <w:tcW w:w="2109" w:type="dxa"/>
                  <w:noWrap w:val="0"/>
                  <w:vAlign w:val="center"/>
                </w:tcPr>
                <w:p w14:paraId="3C718454">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I</w:t>
                  </w:r>
                </w:p>
              </w:tc>
            </w:tr>
            <w:tr w14:paraId="30EEAFF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c>
                <w:tcPr>
                  <w:tcW w:w="3123" w:type="dxa"/>
                  <w:noWrap w:val="0"/>
                  <w:vAlign w:val="center"/>
                </w:tcPr>
                <w:p w14:paraId="56B08DBB">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评价工作等级</w:t>
                  </w:r>
                </w:p>
              </w:tc>
              <w:tc>
                <w:tcPr>
                  <w:tcW w:w="2030" w:type="dxa"/>
                  <w:noWrap w:val="0"/>
                  <w:vAlign w:val="center"/>
                </w:tcPr>
                <w:p w14:paraId="42A85820">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一</w:t>
                  </w:r>
                </w:p>
              </w:tc>
              <w:tc>
                <w:tcPr>
                  <w:tcW w:w="603" w:type="dxa"/>
                  <w:noWrap w:val="0"/>
                  <w:vAlign w:val="center"/>
                </w:tcPr>
                <w:p w14:paraId="10282E50">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二</w:t>
                  </w:r>
                </w:p>
              </w:tc>
              <w:tc>
                <w:tcPr>
                  <w:tcW w:w="602" w:type="dxa"/>
                  <w:noWrap w:val="0"/>
                  <w:vAlign w:val="center"/>
                </w:tcPr>
                <w:p w14:paraId="608D7926">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三</w:t>
                  </w:r>
                </w:p>
              </w:tc>
              <w:tc>
                <w:tcPr>
                  <w:tcW w:w="2109" w:type="dxa"/>
                  <w:noWrap w:val="0"/>
                  <w:vAlign w:val="center"/>
                </w:tcPr>
                <w:p w14:paraId="79E4157C">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简单分析</w:t>
                  </w:r>
                </w:p>
              </w:tc>
            </w:tr>
            <w:tr w14:paraId="400241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c>
                <w:tcPr>
                  <w:tcW w:w="8467" w:type="dxa"/>
                  <w:gridSpan w:val="5"/>
                  <w:noWrap w:val="0"/>
                  <w:vAlign w:val="center"/>
                </w:tcPr>
                <w:p w14:paraId="41B77637">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注：a是相对于详细评价工作内容而言，在描述危险物质、环境影响途径、环境危害后果，风险防范措施等方面给出定性的说明。</w:t>
                  </w:r>
                </w:p>
              </w:tc>
            </w:tr>
          </w:tbl>
          <w:p w14:paraId="0617F2F0">
            <w:pPr>
              <w:spacing w:line="360" w:lineRule="auto"/>
              <w:ind w:firstLine="482" w:firstLineChars="200"/>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lang w:val="en-US" w:eastAsia="zh-CN"/>
              </w:rPr>
              <w:t>6</w:t>
            </w:r>
            <w:r>
              <w:rPr>
                <w:rFonts w:hint="eastAsia" w:ascii="Times New Roman" w:hAnsi="Times New Roman" w:eastAsia="宋体" w:cs="Times New Roman"/>
                <w:b/>
                <w:bCs/>
                <w:color w:val="000000"/>
                <w:sz w:val="24"/>
              </w:rPr>
              <w:t>.</w:t>
            </w:r>
            <w:r>
              <w:rPr>
                <w:rFonts w:ascii="Times New Roman" w:hAnsi="Times New Roman" w:eastAsia="宋体" w:cs="Times New Roman"/>
                <w:b/>
                <w:bCs/>
                <w:color w:val="000000"/>
                <w:sz w:val="24"/>
              </w:rPr>
              <w:t>2环境风险分布情况</w:t>
            </w:r>
          </w:p>
          <w:p w14:paraId="567A2A15">
            <w:pPr>
              <w:widowControl w:val="0"/>
              <w:adjustRightInd w:val="0"/>
              <w:snapToGrid w:val="0"/>
              <w:spacing w:line="360" w:lineRule="auto"/>
              <w:ind w:firstLine="512" w:firstLineChars="20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spacing w:val="8"/>
                <w:kern w:val="2"/>
                <w:sz w:val="24"/>
                <w:szCs w:val="24"/>
                <w:lang w:val="en-US" w:eastAsia="zh-CN" w:bidi="ar-SA"/>
              </w:rPr>
              <w:t>根据《建设项目环境风险评价技术导则》（</w:t>
            </w:r>
            <w:r>
              <w:rPr>
                <w:rFonts w:ascii="Times New Roman" w:hAnsi="Times New Roman" w:eastAsia="宋体" w:cs="Times New Roman"/>
                <w:color w:val="000000"/>
                <w:kern w:val="2"/>
                <w:sz w:val="24"/>
                <w:szCs w:val="24"/>
                <w:lang w:val="en-US" w:eastAsia="zh-CN" w:bidi="ar-SA"/>
              </w:rPr>
              <w:t>HJ</w:t>
            </w:r>
            <w:r>
              <w:rPr>
                <w:rFonts w:ascii="Times New Roman" w:hAnsi="Times New Roman" w:eastAsia="宋体" w:cs="Times New Roman"/>
                <w:color w:val="000000"/>
                <w:spacing w:val="8"/>
                <w:kern w:val="2"/>
                <w:sz w:val="24"/>
                <w:szCs w:val="24"/>
                <w:lang w:val="en-US" w:eastAsia="zh-CN" w:bidi="ar-SA"/>
              </w:rPr>
              <w:t>169-2018）对本项目运营过程中涉及的物质进行风险识别，本项目环境风险识别见下表。</w:t>
            </w:r>
          </w:p>
          <w:p w14:paraId="76FFD410">
            <w:pPr>
              <w:adjustRightInd w:val="0"/>
              <w:snapToGrid w:val="0"/>
              <w:spacing w:line="240" w:lineRule="auto"/>
              <w:ind w:firstLine="422" w:firstLineChars="200"/>
              <w:rPr>
                <w:rFonts w:ascii="Times New Roman" w:hAnsi="Times New Roman" w:eastAsia="宋体" w:cs="Times New Roman"/>
                <w:color w:val="000000"/>
                <w:sz w:val="24"/>
              </w:rPr>
            </w:pPr>
            <w:r>
              <w:rPr>
                <w:rFonts w:ascii="Times New Roman" w:hAnsi="Times New Roman" w:eastAsia="宋体" w:cs="Times New Roman"/>
                <w:b/>
                <w:bCs/>
                <w:color w:val="000000"/>
                <w:sz w:val="21"/>
                <w:szCs w:val="21"/>
              </w:rPr>
              <w:t>表</w:t>
            </w:r>
            <w:r>
              <w:rPr>
                <w:rFonts w:hint="eastAsia" w:ascii="Times New Roman" w:hAnsi="Times New Roman" w:eastAsia="宋体" w:cs="Times New Roman"/>
                <w:b/>
                <w:bCs/>
                <w:color w:val="000000"/>
                <w:sz w:val="21"/>
                <w:szCs w:val="21"/>
                <w:lang w:val="en-US" w:eastAsia="zh-CN"/>
              </w:rPr>
              <w:t>4-13</w:t>
            </w:r>
            <w:r>
              <w:rPr>
                <w:rFonts w:hint="eastAsia" w:ascii="Times New Roman" w:hAnsi="Times New Roman" w:eastAsia="宋体" w:cs="Times New Roman"/>
                <w:b/>
                <w:bCs/>
                <w:color w:val="000000"/>
                <w:sz w:val="21"/>
                <w:szCs w:val="21"/>
              </w:rPr>
              <w:t xml:space="preserve">          </w:t>
            </w:r>
            <w:r>
              <w:rPr>
                <w:rFonts w:ascii="Times New Roman" w:hAnsi="Times New Roman" w:eastAsia="宋体" w:cs="Times New Roman"/>
                <w:b/>
                <w:bCs/>
                <w:color w:val="000000"/>
                <w:sz w:val="21"/>
                <w:szCs w:val="21"/>
              </w:rPr>
              <w:t>建设项目环境风险识别表</w:t>
            </w:r>
          </w:p>
          <w:tbl>
            <w:tblPr>
              <w:tblStyle w:val="23"/>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563"/>
              <w:gridCol w:w="1149"/>
              <w:gridCol w:w="857"/>
              <w:gridCol w:w="1695"/>
              <w:gridCol w:w="1690"/>
              <w:gridCol w:w="2476"/>
            </w:tblGrid>
            <w:tr w14:paraId="2CC2DD1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c>
                <w:tcPr>
                  <w:tcW w:w="334" w:type="pct"/>
                  <w:noWrap w:val="0"/>
                  <w:vAlign w:val="center"/>
                </w:tcPr>
                <w:p w14:paraId="2944DD64">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pacing w:val="-4"/>
                      <w:sz w:val="21"/>
                      <w:szCs w:val="21"/>
                    </w:rPr>
                    <w:t>序号</w:t>
                  </w:r>
                </w:p>
              </w:tc>
              <w:tc>
                <w:tcPr>
                  <w:tcW w:w="681" w:type="pct"/>
                  <w:noWrap w:val="0"/>
                  <w:vAlign w:val="center"/>
                </w:tcPr>
                <w:p w14:paraId="33D2C981">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pacing w:val="-2"/>
                      <w:sz w:val="21"/>
                      <w:szCs w:val="21"/>
                    </w:rPr>
                    <w:t>危险单元</w:t>
                  </w:r>
                </w:p>
              </w:tc>
              <w:tc>
                <w:tcPr>
                  <w:tcW w:w="508" w:type="pct"/>
                  <w:noWrap w:val="0"/>
                  <w:vAlign w:val="center"/>
                </w:tcPr>
                <w:p w14:paraId="36CB680E">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pacing w:val="-3"/>
                      <w:sz w:val="21"/>
                      <w:szCs w:val="21"/>
                    </w:rPr>
                    <w:t>风险源</w:t>
                  </w:r>
                </w:p>
              </w:tc>
              <w:tc>
                <w:tcPr>
                  <w:tcW w:w="1005" w:type="pct"/>
                  <w:noWrap w:val="0"/>
                  <w:vAlign w:val="center"/>
                </w:tcPr>
                <w:p w14:paraId="29F474B3">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pacing w:val="-3"/>
                      <w:sz w:val="21"/>
                      <w:szCs w:val="21"/>
                    </w:rPr>
                    <w:t>主要危险</w:t>
                  </w:r>
                  <w:r>
                    <w:rPr>
                      <w:rFonts w:ascii="Times New Roman" w:hAnsi="Times New Roman" w:eastAsia="宋体" w:cs="Times New Roman"/>
                      <w:color w:val="000000"/>
                      <w:spacing w:val="-4"/>
                      <w:sz w:val="21"/>
                      <w:szCs w:val="21"/>
                    </w:rPr>
                    <w:t>物质</w:t>
                  </w:r>
                </w:p>
              </w:tc>
              <w:tc>
                <w:tcPr>
                  <w:tcW w:w="1002" w:type="pct"/>
                  <w:noWrap w:val="0"/>
                  <w:vAlign w:val="center"/>
                </w:tcPr>
                <w:p w14:paraId="76014242">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pacing w:val="-2"/>
                      <w:sz w:val="21"/>
                      <w:szCs w:val="21"/>
                    </w:rPr>
                    <w:t>环境风险</w:t>
                  </w:r>
                  <w:r>
                    <w:rPr>
                      <w:rFonts w:ascii="Times New Roman" w:hAnsi="Times New Roman" w:eastAsia="宋体" w:cs="Times New Roman"/>
                      <w:color w:val="000000"/>
                      <w:spacing w:val="-7"/>
                      <w:sz w:val="21"/>
                      <w:szCs w:val="21"/>
                    </w:rPr>
                    <w:t>类型</w:t>
                  </w:r>
                </w:p>
              </w:tc>
              <w:tc>
                <w:tcPr>
                  <w:tcW w:w="1467" w:type="pct"/>
                  <w:noWrap w:val="0"/>
                  <w:vAlign w:val="center"/>
                </w:tcPr>
                <w:p w14:paraId="269A2CDC">
                  <w:pPr>
                    <w:adjustRightInd w:val="0"/>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pacing w:val="-2"/>
                      <w:sz w:val="21"/>
                      <w:szCs w:val="21"/>
                    </w:rPr>
                    <w:t>环境影响途径</w:t>
                  </w:r>
                </w:p>
              </w:tc>
            </w:tr>
            <w:tr w14:paraId="3853B30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c>
                <w:tcPr>
                  <w:tcW w:w="334" w:type="pct"/>
                  <w:noWrap w:val="0"/>
                  <w:vAlign w:val="center"/>
                </w:tcPr>
                <w:p w14:paraId="2C591E6E">
                  <w:pPr>
                    <w:adjustRightInd w:val="0"/>
                    <w:snapToGrid w:val="0"/>
                    <w:spacing w:line="240" w:lineRule="auto"/>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w:t>
                  </w:r>
                </w:p>
              </w:tc>
              <w:tc>
                <w:tcPr>
                  <w:tcW w:w="681" w:type="pct"/>
                  <w:noWrap w:val="0"/>
                  <w:vAlign w:val="center"/>
                </w:tcPr>
                <w:p w14:paraId="5CE5A149">
                  <w:pPr>
                    <w:widowControl w:val="0"/>
                    <w:adjustRightInd w:val="0"/>
                    <w:snapToGrid w:val="0"/>
                    <w:spacing w:line="240" w:lineRule="auto"/>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pacing w:val="-3"/>
                      <w:kern w:val="2"/>
                      <w:sz w:val="21"/>
                      <w:szCs w:val="21"/>
                      <w:lang w:val="en-US" w:eastAsia="zh-CN" w:bidi="ar-SA"/>
                    </w:rPr>
                    <w:t>危险废物暂存间</w:t>
                  </w:r>
                </w:p>
              </w:tc>
              <w:tc>
                <w:tcPr>
                  <w:tcW w:w="508" w:type="pct"/>
                  <w:noWrap w:val="0"/>
                  <w:vAlign w:val="center"/>
                </w:tcPr>
                <w:p w14:paraId="5DB121BC">
                  <w:pPr>
                    <w:widowControl w:val="0"/>
                    <w:adjustRightInd w:val="0"/>
                    <w:snapToGrid w:val="0"/>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pacing w:val="-3"/>
                      <w:kern w:val="2"/>
                      <w:sz w:val="21"/>
                      <w:szCs w:val="21"/>
                      <w:lang w:val="en-US" w:eastAsia="zh-CN" w:bidi="ar-SA"/>
                    </w:rPr>
                    <w:t>废润滑油</w:t>
                  </w:r>
                </w:p>
              </w:tc>
              <w:tc>
                <w:tcPr>
                  <w:tcW w:w="1005" w:type="pct"/>
                  <w:noWrap w:val="0"/>
                  <w:vAlign w:val="center"/>
                </w:tcPr>
                <w:p w14:paraId="4072ABDB">
                  <w:pPr>
                    <w:widowControl w:val="0"/>
                    <w:adjustRightInd w:val="0"/>
                    <w:snapToGrid w:val="0"/>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pacing w:val="-3"/>
                      <w:kern w:val="2"/>
                      <w:sz w:val="21"/>
                      <w:szCs w:val="21"/>
                      <w:lang w:val="en-US" w:eastAsia="zh-CN" w:bidi="ar-SA"/>
                    </w:rPr>
                    <w:t>废润滑油</w:t>
                  </w:r>
                </w:p>
              </w:tc>
              <w:tc>
                <w:tcPr>
                  <w:tcW w:w="1002" w:type="pct"/>
                  <w:noWrap w:val="0"/>
                  <w:vAlign w:val="center"/>
                </w:tcPr>
                <w:p w14:paraId="2E72781A">
                  <w:pPr>
                    <w:widowControl w:val="0"/>
                    <w:adjustRightInd w:val="0"/>
                    <w:snapToGrid w:val="0"/>
                    <w:spacing w:line="240" w:lineRule="auto"/>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pacing w:val="-13"/>
                      <w:kern w:val="2"/>
                      <w:sz w:val="21"/>
                      <w:szCs w:val="21"/>
                      <w:lang w:val="en-US" w:eastAsia="zh-CN" w:bidi="ar-SA"/>
                    </w:rPr>
                    <w:t>泄漏</w:t>
                  </w:r>
                  <w:r>
                    <w:rPr>
                      <w:rFonts w:ascii="Times New Roman" w:hAnsi="Times New Roman" w:eastAsia="宋体" w:cs="Times New Roman"/>
                      <w:color w:val="000000"/>
                      <w:spacing w:val="-13"/>
                      <w:kern w:val="2"/>
                      <w:sz w:val="21"/>
                      <w:szCs w:val="21"/>
                      <w:lang w:val="en-US" w:eastAsia="zh-CN" w:bidi="ar-SA"/>
                    </w:rPr>
                    <w:t>、火灾</w:t>
                  </w:r>
                </w:p>
              </w:tc>
              <w:tc>
                <w:tcPr>
                  <w:tcW w:w="1467" w:type="pct"/>
                  <w:noWrap w:val="0"/>
                  <w:vAlign w:val="center"/>
                </w:tcPr>
                <w:p w14:paraId="75105A72">
                  <w:pPr>
                    <w:widowControl w:val="0"/>
                    <w:adjustRightInd w:val="0"/>
                    <w:snapToGrid w:val="0"/>
                    <w:spacing w:line="240" w:lineRule="auto"/>
                    <w:jc w:val="center"/>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pacing w:val="-6"/>
                      <w:kern w:val="2"/>
                      <w:sz w:val="21"/>
                      <w:szCs w:val="21"/>
                      <w:lang w:val="en-US" w:eastAsia="zh-CN" w:bidi="ar-SA"/>
                    </w:rPr>
                    <w:t>大气、地表水、</w:t>
                  </w:r>
                  <w:r>
                    <w:rPr>
                      <w:rFonts w:ascii="Times New Roman" w:hAnsi="Times New Roman" w:eastAsia="宋体" w:cs="Times New Roman"/>
                      <w:color w:val="000000"/>
                      <w:spacing w:val="-4"/>
                      <w:kern w:val="2"/>
                      <w:sz w:val="21"/>
                      <w:szCs w:val="21"/>
                      <w:lang w:val="en-US" w:eastAsia="zh-CN" w:bidi="ar-SA"/>
                    </w:rPr>
                    <w:t>土壤</w:t>
                  </w:r>
                </w:p>
              </w:tc>
            </w:tr>
          </w:tbl>
          <w:p w14:paraId="234B9DDB">
            <w:pPr>
              <w:widowControl w:val="0"/>
              <w:adjustRightInd w:val="0"/>
              <w:snapToGrid w:val="0"/>
              <w:spacing w:line="360" w:lineRule="auto"/>
              <w:ind w:firstLine="480" w:firstLineChars="20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本项目</w:t>
            </w:r>
            <w:r>
              <w:rPr>
                <w:rFonts w:hint="eastAsia" w:ascii="Times New Roman" w:hAnsi="Times New Roman" w:eastAsia="宋体" w:cs="Times New Roman"/>
                <w:color w:val="000000"/>
                <w:kern w:val="2"/>
                <w:sz w:val="24"/>
                <w:szCs w:val="24"/>
                <w:lang w:val="en-US" w:eastAsia="zh-CN" w:bidi="ar-SA"/>
              </w:rPr>
              <w:t>废润滑油位于危险废物暂存间内</w:t>
            </w:r>
            <w:r>
              <w:rPr>
                <w:rFonts w:ascii="Times New Roman" w:hAnsi="Times New Roman" w:eastAsia="宋体" w:cs="Times New Roman"/>
                <w:color w:val="000000"/>
                <w:kern w:val="2"/>
                <w:sz w:val="24"/>
                <w:szCs w:val="24"/>
                <w:lang w:val="en-US" w:eastAsia="zh-CN" w:bidi="ar-SA"/>
              </w:rPr>
              <w:t>，若发生破损或泄漏，能够及时发现，车间地面已硬化，每桶装量较小，若及时处理，不会进入外界，对环境影响较小；</w:t>
            </w:r>
            <w:r>
              <w:rPr>
                <w:rFonts w:hint="eastAsia" w:ascii="Times New Roman" w:hAnsi="Times New Roman" w:eastAsia="宋体" w:cs="Times New Roman"/>
                <w:color w:val="000000"/>
                <w:kern w:val="2"/>
                <w:sz w:val="24"/>
                <w:szCs w:val="24"/>
                <w:lang w:val="en-US" w:eastAsia="zh-CN" w:bidi="ar-SA"/>
              </w:rPr>
              <w:t>润滑油</w:t>
            </w:r>
            <w:r>
              <w:rPr>
                <w:rFonts w:ascii="Times New Roman" w:hAnsi="Times New Roman" w:eastAsia="宋体" w:cs="Times New Roman"/>
                <w:color w:val="000000"/>
                <w:kern w:val="2"/>
                <w:sz w:val="24"/>
                <w:szCs w:val="24"/>
                <w:lang w:val="en-US" w:eastAsia="zh-CN" w:bidi="ar-SA"/>
              </w:rPr>
              <w:t>位于原料仓库内，若发生破损或泄漏，能够及时发现，车间地面已硬化，若及时处理，不会进入外界，对环境影响较小；废</w:t>
            </w:r>
            <w:r>
              <w:rPr>
                <w:rFonts w:hint="eastAsia" w:ascii="Times New Roman" w:hAnsi="Times New Roman" w:eastAsia="宋体" w:cs="Times New Roman"/>
                <w:color w:val="000000"/>
                <w:kern w:val="2"/>
                <w:sz w:val="24"/>
                <w:szCs w:val="24"/>
                <w:lang w:val="en-US" w:eastAsia="zh-CN" w:bidi="ar-SA"/>
              </w:rPr>
              <w:t>润滑油</w:t>
            </w:r>
            <w:r>
              <w:rPr>
                <w:rFonts w:ascii="Times New Roman" w:hAnsi="Times New Roman" w:eastAsia="宋体" w:cs="Times New Roman"/>
                <w:color w:val="000000"/>
                <w:kern w:val="2"/>
                <w:sz w:val="24"/>
                <w:szCs w:val="24"/>
                <w:lang w:val="en-US" w:eastAsia="zh-CN" w:bidi="ar-SA"/>
              </w:rPr>
              <w:t>位于危废间内，待危废间按要求完善防渗防漏措施后，发生破损或泄漏，可及时发现处理，不会进入外界，对环境影响较小。</w:t>
            </w:r>
          </w:p>
          <w:p w14:paraId="09B6A0E7">
            <w:pPr>
              <w:spacing w:line="360" w:lineRule="auto"/>
              <w:ind w:firstLine="482" w:firstLineChars="200"/>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lang w:val="en-US" w:eastAsia="zh-CN"/>
              </w:rPr>
              <w:t>6</w:t>
            </w:r>
            <w:r>
              <w:rPr>
                <w:rFonts w:hint="eastAsia" w:ascii="Times New Roman" w:hAnsi="Times New Roman" w:eastAsia="宋体" w:cs="Times New Roman"/>
                <w:b/>
                <w:bCs/>
                <w:color w:val="000000"/>
                <w:sz w:val="24"/>
              </w:rPr>
              <w:t>.</w:t>
            </w:r>
            <w:r>
              <w:rPr>
                <w:rFonts w:ascii="Times New Roman" w:hAnsi="Times New Roman" w:eastAsia="宋体" w:cs="Times New Roman"/>
                <w:b/>
                <w:bCs/>
                <w:color w:val="000000"/>
                <w:sz w:val="24"/>
              </w:rPr>
              <w:t>3环境风险分析</w:t>
            </w:r>
          </w:p>
          <w:p w14:paraId="2BC7A6BD">
            <w:pPr>
              <w:widowControl w:val="0"/>
              <w:adjustRightInd w:val="0"/>
              <w:snapToGrid w:val="0"/>
              <w:spacing w:line="360" w:lineRule="auto"/>
              <w:ind w:firstLine="480" w:firstLineChars="20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最大可信事故是基于经验统计分析，在一定可能性区间内发生的事故中，造成环境危害最严重的事故。根据本项目物质危险性识别、生产设施危险性识别和重大危险源的识别分析结果，确定本报告可能发生的事故为：</w:t>
            </w:r>
          </w:p>
          <w:p w14:paraId="187E7172">
            <w:pPr>
              <w:widowControl w:val="0"/>
              <w:adjustRightInd w:val="0"/>
              <w:snapToGrid w:val="0"/>
              <w:spacing w:line="360" w:lineRule="auto"/>
              <w:ind w:firstLine="480" w:firstLineChars="20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事故一：废</w:t>
            </w:r>
            <w:r>
              <w:rPr>
                <w:rFonts w:hint="eastAsia" w:ascii="Times New Roman" w:hAnsi="Times New Roman" w:eastAsia="宋体" w:cs="Times New Roman"/>
                <w:color w:val="000000"/>
                <w:kern w:val="2"/>
                <w:sz w:val="24"/>
                <w:szCs w:val="24"/>
                <w:lang w:val="en-US" w:eastAsia="zh-CN" w:bidi="ar-SA"/>
              </w:rPr>
              <w:t>润滑油</w:t>
            </w:r>
            <w:r>
              <w:rPr>
                <w:rFonts w:ascii="Times New Roman" w:hAnsi="Times New Roman" w:eastAsia="宋体" w:cs="Times New Roman"/>
                <w:color w:val="000000"/>
                <w:kern w:val="2"/>
                <w:sz w:val="24"/>
                <w:szCs w:val="24"/>
                <w:lang w:val="en-US" w:eastAsia="zh-CN" w:bidi="ar-SA"/>
              </w:rPr>
              <w:t>发生泄漏；</w:t>
            </w:r>
          </w:p>
          <w:p w14:paraId="34E71593">
            <w:pPr>
              <w:spacing w:line="360" w:lineRule="auto"/>
              <w:ind w:firstLine="482" w:firstLineChars="200"/>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lang w:val="en-US" w:eastAsia="zh-CN"/>
              </w:rPr>
              <w:t>6</w:t>
            </w:r>
            <w:r>
              <w:rPr>
                <w:rFonts w:ascii="Times New Roman" w:hAnsi="Times New Roman" w:eastAsia="宋体" w:cs="Times New Roman"/>
                <w:b/>
                <w:bCs/>
                <w:color w:val="000000"/>
                <w:sz w:val="24"/>
              </w:rPr>
              <w:t>.4火灾风险管理要求</w:t>
            </w:r>
          </w:p>
          <w:p w14:paraId="477C439B">
            <w:pPr>
              <w:widowControl w:val="0"/>
              <w:adjustRightInd w:val="0"/>
              <w:snapToGrid w:val="0"/>
              <w:spacing w:line="360" w:lineRule="auto"/>
              <w:ind w:firstLine="480" w:firstLineChars="20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针对本项目特点，提出以下几点环境风险管理要求：</w:t>
            </w:r>
          </w:p>
          <w:p w14:paraId="077A8151">
            <w:pPr>
              <w:widowControl w:val="0"/>
              <w:adjustRightInd w:val="0"/>
              <w:snapToGrid w:val="0"/>
              <w:spacing w:line="360" w:lineRule="auto"/>
              <w:ind w:firstLine="480" w:firstLineChars="20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①严格按照防火规范进行平面布置。</w:t>
            </w:r>
          </w:p>
          <w:p w14:paraId="103D7C0C">
            <w:pPr>
              <w:widowControl w:val="0"/>
              <w:adjustRightInd w:val="0"/>
              <w:snapToGrid w:val="0"/>
              <w:spacing w:line="360" w:lineRule="auto"/>
              <w:ind w:firstLine="480" w:firstLineChars="20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②定期检查、维护</w:t>
            </w:r>
            <w:r>
              <w:rPr>
                <w:rFonts w:hint="eastAsia" w:ascii="Times New Roman" w:hAnsi="Times New Roman" w:eastAsia="宋体" w:cs="Times New Roman"/>
                <w:color w:val="000000"/>
                <w:kern w:val="2"/>
                <w:sz w:val="24"/>
                <w:szCs w:val="24"/>
                <w:lang w:val="en-US" w:eastAsia="zh-CN" w:bidi="ar-SA"/>
              </w:rPr>
              <w:t>危险废物暂存间</w:t>
            </w:r>
            <w:r>
              <w:rPr>
                <w:rFonts w:ascii="Times New Roman" w:hAnsi="Times New Roman" w:eastAsia="宋体" w:cs="Times New Roman"/>
                <w:color w:val="000000"/>
                <w:kern w:val="2"/>
                <w:sz w:val="24"/>
                <w:szCs w:val="24"/>
                <w:lang w:val="en-US" w:eastAsia="zh-CN" w:bidi="ar-SA"/>
              </w:rPr>
              <w:t>设施、设备，以确保正常运行。</w:t>
            </w:r>
          </w:p>
          <w:p w14:paraId="2C86C41C">
            <w:pPr>
              <w:widowControl w:val="0"/>
              <w:adjustRightInd w:val="0"/>
              <w:snapToGrid w:val="0"/>
              <w:spacing w:line="360" w:lineRule="auto"/>
              <w:ind w:firstLine="480" w:firstLineChars="20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③易燃物质储存区设置明显的禁火标志。</w:t>
            </w:r>
          </w:p>
          <w:p w14:paraId="050DE260">
            <w:pPr>
              <w:widowControl w:val="0"/>
              <w:adjustRightInd w:val="0"/>
              <w:snapToGrid w:val="0"/>
              <w:spacing w:line="360" w:lineRule="auto"/>
              <w:ind w:firstLine="480" w:firstLineChars="20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④安装火灾设备检测仪表、消防自控设施。</w:t>
            </w:r>
          </w:p>
          <w:p w14:paraId="3C7C268A">
            <w:pPr>
              <w:widowControl w:val="0"/>
              <w:adjustRightInd w:val="0"/>
              <w:snapToGrid w:val="0"/>
              <w:spacing w:line="360" w:lineRule="auto"/>
              <w:ind w:firstLine="480" w:firstLineChars="20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⑤在项目正式投产运行前，制定出供正常、异常或紧急状态下的操作和维修计划，并对操作和维修人员进行岗前培训，避免因严重操作失误而造成人为事故。</w:t>
            </w:r>
          </w:p>
          <w:p w14:paraId="4C55A803">
            <w:pPr>
              <w:widowControl w:val="0"/>
              <w:adjustRightInd w:val="0"/>
              <w:snapToGrid w:val="0"/>
              <w:spacing w:line="360" w:lineRule="auto"/>
              <w:ind w:firstLine="480" w:firstLineChars="20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⑥设置明显的警示标志，并建立严格的值班保卫制度，防止人为蓄意破坏；制定应急操作规程，详细说明发生事故时应采取的操作步骤，规定抢修进度，限制事故影响。对重要的仪器设备有完善的检查和维护记录；对操作人员定期进行防火安全教育或应急演习，提高职工的安全意识，提高识别异常状态的能力。</w:t>
            </w:r>
          </w:p>
          <w:p w14:paraId="4E4473E7">
            <w:pPr>
              <w:widowControl w:val="0"/>
              <w:adjustRightInd w:val="0"/>
              <w:snapToGrid w:val="0"/>
              <w:spacing w:line="360" w:lineRule="auto"/>
              <w:ind w:firstLine="480" w:firstLineChars="20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⑦采取相应的火灾事故的预防措施。</w:t>
            </w:r>
          </w:p>
          <w:p w14:paraId="6A140EC2">
            <w:pPr>
              <w:widowControl w:val="0"/>
              <w:adjustRightInd w:val="0"/>
              <w:snapToGrid w:val="0"/>
              <w:spacing w:line="360" w:lineRule="auto"/>
              <w:ind w:firstLine="480" w:firstLineChars="20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⑧加强员工的事故安全知识教育，要求全体人员了解事故处理的程序，事故处理器材的使用方法，一旦出现事故可以立即停产，控制事故的危害范围和程度。</w:t>
            </w:r>
          </w:p>
          <w:p w14:paraId="5590EEB9">
            <w:pPr>
              <w:widowControl w:val="0"/>
              <w:adjustRightInd w:val="0"/>
              <w:snapToGrid w:val="0"/>
              <w:spacing w:line="360" w:lineRule="auto"/>
              <w:ind w:firstLine="482" w:firstLineChars="200"/>
              <w:jc w:val="both"/>
              <w:rPr>
                <w:rFonts w:ascii="Times New Roman" w:hAnsi="Times New Roman" w:eastAsia="宋体" w:cs="Times New Roman"/>
                <w:b/>
                <w:bCs/>
                <w:color w:val="000000"/>
                <w:kern w:val="2"/>
                <w:sz w:val="24"/>
                <w:szCs w:val="24"/>
                <w:lang w:val="en-US" w:eastAsia="zh-CN" w:bidi="ar-SA"/>
              </w:rPr>
            </w:pPr>
            <w:r>
              <w:rPr>
                <w:rFonts w:hint="eastAsia" w:ascii="Times New Roman" w:hAnsi="Times New Roman" w:eastAsia="宋体" w:cs="Times New Roman"/>
                <w:b/>
                <w:bCs/>
                <w:color w:val="000000"/>
                <w:kern w:val="2"/>
                <w:sz w:val="24"/>
                <w:szCs w:val="24"/>
                <w:lang w:val="en-US" w:eastAsia="zh-CN" w:bidi="ar-SA"/>
              </w:rPr>
              <w:t>6</w:t>
            </w:r>
            <w:r>
              <w:rPr>
                <w:rFonts w:ascii="Times New Roman" w:hAnsi="Times New Roman" w:eastAsia="宋体" w:cs="Times New Roman"/>
                <w:b/>
                <w:bCs/>
                <w:color w:val="000000"/>
                <w:kern w:val="2"/>
                <w:sz w:val="24"/>
                <w:szCs w:val="24"/>
                <w:lang w:val="en-US" w:eastAsia="zh-CN" w:bidi="ar-SA"/>
              </w:rPr>
              <w:t>.5分析结论</w:t>
            </w:r>
          </w:p>
          <w:p w14:paraId="2FA79F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结合项目特点，本项目最大可信事故确定为原料或危废泄漏与明火等点火源引起火灾事故。在采取有效安全措施后，广大社会公众能清楚认识可能发生重大事故的风险性。本项目在生产装置及其公用工程的设计、施工、运行及维护的全过程中将采用先进的生产技术和成熟可靠的抗风险措施。同时企业加强管理，落实预防措施之后，可以杜绝这类事故的发生，因此，项目的安全性将得到有效保证，不会对周围环境敏感目标产生较大影响。</w:t>
            </w:r>
          </w:p>
          <w:p w14:paraId="4F4C656F">
            <w:pPr>
              <w:spacing w:line="360" w:lineRule="auto"/>
              <w:rPr>
                <w:rFonts w:hint="default" w:ascii="Times New Roman" w:hAnsi="Times New Roman" w:eastAsia="宋体" w:cs="Times New Roman"/>
                <w:b/>
                <w:bCs w:val="0"/>
                <w:color w:val="000000"/>
                <w:spacing w:val="0"/>
                <w:kern w:val="0"/>
                <w:sz w:val="24"/>
                <w:szCs w:val="24"/>
                <w:highlight w:val="none"/>
                <w:lang w:val="en-US" w:eastAsia="zh-CN"/>
              </w:rPr>
            </w:pPr>
            <w:r>
              <w:rPr>
                <w:rFonts w:hint="eastAsia" w:ascii="Times New Roman" w:hAnsi="Times New Roman" w:eastAsia="宋体" w:cs="Times New Roman"/>
                <w:b/>
                <w:bCs w:val="0"/>
                <w:color w:val="000000"/>
                <w:spacing w:val="0"/>
                <w:kern w:val="0"/>
                <w:sz w:val="24"/>
                <w:szCs w:val="24"/>
                <w:highlight w:val="none"/>
                <w:lang w:val="en-US" w:eastAsia="zh-CN"/>
              </w:rPr>
              <w:t>7</w:t>
            </w:r>
            <w:r>
              <w:rPr>
                <w:rFonts w:hint="default" w:ascii="Times New Roman" w:hAnsi="Times New Roman" w:eastAsia="宋体" w:cs="Times New Roman"/>
                <w:b/>
                <w:bCs w:val="0"/>
                <w:color w:val="000000"/>
                <w:spacing w:val="0"/>
                <w:kern w:val="0"/>
                <w:sz w:val="24"/>
                <w:szCs w:val="24"/>
                <w:highlight w:val="none"/>
                <w:lang w:val="en-US" w:eastAsia="zh-CN"/>
              </w:rPr>
              <w:t>排污许可</w:t>
            </w:r>
          </w:p>
          <w:p w14:paraId="7C9A73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000000"/>
                <w:spacing w:val="0"/>
                <w:kern w:val="0"/>
                <w:sz w:val="24"/>
                <w:szCs w:val="24"/>
                <w:highlight w:val="none"/>
                <w:lang w:val="en-US" w:eastAsia="zh-CN"/>
              </w:rPr>
            </w:pPr>
            <w:r>
              <w:rPr>
                <w:rFonts w:hint="eastAsia" w:ascii="Times New Roman" w:hAnsi="Times New Roman" w:eastAsia="宋体" w:cs="Times New Roman"/>
                <w:bCs/>
                <w:color w:val="000000"/>
                <w:spacing w:val="0"/>
                <w:kern w:val="0"/>
                <w:sz w:val="24"/>
                <w:szCs w:val="24"/>
                <w:highlight w:val="none"/>
                <w:lang w:val="en-US" w:eastAsia="zh-CN"/>
              </w:rPr>
              <w:t>（1）排污许可证</w:t>
            </w:r>
          </w:p>
          <w:p w14:paraId="61C17F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000000"/>
                <w:spacing w:val="0"/>
                <w:kern w:val="0"/>
                <w:sz w:val="24"/>
                <w:szCs w:val="24"/>
                <w:highlight w:val="none"/>
                <w:lang w:val="en-US" w:eastAsia="zh-CN"/>
              </w:rPr>
            </w:pPr>
            <w:r>
              <w:rPr>
                <w:rFonts w:hint="default" w:ascii="Times New Roman" w:hAnsi="Times New Roman" w:eastAsia="宋体" w:cs="Times New Roman"/>
                <w:bCs/>
                <w:color w:val="000000"/>
                <w:spacing w:val="0"/>
                <w:kern w:val="0"/>
                <w:sz w:val="24"/>
                <w:szCs w:val="24"/>
                <w:highlight w:val="none"/>
                <w:lang w:val="en-US" w:eastAsia="zh-CN"/>
              </w:rPr>
              <w:t>对照《固定污染源排污许可分类管理名录（2019年版）》，本项目属于“二十五、非金属矿物制品业 </w:t>
            </w:r>
            <w:r>
              <w:rPr>
                <w:rFonts w:hint="eastAsia" w:ascii="Times New Roman" w:hAnsi="Times New Roman" w:eastAsia="宋体" w:cs="Times New Roman"/>
                <w:bCs/>
                <w:color w:val="000000"/>
                <w:spacing w:val="0"/>
                <w:kern w:val="0"/>
                <w:sz w:val="24"/>
                <w:szCs w:val="24"/>
                <w:highlight w:val="none"/>
                <w:lang w:val="en-US" w:eastAsia="zh-CN"/>
              </w:rPr>
              <w:t>-70石墨及其他非金属矿物制品制造-其他非金属矿物制品制造3099</w:t>
            </w:r>
            <w:r>
              <w:rPr>
                <w:rFonts w:hint="default" w:ascii="Times New Roman" w:hAnsi="Times New Roman" w:eastAsia="宋体" w:cs="Times New Roman"/>
                <w:bCs/>
                <w:color w:val="000000"/>
                <w:spacing w:val="0"/>
                <w:kern w:val="0"/>
                <w:sz w:val="24"/>
                <w:szCs w:val="24"/>
                <w:highlight w:val="none"/>
                <w:lang w:val="en-US" w:eastAsia="zh-CN"/>
              </w:rPr>
              <w:t>”，</w:t>
            </w:r>
            <w:r>
              <w:rPr>
                <w:rFonts w:hint="eastAsia" w:ascii="Times New Roman" w:hAnsi="Times New Roman" w:eastAsia="宋体" w:cs="Times New Roman"/>
                <w:bCs/>
                <w:color w:val="000000"/>
                <w:spacing w:val="0"/>
                <w:kern w:val="0"/>
                <w:sz w:val="24"/>
                <w:szCs w:val="24"/>
                <w:highlight w:val="none"/>
                <w:lang w:val="en-US" w:eastAsia="zh-CN"/>
              </w:rPr>
              <w:t>本项目排污许可</w:t>
            </w:r>
            <w:r>
              <w:rPr>
                <w:rFonts w:hint="default" w:ascii="Times New Roman" w:hAnsi="Times New Roman" w:eastAsia="宋体" w:cs="Times New Roman"/>
                <w:bCs/>
                <w:color w:val="000000"/>
                <w:spacing w:val="0"/>
                <w:kern w:val="0"/>
                <w:sz w:val="24"/>
                <w:szCs w:val="24"/>
                <w:highlight w:val="none"/>
                <w:lang w:val="en-US" w:eastAsia="zh-CN"/>
              </w:rPr>
              <w:t>实施</w:t>
            </w:r>
            <w:r>
              <w:rPr>
                <w:rFonts w:hint="eastAsia" w:ascii="Times New Roman" w:hAnsi="Times New Roman" w:eastAsia="宋体" w:cs="Times New Roman"/>
                <w:bCs/>
                <w:color w:val="000000"/>
                <w:spacing w:val="0"/>
                <w:kern w:val="0"/>
                <w:sz w:val="24"/>
                <w:szCs w:val="24"/>
                <w:highlight w:val="none"/>
                <w:lang w:val="en-US" w:eastAsia="zh-CN"/>
              </w:rPr>
              <w:t>登记</w:t>
            </w:r>
            <w:r>
              <w:rPr>
                <w:rFonts w:hint="default" w:ascii="Times New Roman" w:hAnsi="Times New Roman" w:eastAsia="宋体" w:cs="Times New Roman"/>
                <w:bCs/>
                <w:color w:val="000000"/>
                <w:spacing w:val="0"/>
                <w:kern w:val="0"/>
                <w:sz w:val="24"/>
                <w:szCs w:val="24"/>
                <w:highlight w:val="none"/>
                <w:lang w:val="en-US" w:eastAsia="zh-CN"/>
              </w:rPr>
              <w:t>管理，因此在产生排污行为之前应当</w:t>
            </w:r>
            <w:r>
              <w:rPr>
                <w:rFonts w:hint="eastAsia" w:ascii="Times New Roman" w:hAnsi="Times New Roman" w:eastAsia="宋体" w:cs="Times New Roman"/>
                <w:bCs/>
                <w:color w:val="000000"/>
                <w:spacing w:val="0"/>
                <w:kern w:val="0"/>
                <w:sz w:val="24"/>
                <w:szCs w:val="24"/>
                <w:highlight w:val="none"/>
                <w:lang w:val="en-US" w:eastAsia="zh-CN"/>
              </w:rPr>
              <w:t>申请排污登记。</w:t>
            </w:r>
          </w:p>
          <w:p w14:paraId="27B1BA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000000"/>
                <w:spacing w:val="0"/>
                <w:kern w:val="0"/>
                <w:sz w:val="24"/>
                <w:szCs w:val="24"/>
                <w:highlight w:val="none"/>
                <w:lang w:val="en-US" w:eastAsia="zh-CN"/>
              </w:rPr>
            </w:pPr>
            <w:r>
              <w:rPr>
                <w:rFonts w:hint="default" w:ascii="Times New Roman" w:hAnsi="Times New Roman" w:eastAsia="宋体" w:cs="Times New Roman"/>
                <w:bCs/>
                <w:color w:val="000000"/>
                <w:spacing w:val="0"/>
                <w:kern w:val="0"/>
                <w:sz w:val="24"/>
                <w:szCs w:val="24"/>
                <w:highlight w:val="none"/>
                <w:lang w:val="en-US" w:eastAsia="zh-CN"/>
              </w:rPr>
              <w:t>（</w:t>
            </w:r>
            <w:r>
              <w:rPr>
                <w:rFonts w:hint="eastAsia" w:ascii="Times New Roman" w:hAnsi="Times New Roman" w:eastAsia="宋体" w:cs="Times New Roman"/>
                <w:bCs/>
                <w:color w:val="000000"/>
                <w:spacing w:val="0"/>
                <w:kern w:val="0"/>
                <w:sz w:val="24"/>
                <w:szCs w:val="24"/>
                <w:highlight w:val="none"/>
                <w:lang w:val="en-US" w:eastAsia="zh-CN"/>
              </w:rPr>
              <w:t>2</w:t>
            </w:r>
            <w:r>
              <w:rPr>
                <w:rFonts w:hint="default" w:ascii="Times New Roman" w:hAnsi="Times New Roman" w:eastAsia="宋体" w:cs="Times New Roman"/>
                <w:bCs/>
                <w:color w:val="000000"/>
                <w:spacing w:val="0"/>
                <w:kern w:val="0"/>
                <w:sz w:val="24"/>
                <w:szCs w:val="24"/>
                <w:highlight w:val="none"/>
                <w:lang w:val="en-US" w:eastAsia="zh-CN"/>
              </w:rPr>
              <w:t>）排污口管理</w:t>
            </w:r>
          </w:p>
          <w:p w14:paraId="19BC88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000000"/>
                <w:spacing w:val="0"/>
                <w:kern w:val="0"/>
                <w:sz w:val="24"/>
                <w:szCs w:val="24"/>
                <w:highlight w:val="none"/>
                <w:lang w:val="en-US" w:eastAsia="zh-CN"/>
              </w:rPr>
            </w:pPr>
            <w:r>
              <w:rPr>
                <w:rFonts w:hint="default" w:ascii="Times New Roman" w:hAnsi="Times New Roman" w:eastAsia="宋体" w:cs="Times New Roman"/>
                <w:bCs/>
                <w:color w:val="000000"/>
                <w:spacing w:val="0"/>
                <w:kern w:val="0"/>
                <w:sz w:val="24"/>
                <w:szCs w:val="24"/>
                <w:highlight w:val="none"/>
                <w:lang w:val="en-US" w:eastAsia="zh-CN"/>
              </w:rPr>
              <w:t>建设单位应在各个排污口</w:t>
            </w:r>
            <w:r>
              <w:rPr>
                <w:rFonts w:hint="eastAsia" w:ascii="Times New Roman" w:hAnsi="Times New Roman" w:eastAsia="宋体" w:cs="Times New Roman"/>
                <w:bCs/>
                <w:color w:val="000000"/>
                <w:spacing w:val="0"/>
                <w:kern w:val="0"/>
                <w:sz w:val="24"/>
                <w:szCs w:val="24"/>
                <w:highlight w:val="none"/>
                <w:lang w:val="en-US" w:eastAsia="zh-CN"/>
              </w:rPr>
              <w:t>处竖立</w:t>
            </w:r>
            <w:r>
              <w:rPr>
                <w:rFonts w:hint="default" w:ascii="Times New Roman" w:hAnsi="Times New Roman" w:eastAsia="宋体" w:cs="Times New Roman"/>
                <w:bCs/>
                <w:color w:val="000000"/>
                <w:spacing w:val="0"/>
                <w:kern w:val="0"/>
                <w:sz w:val="24"/>
                <w:szCs w:val="24"/>
                <w:highlight w:val="none"/>
                <w:lang w:val="en-US" w:eastAsia="zh-CN"/>
              </w:rPr>
              <w:t>标志牌，由环保部门签发。环保主管部门和建设单位可分别按以下内容建立排污口管理的专门档案：排污口性质和编号；位置；排放主要污染物种类、数量、浓度；排放去向；达标情况；治理设施运行情况及整改意见。</w:t>
            </w:r>
          </w:p>
          <w:p w14:paraId="38D0D2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000000"/>
                <w:spacing w:val="0"/>
                <w:kern w:val="0"/>
                <w:sz w:val="24"/>
                <w:szCs w:val="24"/>
                <w:highlight w:val="none"/>
                <w:lang w:val="en-US" w:eastAsia="zh-CN"/>
              </w:rPr>
            </w:pPr>
            <w:r>
              <w:rPr>
                <w:rFonts w:hint="default" w:ascii="Times New Roman" w:hAnsi="Times New Roman" w:eastAsia="宋体" w:cs="Times New Roman"/>
                <w:bCs/>
                <w:color w:val="000000"/>
                <w:spacing w:val="0"/>
                <w:kern w:val="0"/>
                <w:sz w:val="24"/>
                <w:szCs w:val="24"/>
                <w:highlight w:val="none"/>
                <w:lang w:val="en-US" w:eastAsia="zh-CN"/>
              </w:rPr>
              <w:t>（</w:t>
            </w:r>
            <w:r>
              <w:rPr>
                <w:rFonts w:hint="eastAsia" w:ascii="Times New Roman" w:hAnsi="Times New Roman" w:eastAsia="宋体" w:cs="Times New Roman"/>
                <w:bCs/>
                <w:color w:val="000000"/>
                <w:spacing w:val="0"/>
                <w:kern w:val="0"/>
                <w:sz w:val="24"/>
                <w:szCs w:val="24"/>
                <w:highlight w:val="none"/>
                <w:lang w:val="en-US" w:eastAsia="zh-CN"/>
              </w:rPr>
              <w:t>3</w:t>
            </w:r>
            <w:r>
              <w:rPr>
                <w:rFonts w:hint="default" w:ascii="Times New Roman" w:hAnsi="Times New Roman" w:eastAsia="宋体" w:cs="Times New Roman"/>
                <w:bCs/>
                <w:color w:val="000000"/>
                <w:spacing w:val="0"/>
                <w:kern w:val="0"/>
                <w:sz w:val="24"/>
                <w:szCs w:val="24"/>
                <w:highlight w:val="none"/>
                <w:lang w:val="en-US" w:eastAsia="zh-CN"/>
              </w:rPr>
              <w:t>）环境保护图形标志</w:t>
            </w:r>
          </w:p>
          <w:p w14:paraId="1237E3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val="0"/>
                <w:color w:val="000000"/>
                <w:spacing w:val="0"/>
                <w:kern w:val="0"/>
                <w:sz w:val="21"/>
                <w:szCs w:val="18"/>
                <w:highlight w:val="none"/>
                <w:lang w:val="en-US" w:eastAsia="zh-CN"/>
              </w:rPr>
            </w:pPr>
            <w:r>
              <w:rPr>
                <w:rFonts w:hint="default" w:ascii="Times New Roman" w:hAnsi="Times New Roman" w:eastAsia="宋体" w:cs="Times New Roman"/>
                <w:bCs/>
                <w:color w:val="000000"/>
                <w:spacing w:val="0"/>
                <w:kern w:val="0"/>
                <w:sz w:val="24"/>
                <w:szCs w:val="24"/>
                <w:highlight w:val="none"/>
                <w:lang w:val="en-US" w:eastAsia="zh-CN"/>
              </w:rPr>
              <w:t>在噪声产生点应设置环境保护图形标志，图形符号分为提示图形和警告图形符号两种，分别按《</w:t>
            </w:r>
            <w:r>
              <w:rPr>
                <w:rFonts w:hint="default" w:ascii="Times New Roman" w:hAnsi="Times New Roman" w:eastAsia="宋体" w:cs="Times New Roman"/>
                <w:bCs/>
                <w:color w:val="000000"/>
                <w:spacing w:val="0"/>
                <w:kern w:val="0"/>
                <w:sz w:val="24"/>
                <w:szCs w:val="24"/>
                <w:highlight w:val="none"/>
                <w:lang w:val="en-US" w:eastAsia="zh-CN"/>
              </w:rPr>
              <w:fldChar w:fldCharType="begin"/>
            </w:r>
            <w:r>
              <w:rPr>
                <w:rFonts w:hint="default" w:ascii="Times New Roman" w:hAnsi="Times New Roman" w:eastAsia="宋体" w:cs="Times New Roman"/>
                <w:bCs/>
                <w:color w:val="000000"/>
                <w:spacing w:val="0"/>
                <w:kern w:val="0"/>
                <w:sz w:val="24"/>
                <w:szCs w:val="24"/>
                <w:highlight w:val="none"/>
                <w:lang w:val="en-US" w:eastAsia="zh-CN"/>
              </w:rPr>
              <w:instrText xml:space="preserve"> HYPERLINK "http://std.sacinfo.org.cn/home/javascript:;" </w:instrText>
            </w:r>
            <w:r>
              <w:rPr>
                <w:rFonts w:hint="default" w:ascii="Times New Roman" w:hAnsi="Times New Roman" w:eastAsia="宋体" w:cs="Times New Roman"/>
                <w:bCs/>
                <w:color w:val="000000"/>
                <w:spacing w:val="0"/>
                <w:kern w:val="0"/>
                <w:sz w:val="24"/>
                <w:szCs w:val="24"/>
                <w:highlight w:val="none"/>
                <w:lang w:val="en-US" w:eastAsia="zh-CN"/>
              </w:rPr>
              <w:fldChar w:fldCharType="separate"/>
            </w:r>
            <w:r>
              <w:rPr>
                <w:rFonts w:hint="default" w:ascii="Times New Roman" w:hAnsi="Times New Roman" w:eastAsia="宋体" w:cs="Times New Roman"/>
                <w:bCs/>
                <w:color w:val="000000"/>
                <w:spacing w:val="0"/>
                <w:kern w:val="0"/>
                <w:sz w:val="24"/>
                <w:szCs w:val="24"/>
                <w:highlight w:val="none"/>
                <w:lang w:val="en-US" w:eastAsia="zh-CN"/>
              </w:rPr>
              <w:t>环境保护图形标志 排放口（源）</w:t>
            </w:r>
            <w:r>
              <w:rPr>
                <w:rFonts w:hint="default" w:ascii="Times New Roman" w:hAnsi="Times New Roman" w:eastAsia="宋体" w:cs="Times New Roman"/>
                <w:bCs/>
                <w:color w:val="000000"/>
                <w:spacing w:val="0"/>
                <w:kern w:val="0"/>
                <w:sz w:val="24"/>
                <w:szCs w:val="24"/>
                <w:highlight w:val="none"/>
                <w:lang w:val="en-US" w:eastAsia="zh-CN"/>
              </w:rPr>
              <w:fldChar w:fldCharType="end"/>
            </w:r>
            <w:r>
              <w:rPr>
                <w:rFonts w:hint="default" w:ascii="Times New Roman" w:hAnsi="Times New Roman" w:eastAsia="宋体" w:cs="Times New Roman"/>
                <w:bCs/>
                <w:color w:val="000000"/>
                <w:spacing w:val="0"/>
                <w:kern w:val="0"/>
                <w:sz w:val="24"/>
                <w:szCs w:val="24"/>
                <w:highlight w:val="none"/>
                <w:lang w:val="en-US" w:eastAsia="zh-CN"/>
              </w:rPr>
              <w:t>》（GB15562.1-1995）、《</w:t>
            </w:r>
            <w:r>
              <w:rPr>
                <w:rFonts w:hint="default" w:ascii="Times New Roman" w:hAnsi="Times New Roman" w:eastAsia="宋体" w:cs="Times New Roman"/>
                <w:bCs/>
                <w:color w:val="000000"/>
                <w:spacing w:val="0"/>
                <w:kern w:val="0"/>
                <w:sz w:val="24"/>
                <w:szCs w:val="24"/>
                <w:highlight w:val="none"/>
                <w:lang w:val="en-US" w:eastAsia="zh-CN"/>
              </w:rPr>
              <w:fldChar w:fldCharType="begin"/>
            </w:r>
            <w:r>
              <w:rPr>
                <w:rFonts w:hint="default" w:ascii="Times New Roman" w:hAnsi="Times New Roman" w:eastAsia="宋体" w:cs="Times New Roman"/>
                <w:bCs/>
                <w:color w:val="000000"/>
                <w:spacing w:val="0"/>
                <w:kern w:val="0"/>
                <w:sz w:val="24"/>
                <w:szCs w:val="24"/>
                <w:highlight w:val="none"/>
                <w:lang w:val="en-US" w:eastAsia="zh-CN"/>
              </w:rPr>
              <w:instrText xml:space="preserve"> HYPERLINK "http://std.sacinfo.org.cn/home/javascript:;" </w:instrText>
            </w:r>
            <w:r>
              <w:rPr>
                <w:rFonts w:hint="default" w:ascii="Times New Roman" w:hAnsi="Times New Roman" w:eastAsia="宋体" w:cs="Times New Roman"/>
                <w:bCs/>
                <w:color w:val="000000"/>
                <w:spacing w:val="0"/>
                <w:kern w:val="0"/>
                <w:sz w:val="24"/>
                <w:szCs w:val="24"/>
                <w:highlight w:val="none"/>
                <w:lang w:val="en-US" w:eastAsia="zh-CN"/>
              </w:rPr>
              <w:fldChar w:fldCharType="separate"/>
            </w:r>
            <w:r>
              <w:rPr>
                <w:rFonts w:hint="default" w:ascii="Times New Roman" w:hAnsi="Times New Roman" w:eastAsia="宋体" w:cs="Times New Roman"/>
                <w:bCs/>
                <w:color w:val="000000"/>
                <w:spacing w:val="0"/>
                <w:kern w:val="0"/>
                <w:sz w:val="24"/>
                <w:szCs w:val="24"/>
                <w:highlight w:val="none"/>
                <w:lang w:val="en-US" w:eastAsia="zh-CN"/>
              </w:rPr>
              <w:t>环境保护图形标志固体废物堆放（填埋）场</w:t>
            </w:r>
            <w:r>
              <w:rPr>
                <w:rFonts w:hint="default" w:ascii="Times New Roman" w:hAnsi="Times New Roman" w:eastAsia="宋体" w:cs="Times New Roman"/>
                <w:bCs/>
                <w:color w:val="000000"/>
                <w:spacing w:val="0"/>
                <w:kern w:val="0"/>
                <w:sz w:val="24"/>
                <w:szCs w:val="24"/>
                <w:highlight w:val="none"/>
                <w:lang w:val="en-US" w:eastAsia="zh-CN"/>
              </w:rPr>
              <w:fldChar w:fldCharType="end"/>
            </w:r>
            <w:r>
              <w:rPr>
                <w:rFonts w:hint="default" w:ascii="Times New Roman" w:hAnsi="Times New Roman" w:eastAsia="宋体" w:cs="Times New Roman"/>
                <w:bCs/>
                <w:color w:val="000000"/>
                <w:spacing w:val="0"/>
                <w:kern w:val="0"/>
                <w:sz w:val="24"/>
                <w:szCs w:val="24"/>
                <w:highlight w:val="none"/>
                <w:lang w:val="en-US" w:eastAsia="zh-CN"/>
              </w:rPr>
              <w:t>》（GB15562.2-1995）修改单执行。环境保护图形符号见表</w:t>
            </w:r>
            <w:r>
              <w:rPr>
                <w:rFonts w:hint="eastAsia" w:ascii="Times New Roman" w:hAnsi="Times New Roman" w:eastAsia="宋体" w:cs="Times New Roman"/>
                <w:bCs/>
                <w:color w:val="000000"/>
                <w:spacing w:val="0"/>
                <w:kern w:val="0"/>
                <w:sz w:val="24"/>
                <w:szCs w:val="24"/>
                <w:highlight w:val="none"/>
                <w:lang w:val="en-US" w:eastAsia="zh-CN"/>
              </w:rPr>
              <w:t>4-11</w:t>
            </w:r>
            <w:r>
              <w:rPr>
                <w:rFonts w:hint="default" w:ascii="Times New Roman" w:hAnsi="Times New Roman" w:eastAsia="宋体" w:cs="Times New Roman"/>
                <w:bCs/>
                <w:color w:val="000000"/>
                <w:spacing w:val="0"/>
                <w:kern w:val="0"/>
                <w:sz w:val="24"/>
                <w:szCs w:val="24"/>
                <w:highlight w:val="none"/>
                <w:lang w:val="en-US" w:eastAsia="zh-CN"/>
              </w:rPr>
              <w:t>。</w:t>
            </w:r>
          </w:p>
          <w:p w14:paraId="0FD652DA">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宋体" w:cs="Times New Roman"/>
                <w:b/>
                <w:bCs w:val="0"/>
                <w:color w:val="000000"/>
                <w:spacing w:val="0"/>
                <w:kern w:val="0"/>
                <w:sz w:val="21"/>
                <w:szCs w:val="18"/>
                <w:highlight w:val="none"/>
                <w:lang w:val="en-US" w:eastAsia="zh-CN"/>
              </w:rPr>
            </w:pPr>
            <w:r>
              <w:rPr>
                <w:rFonts w:hint="default" w:ascii="Times New Roman" w:hAnsi="Times New Roman" w:eastAsia="宋体" w:cs="Times New Roman"/>
                <w:b/>
                <w:bCs w:val="0"/>
                <w:color w:val="000000"/>
                <w:spacing w:val="0"/>
                <w:kern w:val="0"/>
                <w:sz w:val="21"/>
                <w:szCs w:val="18"/>
                <w:highlight w:val="none"/>
                <w:lang w:val="en-US" w:eastAsia="zh-CN"/>
              </w:rPr>
              <w:t>表</w:t>
            </w:r>
            <w:r>
              <w:rPr>
                <w:rFonts w:hint="eastAsia" w:ascii="Times New Roman" w:hAnsi="Times New Roman" w:eastAsia="宋体" w:cs="Times New Roman"/>
                <w:b/>
                <w:bCs w:val="0"/>
                <w:color w:val="000000"/>
                <w:spacing w:val="0"/>
                <w:kern w:val="0"/>
                <w:sz w:val="21"/>
                <w:szCs w:val="18"/>
                <w:highlight w:val="none"/>
                <w:lang w:val="en-US" w:eastAsia="zh-CN"/>
              </w:rPr>
              <w:t>4-11</w:t>
            </w:r>
            <w:r>
              <w:rPr>
                <w:rFonts w:hint="default" w:ascii="Times New Roman" w:hAnsi="Times New Roman" w:eastAsia="宋体" w:cs="Times New Roman"/>
                <w:b/>
                <w:bCs w:val="0"/>
                <w:color w:val="000000"/>
                <w:spacing w:val="0"/>
                <w:kern w:val="0"/>
                <w:sz w:val="21"/>
                <w:szCs w:val="18"/>
                <w:highlight w:val="none"/>
                <w:lang w:val="en-US" w:eastAsia="zh-CN"/>
              </w:rPr>
              <w:t xml:space="preserve">                        环境保护图形符号一览表</w:t>
            </w:r>
          </w:p>
          <w:tbl>
            <w:tblPr>
              <w:tblStyle w:val="23"/>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45"/>
              <w:gridCol w:w="1811"/>
              <w:gridCol w:w="1946"/>
              <w:gridCol w:w="1380"/>
              <w:gridCol w:w="2848"/>
            </w:tblGrid>
            <w:tr w14:paraId="1AE17EF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4" w:type="pct"/>
                  <w:tcBorders>
                    <w:tl2br w:val="nil"/>
                    <w:tr2bl w:val="nil"/>
                  </w:tcBorders>
                  <w:noWrap w:val="0"/>
                  <w:vAlign w:val="center"/>
                </w:tcPr>
                <w:p w14:paraId="6C3ABE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default" w:ascii="Times New Roman" w:hAnsi="Times New Roman" w:eastAsia="宋体" w:cs="Times New Roman"/>
                      <w:bCs/>
                      <w:color w:val="000000"/>
                      <w:spacing w:val="0"/>
                      <w:kern w:val="0"/>
                      <w:sz w:val="21"/>
                      <w:szCs w:val="18"/>
                      <w:highlight w:val="none"/>
                      <w:lang w:val="en-US" w:eastAsia="zh-CN"/>
                    </w:rPr>
                    <w:t>序号</w:t>
                  </w:r>
                </w:p>
              </w:tc>
              <w:tc>
                <w:tcPr>
                  <w:tcW w:w="1074" w:type="pct"/>
                  <w:tcBorders>
                    <w:tl2br w:val="nil"/>
                    <w:tr2bl w:val="nil"/>
                  </w:tcBorders>
                  <w:noWrap w:val="0"/>
                  <w:vAlign w:val="center"/>
                </w:tcPr>
                <w:p w14:paraId="68EAE3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default" w:ascii="Times New Roman" w:hAnsi="Times New Roman" w:eastAsia="宋体" w:cs="Times New Roman"/>
                      <w:bCs/>
                      <w:color w:val="000000"/>
                      <w:spacing w:val="0"/>
                      <w:kern w:val="0"/>
                      <w:sz w:val="21"/>
                      <w:szCs w:val="18"/>
                      <w:highlight w:val="none"/>
                      <w:lang w:val="en-US" w:eastAsia="zh-CN"/>
                    </w:rPr>
                    <w:t>提示图形符号</w:t>
                  </w:r>
                </w:p>
              </w:tc>
              <w:tc>
                <w:tcPr>
                  <w:tcW w:w="1154" w:type="pct"/>
                  <w:tcBorders>
                    <w:tl2br w:val="nil"/>
                    <w:tr2bl w:val="nil"/>
                  </w:tcBorders>
                  <w:noWrap w:val="0"/>
                  <w:vAlign w:val="center"/>
                </w:tcPr>
                <w:p w14:paraId="793410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default" w:ascii="Times New Roman" w:hAnsi="Times New Roman" w:eastAsia="宋体" w:cs="Times New Roman"/>
                      <w:bCs/>
                      <w:color w:val="000000"/>
                      <w:spacing w:val="0"/>
                      <w:kern w:val="0"/>
                      <w:sz w:val="21"/>
                      <w:szCs w:val="18"/>
                      <w:highlight w:val="none"/>
                      <w:lang w:val="en-US" w:eastAsia="zh-CN"/>
                    </w:rPr>
                    <w:t>警告图形符号</w:t>
                  </w:r>
                </w:p>
              </w:tc>
              <w:tc>
                <w:tcPr>
                  <w:tcW w:w="818" w:type="pct"/>
                  <w:tcBorders>
                    <w:tl2br w:val="nil"/>
                    <w:tr2bl w:val="nil"/>
                  </w:tcBorders>
                  <w:noWrap w:val="0"/>
                  <w:vAlign w:val="center"/>
                </w:tcPr>
                <w:p w14:paraId="09390F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default" w:ascii="Times New Roman" w:hAnsi="Times New Roman" w:eastAsia="宋体" w:cs="Times New Roman"/>
                      <w:bCs/>
                      <w:color w:val="000000"/>
                      <w:spacing w:val="0"/>
                      <w:kern w:val="0"/>
                      <w:sz w:val="21"/>
                      <w:szCs w:val="18"/>
                      <w:highlight w:val="none"/>
                      <w:lang w:val="en-US" w:eastAsia="zh-CN"/>
                    </w:rPr>
                    <w:t>名称</w:t>
                  </w:r>
                </w:p>
              </w:tc>
              <w:tc>
                <w:tcPr>
                  <w:tcW w:w="1688" w:type="pct"/>
                  <w:tcBorders>
                    <w:tl2br w:val="nil"/>
                    <w:tr2bl w:val="nil"/>
                  </w:tcBorders>
                  <w:noWrap w:val="0"/>
                  <w:vAlign w:val="center"/>
                </w:tcPr>
                <w:p w14:paraId="269476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default" w:ascii="Times New Roman" w:hAnsi="Times New Roman" w:eastAsia="宋体" w:cs="Times New Roman"/>
                      <w:bCs/>
                      <w:color w:val="000000"/>
                      <w:spacing w:val="0"/>
                      <w:kern w:val="0"/>
                      <w:sz w:val="21"/>
                      <w:szCs w:val="18"/>
                      <w:highlight w:val="none"/>
                      <w:lang w:val="en-US" w:eastAsia="zh-CN"/>
                    </w:rPr>
                    <w:t>功能</w:t>
                  </w:r>
                </w:p>
              </w:tc>
            </w:tr>
            <w:tr w14:paraId="268789A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447" w:hRule="atLeast"/>
                <w:jc w:val="center"/>
              </w:trPr>
              <w:tc>
                <w:tcPr>
                  <w:tcW w:w="264" w:type="pct"/>
                  <w:tcBorders>
                    <w:tl2br w:val="nil"/>
                    <w:tr2bl w:val="nil"/>
                  </w:tcBorders>
                  <w:noWrap w:val="0"/>
                  <w:vAlign w:val="center"/>
                </w:tcPr>
                <w:p w14:paraId="6373D8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default" w:ascii="Times New Roman" w:hAnsi="Times New Roman" w:eastAsia="宋体" w:cs="Times New Roman"/>
                      <w:bCs/>
                      <w:color w:val="000000"/>
                      <w:spacing w:val="0"/>
                      <w:kern w:val="0"/>
                      <w:sz w:val="21"/>
                      <w:szCs w:val="18"/>
                      <w:highlight w:val="none"/>
                      <w:lang w:val="en-US" w:eastAsia="zh-CN"/>
                    </w:rPr>
                    <w:t>1</w:t>
                  </w:r>
                </w:p>
              </w:tc>
              <w:tc>
                <w:tcPr>
                  <w:tcW w:w="1074" w:type="pct"/>
                  <w:tcBorders>
                    <w:tl2br w:val="nil"/>
                    <w:tr2bl w:val="nil"/>
                  </w:tcBorders>
                  <w:noWrap w:val="0"/>
                  <w:vAlign w:val="center"/>
                </w:tcPr>
                <w:p w14:paraId="0E5A45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default" w:ascii="Times New Roman" w:hAnsi="Times New Roman" w:eastAsia="宋体" w:cs="Times New Roman"/>
                      <w:bCs/>
                      <w:color w:val="000000"/>
                      <w:spacing w:val="0"/>
                      <w:kern w:val="0"/>
                      <w:sz w:val="21"/>
                      <w:szCs w:val="18"/>
                      <w:highlight w:val="none"/>
                      <w:lang w:val="en-US" w:eastAsia="zh-CN"/>
                    </w:rPr>
                    <w:drawing>
                      <wp:inline distT="0" distB="0" distL="114300" distR="114300">
                        <wp:extent cx="897255" cy="912495"/>
                        <wp:effectExtent l="0" t="0" r="17145" b="1905"/>
                        <wp:docPr id="12"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6"/>
                                <pic:cNvPicPr>
                                  <a:picLocks noChangeAspect="1"/>
                                </pic:cNvPicPr>
                              </pic:nvPicPr>
                              <pic:blipFill>
                                <a:blip r:embed="rId13"/>
                                <a:stretch>
                                  <a:fillRect/>
                                </a:stretch>
                              </pic:blipFill>
                              <pic:spPr>
                                <a:xfrm>
                                  <a:off x="0" y="0"/>
                                  <a:ext cx="897255" cy="912495"/>
                                </a:xfrm>
                                <a:prstGeom prst="rect">
                                  <a:avLst/>
                                </a:prstGeom>
                                <a:noFill/>
                                <a:ln>
                                  <a:noFill/>
                                </a:ln>
                              </pic:spPr>
                            </pic:pic>
                          </a:graphicData>
                        </a:graphic>
                      </wp:inline>
                    </w:drawing>
                  </w:r>
                </w:p>
              </w:tc>
              <w:tc>
                <w:tcPr>
                  <w:tcW w:w="1154" w:type="pct"/>
                  <w:tcBorders>
                    <w:tl2br w:val="nil"/>
                    <w:tr2bl w:val="nil"/>
                  </w:tcBorders>
                  <w:noWrap w:val="0"/>
                  <w:vAlign w:val="center"/>
                </w:tcPr>
                <w:p w14:paraId="7A0DAE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default" w:ascii="Times New Roman" w:hAnsi="Times New Roman" w:eastAsia="宋体" w:cs="Times New Roman"/>
                      <w:bCs/>
                      <w:color w:val="000000"/>
                      <w:spacing w:val="0"/>
                      <w:kern w:val="0"/>
                      <w:sz w:val="21"/>
                      <w:szCs w:val="18"/>
                      <w:highlight w:val="none"/>
                      <w:lang w:val="en-US" w:eastAsia="zh-CN"/>
                    </w:rPr>
                    <w:drawing>
                      <wp:inline distT="0" distB="0" distL="114300" distR="114300">
                        <wp:extent cx="1035050" cy="877570"/>
                        <wp:effectExtent l="0" t="0" r="12700" b="17780"/>
                        <wp:docPr id="13"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7"/>
                                <pic:cNvPicPr>
                                  <a:picLocks noChangeAspect="1"/>
                                </pic:cNvPicPr>
                              </pic:nvPicPr>
                              <pic:blipFill>
                                <a:blip r:embed="rId14"/>
                                <a:stretch>
                                  <a:fillRect/>
                                </a:stretch>
                              </pic:blipFill>
                              <pic:spPr>
                                <a:xfrm>
                                  <a:off x="0" y="0"/>
                                  <a:ext cx="1035050" cy="877570"/>
                                </a:xfrm>
                                <a:prstGeom prst="rect">
                                  <a:avLst/>
                                </a:prstGeom>
                                <a:noFill/>
                                <a:ln>
                                  <a:noFill/>
                                </a:ln>
                              </pic:spPr>
                            </pic:pic>
                          </a:graphicData>
                        </a:graphic>
                      </wp:inline>
                    </w:drawing>
                  </w:r>
                </w:p>
              </w:tc>
              <w:tc>
                <w:tcPr>
                  <w:tcW w:w="818" w:type="pct"/>
                  <w:tcBorders>
                    <w:tl2br w:val="nil"/>
                    <w:tr2bl w:val="nil"/>
                  </w:tcBorders>
                  <w:noWrap w:val="0"/>
                  <w:vAlign w:val="center"/>
                </w:tcPr>
                <w:p w14:paraId="2401ED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default" w:ascii="Times New Roman" w:hAnsi="Times New Roman" w:eastAsia="宋体" w:cs="Times New Roman"/>
                      <w:bCs/>
                      <w:color w:val="000000"/>
                      <w:spacing w:val="0"/>
                      <w:kern w:val="0"/>
                      <w:sz w:val="21"/>
                      <w:szCs w:val="18"/>
                      <w:highlight w:val="none"/>
                      <w:lang w:val="en-US" w:eastAsia="zh-CN"/>
                    </w:rPr>
                    <w:t>污水排放口</w:t>
                  </w:r>
                </w:p>
              </w:tc>
              <w:tc>
                <w:tcPr>
                  <w:tcW w:w="1688" w:type="pct"/>
                  <w:tcBorders>
                    <w:tl2br w:val="nil"/>
                    <w:tr2bl w:val="nil"/>
                  </w:tcBorders>
                  <w:noWrap w:val="0"/>
                  <w:vAlign w:val="center"/>
                </w:tcPr>
                <w:p w14:paraId="4B73AB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default" w:ascii="Times New Roman" w:hAnsi="Times New Roman" w:eastAsia="宋体" w:cs="Times New Roman"/>
                      <w:bCs/>
                      <w:color w:val="000000"/>
                      <w:spacing w:val="0"/>
                      <w:kern w:val="0"/>
                      <w:sz w:val="21"/>
                      <w:szCs w:val="18"/>
                      <w:highlight w:val="none"/>
                      <w:lang w:val="en-US" w:eastAsia="zh-CN"/>
                    </w:rPr>
                    <w:t>表示污水向外环境排放</w:t>
                  </w:r>
                </w:p>
              </w:tc>
            </w:tr>
            <w:tr w14:paraId="54AED36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590" w:hRule="atLeast"/>
                <w:jc w:val="center"/>
              </w:trPr>
              <w:tc>
                <w:tcPr>
                  <w:tcW w:w="264" w:type="pct"/>
                  <w:tcBorders>
                    <w:tl2br w:val="nil"/>
                    <w:tr2bl w:val="nil"/>
                  </w:tcBorders>
                  <w:noWrap w:val="0"/>
                  <w:vAlign w:val="center"/>
                </w:tcPr>
                <w:p w14:paraId="2AF847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default" w:ascii="Times New Roman" w:hAnsi="Times New Roman" w:eastAsia="宋体" w:cs="Times New Roman"/>
                      <w:bCs/>
                      <w:color w:val="000000"/>
                      <w:spacing w:val="0"/>
                      <w:kern w:val="0"/>
                      <w:sz w:val="21"/>
                      <w:szCs w:val="18"/>
                      <w:highlight w:val="none"/>
                      <w:lang w:val="en-US" w:eastAsia="zh-CN"/>
                    </w:rPr>
                    <w:t>2</w:t>
                  </w:r>
                </w:p>
              </w:tc>
              <w:tc>
                <w:tcPr>
                  <w:tcW w:w="1074" w:type="pct"/>
                  <w:tcBorders>
                    <w:tl2br w:val="nil"/>
                    <w:tr2bl w:val="nil"/>
                  </w:tcBorders>
                  <w:noWrap w:val="0"/>
                  <w:vAlign w:val="center"/>
                </w:tcPr>
                <w:p w14:paraId="35B504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default" w:ascii="Times New Roman" w:hAnsi="Times New Roman" w:eastAsia="宋体" w:cs="Times New Roman"/>
                      <w:bCs/>
                      <w:color w:val="000000"/>
                      <w:spacing w:val="0"/>
                      <w:kern w:val="0"/>
                      <w:sz w:val="21"/>
                      <w:szCs w:val="18"/>
                      <w:highlight w:val="none"/>
                      <w:lang w:val="en-US" w:eastAsia="zh-CN"/>
                    </w:rPr>
                    <w:drawing>
                      <wp:inline distT="0" distB="0" distL="114300" distR="114300">
                        <wp:extent cx="1006475" cy="1005840"/>
                        <wp:effectExtent l="0" t="0" r="3175" b="3810"/>
                        <wp:docPr id="14"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8"/>
                                <pic:cNvPicPr>
                                  <a:picLocks noChangeAspect="1"/>
                                </pic:cNvPicPr>
                              </pic:nvPicPr>
                              <pic:blipFill>
                                <a:blip r:embed="rId15"/>
                                <a:stretch>
                                  <a:fillRect/>
                                </a:stretch>
                              </pic:blipFill>
                              <pic:spPr>
                                <a:xfrm>
                                  <a:off x="0" y="0"/>
                                  <a:ext cx="1006475" cy="1005840"/>
                                </a:xfrm>
                                <a:prstGeom prst="rect">
                                  <a:avLst/>
                                </a:prstGeom>
                                <a:noFill/>
                                <a:ln>
                                  <a:noFill/>
                                </a:ln>
                              </pic:spPr>
                            </pic:pic>
                          </a:graphicData>
                        </a:graphic>
                      </wp:inline>
                    </w:drawing>
                  </w:r>
                </w:p>
              </w:tc>
              <w:tc>
                <w:tcPr>
                  <w:tcW w:w="1154" w:type="pct"/>
                  <w:tcBorders>
                    <w:tl2br w:val="nil"/>
                    <w:tr2bl w:val="nil"/>
                  </w:tcBorders>
                  <w:noWrap w:val="0"/>
                  <w:vAlign w:val="center"/>
                </w:tcPr>
                <w:p w14:paraId="7AD24D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default" w:ascii="Times New Roman" w:hAnsi="Times New Roman" w:eastAsia="宋体" w:cs="Times New Roman"/>
                      <w:bCs/>
                      <w:color w:val="000000"/>
                      <w:spacing w:val="0"/>
                      <w:kern w:val="0"/>
                      <w:sz w:val="21"/>
                      <w:szCs w:val="18"/>
                      <w:highlight w:val="none"/>
                      <w:lang w:val="en-US" w:eastAsia="zh-CN"/>
                    </w:rPr>
                    <w:drawing>
                      <wp:inline distT="0" distB="0" distL="114300" distR="114300">
                        <wp:extent cx="1008380" cy="817880"/>
                        <wp:effectExtent l="0" t="0" r="1270" b="1270"/>
                        <wp:docPr id="15"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9"/>
                                <pic:cNvPicPr>
                                  <a:picLocks noChangeAspect="1"/>
                                </pic:cNvPicPr>
                              </pic:nvPicPr>
                              <pic:blipFill>
                                <a:blip r:embed="rId16"/>
                                <a:stretch>
                                  <a:fillRect/>
                                </a:stretch>
                              </pic:blipFill>
                              <pic:spPr>
                                <a:xfrm>
                                  <a:off x="0" y="0"/>
                                  <a:ext cx="1008380" cy="817880"/>
                                </a:xfrm>
                                <a:prstGeom prst="rect">
                                  <a:avLst/>
                                </a:prstGeom>
                                <a:noFill/>
                                <a:ln>
                                  <a:noFill/>
                                </a:ln>
                              </pic:spPr>
                            </pic:pic>
                          </a:graphicData>
                        </a:graphic>
                      </wp:inline>
                    </w:drawing>
                  </w:r>
                </w:p>
              </w:tc>
              <w:tc>
                <w:tcPr>
                  <w:tcW w:w="818" w:type="pct"/>
                  <w:tcBorders>
                    <w:tl2br w:val="nil"/>
                    <w:tr2bl w:val="nil"/>
                  </w:tcBorders>
                  <w:noWrap w:val="0"/>
                  <w:vAlign w:val="center"/>
                </w:tcPr>
                <w:p w14:paraId="462FD5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default" w:ascii="Times New Roman" w:hAnsi="Times New Roman" w:eastAsia="宋体" w:cs="Times New Roman"/>
                      <w:bCs/>
                      <w:color w:val="000000"/>
                      <w:spacing w:val="0"/>
                      <w:kern w:val="0"/>
                      <w:sz w:val="21"/>
                      <w:szCs w:val="18"/>
                      <w:highlight w:val="none"/>
                      <w:lang w:val="en-US" w:eastAsia="zh-CN"/>
                    </w:rPr>
                    <w:t>一般固体废物</w:t>
                  </w:r>
                </w:p>
              </w:tc>
              <w:tc>
                <w:tcPr>
                  <w:tcW w:w="1688" w:type="pct"/>
                  <w:tcBorders>
                    <w:tl2br w:val="nil"/>
                    <w:tr2bl w:val="nil"/>
                  </w:tcBorders>
                  <w:noWrap w:val="0"/>
                  <w:vAlign w:val="center"/>
                </w:tcPr>
                <w:p w14:paraId="73B60D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default" w:ascii="Times New Roman" w:hAnsi="Times New Roman" w:eastAsia="宋体" w:cs="Times New Roman"/>
                      <w:bCs/>
                      <w:color w:val="000000"/>
                      <w:spacing w:val="0"/>
                      <w:kern w:val="0"/>
                      <w:sz w:val="21"/>
                      <w:szCs w:val="18"/>
                      <w:highlight w:val="none"/>
                      <w:lang w:val="en-US" w:eastAsia="zh-CN"/>
                    </w:rPr>
                    <w:t>表示一般固体废物贮存、处置场</w:t>
                  </w:r>
                </w:p>
              </w:tc>
            </w:tr>
            <w:tr w14:paraId="78050F7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439" w:hRule="atLeast"/>
                <w:jc w:val="center"/>
              </w:trPr>
              <w:tc>
                <w:tcPr>
                  <w:tcW w:w="264" w:type="pct"/>
                  <w:tcBorders>
                    <w:tl2br w:val="nil"/>
                    <w:tr2bl w:val="nil"/>
                  </w:tcBorders>
                  <w:noWrap w:val="0"/>
                  <w:vAlign w:val="center"/>
                </w:tcPr>
                <w:p w14:paraId="0CF232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eastAsia" w:ascii="Times New Roman" w:hAnsi="Times New Roman" w:eastAsia="宋体" w:cs="Times New Roman"/>
                      <w:bCs/>
                      <w:color w:val="000000"/>
                      <w:spacing w:val="0"/>
                      <w:kern w:val="0"/>
                      <w:sz w:val="21"/>
                      <w:szCs w:val="18"/>
                      <w:highlight w:val="none"/>
                      <w:lang w:val="en-US" w:eastAsia="zh-CN"/>
                    </w:rPr>
                    <w:t>3</w:t>
                  </w:r>
                </w:p>
              </w:tc>
              <w:tc>
                <w:tcPr>
                  <w:tcW w:w="1074" w:type="pct"/>
                  <w:tcBorders>
                    <w:tl2br w:val="nil"/>
                    <w:tr2bl w:val="nil"/>
                  </w:tcBorders>
                  <w:noWrap w:val="0"/>
                  <w:vAlign w:val="center"/>
                </w:tcPr>
                <w:p w14:paraId="754029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default" w:ascii="Times New Roman" w:hAnsi="Times New Roman" w:eastAsia="宋体" w:cs="Times New Roman"/>
                      <w:bCs/>
                      <w:color w:val="000000"/>
                      <w:spacing w:val="0"/>
                      <w:kern w:val="0"/>
                      <w:sz w:val="21"/>
                      <w:szCs w:val="18"/>
                      <w:highlight w:val="none"/>
                      <w:lang w:val="en-US" w:eastAsia="zh-CN"/>
                    </w:rPr>
                    <w:drawing>
                      <wp:inline distT="0" distB="0" distL="114300" distR="114300">
                        <wp:extent cx="1005840" cy="914400"/>
                        <wp:effectExtent l="0" t="0" r="3810" b="0"/>
                        <wp:docPr id="16"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1"/>
                                <pic:cNvPicPr>
                                  <a:picLocks noChangeAspect="1"/>
                                </pic:cNvPicPr>
                              </pic:nvPicPr>
                              <pic:blipFill>
                                <a:blip r:embed="rId17"/>
                                <a:stretch>
                                  <a:fillRect/>
                                </a:stretch>
                              </pic:blipFill>
                              <pic:spPr>
                                <a:xfrm>
                                  <a:off x="0" y="0"/>
                                  <a:ext cx="1005840" cy="914400"/>
                                </a:xfrm>
                                <a:prstGeom prst="rect">
                                  <a:avLst/>
                                </a:prstGeom>
                                <a:noFill/>
                                <a:ln>
                                  <a:noFill/>
                                </a:ln>
                              </pic:spPr>
                            </pic:pic>
                          </a:graphicData>
                        </a:graphic>
                      </wp:inline>
                    </w:drawing>
                  </w:r>
                </w:p>
              </w:tc>
              <w:tc>
                <w:tcPr>
                  <w:tcW w:w="1154" w:type="pct"/>
                  <w:tcBorders>
                    <w:tl2br w:val="nil"/>
                    <w:tr2bl w:val="nil"/>
                  </w:tcBorders>
                  <w:noWrap w:val="0"/>
                  <w:vAlign w:val="center"/>
                </w:tcPr>
                <w:p w14:paraId="1C34B1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default" w:ascii="Times New Roman" w:hAnsi="Times New Roman" w:eastAsia="宋体" w:cs="Times New Roman"/>
                      <w:bCs/>
                      <w:color w:val="000000"/>
                      <w:spacing w:val="0"/>
                      <w:kern w:val="0"/>
                      <w:sz w:val="21"/>
                      <w:szCs w:val="18"/>
                      <w:highlight w:val="none"/>
                      <w:lang w:val="en-US" w:eastAsia="zh-CN"/>
                    </w:rPr>
                    <w:drawing>
                      <wp:inline distT="0" distB="0" distL="114300" distR="114300">
                        <wp:extent cx="1003935" cy="821690"/>
                        <wp:effectExtent l="0" t="0" r="5715" b="16510"/>
                        <wp:docPr id="17"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2"/>
                                <pic:cNvPicPr>
                                  <a:picLocks noChangeAspect="1"/>
                                </pic:cNvPicPr>
                              </pic:nvPicPr>
                              <pic:blipFill>
                                <a:blip r:embed="rId18"/>
                                <a:stretch>
                                  <a:fillRect/>
                                </a:stretch>
                              </pic:blipFill>
                              <pic:spPr>
                                <a:xfrm>
                                  <a:off x="0" y="0"/>
                                  <a:ext cx="1003935" cy="821690"/>
                                </a:xfrm>
                                <a:prstGeom prst="rect">
                                  <a:avLst/>
                                </a:prstGeom>
                                <a:noFill/>
                                <a:ln>
                                  <a:noFill/>
                                </a:ln>
                              </pic:spPr>
                            </pic:pic>
                          </a:graphicData>
                        </a:graphic>
                      </wp:inline>
                    </w:drawing>
                  </w:r>
                </w:p>
              </w:tc>
              <w:tc>
                <w:tcPr>
                  <w:tcW w:w="818" w:type="pct"/>
                  <w:tcBorders>
                    <w:tl2br w:val="nil"/>
                    <w:tr2bl w:val="nil"/>
                  </w:tcBorders>
                  <w:noWrap w:val="0"/>
                  <w:vAlign w:val="center"/>
                </w:tcPr>
                <w:p w14:paraId="350091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default" w:ascii="Times New Roman" w:hAnsi="Times New Roman" w:eastAsia="宋体" w:cs="Times New Roman"/>
                      <w:bCs/>
                      <w:color w:val="000000"/>
                      <w:spacing w:val="0"/>
                      <w:kern w:val="0"/>
                      <w:sz w:val="21"/>
                      <w:szCs w:val="18"/>
                      <w:highlight w:val="none"/>
                      <w:lang w:val="en-US" w:eastAsia="zh-CN"/>
                    </w:rPr>
                    <w:t>噪声源</w:t>
                  </w:r>
                </w:p>
              </w:tc>
              <w:tc>
                <w:tcPr>
                  <w:tcW w:w="1688" w:type="pct"/>
                  <w:tcBorders>
                    <w:tl2br w:val="nil"/>
                    <w:tr2bl w:val="nil"/>
                  </w:tcBorders>
                  <w:noWrap w:val="0"/>
                  <w:vAlign w:val="center"/>
                </w:tcPr>
                <w:p w14:paraId="7B07BC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default" w:ascii="Times New Roman" w:hAnsi="Times New Roman" w:eastAsia="宋体" w:cs="Times New Roman"/>
                      <w:bCs/>
                      <w:color w:val="000000"/>
                      <w:spacing w:val="0"/>
                      <w:kern w:val="0"/>
                      <w:sz w:val="21"/>
                      <w:szCs w:val="18"/>
                      <w:highlight w:val="none"/>
                      <w:lang w:val="en-US" w:eastAsia="zh-CN"/>
                    </w:rPr>
                    <w:t>表示噪声向外环境排放</w:t>
                  </w:r>
                </w:p>
              </w:tc>
            </w:tr>
            <w:tr w14:paraId="4B7D1C4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439" w:hRule="atLeast"/>
                <w:jc w:val="center"/>
              </w:trPr>
              <w:tc>
                <w:tcPr>
                  <w:tcW w:w="264" w:type="pct"/>
                  <w:tcBorders>
                    <w:tl2br w:val="nil"/>
                    <w:tr2bl w:val="nil"/>
                  </w:tcBorders>
                  <w:noWrap w:val="0"/>
                  <w:vAlign w:val="center"/>
                </w:tcPr>
                <w:p w14:paraId="6335D6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eastAsia" w:ascii="Times New Roman" w:hAnsi="Times New Roman" w:eastAsia="宋体" w:cs="Times New Roman"/>
                      <w:bCs/>
                      <w:color w:val="000000"/>
                      <w:spacing w:val="0"/>
                      <w:kern w:val="0"/>
                      <w:sz w:val="21"/>
                      <w:szCs w:val="18"/>
                      <w:highlight w:val="none"/>
                      <w:lang w:val="en-US" w:eastAsia="zh-CN"/>
                    </w:rPr>
                    <w:t>4</w:t>
                  </w:r>
                </w:p>
              </w:tc>
              <w:tc>
                <w:tcPr>
                  <w:tcW w:w="1074" w:type="pct"/>
                  <w:tcBorders>
                    <w:tl2br w:val="nil"/>
                    <w:tr2bl w:val="nil"/>
                  </w:tcBorders>
                  <w:noWrap w:val="0"/>
                  <w:vAlign w:val="center"/>
                </w:tcPr>
                <w:p w14:paraId="2C3FED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default" w:ascii="Times New Roman" w:hAnsi="Times New Roman" w:eastAsia="宋体" w:cs="Times New Roman"/>
                      <w:bCs/>
                      <w:color w:val="000000"/>
                      <w:spacing w:val="0"/>
                      <w:kern w:val="0"/>
                      <w:sz w:val="21"/>
                      <w:szCs w:val="18"/>
                      <w:highlight w:val="none"/>
                      <w:lang w:val="en-US" w:eastAsia="zh-CN"/>
                    </w:rPr>
                    <w:drawing>
                      <wp:inline distT="0" distB="0" distL="114300" distR="114300">
                        <wp:extent cx="962025" cy="1200150"/>
                        <wp:effectExtent l="0" t="0" r="9525" b="0"/>
                        <wp:docPr id="18"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3"/>
                                <pic:cNvPicPr>
                                  <a:picLocks noChangeAspect="1"/>
                                </pic:cNvPicPr>
                              </pic:nvPicPr>
                              <pic:blipFill>
                                <a:blip r:embed="rId19"/>
                                <a:stretch>
                                  <a:fillRect/>
                                </a:stretch>
                              </pic:blipFill>
                              <pic:spPr>
                                <a:xfrm>
                                  <a:off x="0" y="0"/>
                                  <a:ext cx="962025" cy="1200150"/>
                                </a:xfrm>
                                <a:prstGeom prst="rect">
                                  <a:avLst/>
                                </a:prstGeom>
                                <a:noFill/>
                                <a:ln>
                                  <a:noFill/>
                                </a:ln>
                              </pic:spPr>
                            </pic:pic>
                          </a:graphicData>
                        </a:graphic>
                      </wp:inline>
                    </w:drawing>
                  </w:r>
                </w:p>
              </w:tc>
              <w:tc>
                <w:tcPr>
                  <w:tcW w:w="1154" w:type="pct"/>
                  <w:tcBorders>
                    <w:tl2br w:val="nil"/>
                    <w:tr2bl w:val="nil"/>
                  </w:tcBorders>
                  <w:noWrap w:val="0"/>
                  <w:vAlign w:val="center"/>
                </w:tcPr>
                <w:p w14:paraId="3E60DF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default" w:ascii="Times New Roman" w:hAnsi="Times New Roman" w:eastAsia="宋体" w:cs="Times New Roman"/>
                      <w:bCs/>
                      <w:color w:val="000000"/>
                      <w:spacing w:val="0"/>
                      <w:kern w:val="0"/>
                      <w:sz w:val="21"/>
                      <w:szCs w:val="18"/>
                      <w:highlight w:val="none"/>
                      <w:lang w:val="en-US" w:eastAsia="zh-CN"/>
                    </w:rPr>
                    <w:drawing>
                      <wp:inline distT="0" distB="0" distL="114300" distR="114300">
                        <wp:extent cx="1019175" cy="1171575"/>
                        <wp:effectExtent l="0" t="0" r="9525" b="9525"/>
                        <wp:docPr id="19"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4"/>
                                <pic:cNvPicPr>
                                  <a:picLocks noChangeAspect="1"/>
                                </pic:cNvPicPr>
                              </pic:nvPicPr>
                              <pic:blipFill>
                                <a:blip r:embed="rId20"/>
                                <a:stretch>
                                  <a:fillRect/>
                                </a:stretch>
                              </pic:blipFill>
                              <pic:spPr>
                                <a:xfrm>
                                  <a:off x="0" y="0"/>
                                  <a:ext cx="1019175" cy="1171575"/>
                                </a:xfrm>
                                <a:prstGeom prst="rect">
                                  <a:avLst/>
                                </a:prstGeom>
                                <a:noFill/>
                                <a:ln>
                                  <a:noFill/>
                                </a:ln>
                              </pic:spPr>
                            </pic:pic>
                          </a:graphicData>
                        </a:graphic>
                      </wp:inline>
                    </w:drawing>
                  </w:r>
                </w:p>
              </w:tc>
              <w:tc>
                <w:tcPr>
                  <w:tcW w:w="818" w:type="pct"/>
                  <w:tcBorders>
                    <w:tl2br w:val="nil"/>
                    <w:tr2bl w:val="nil"/>
                  </w:tcBorders>
                  <w:noWrap w:val="0"/>
                  <w:vAlign w:val="center"/>
                </w:tcPr>
                <w:p w14:paraId="3A329D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default" w:ascii="Times New Roman" w:hAnsi="Times New Roman" w:eastAsia="宋体" w:cs="Times New Roman"/>
                      <w:bCs/>
                      <w:color w:val="000000"/>
                      <w:spacing w:val="0"/>
                      <w:kern w:val="0"/>
                      <w:sz w:val="21"/>
                      <w:szCs w:val="18"/>
                      <w:highlight w:val="none"/>
                      <w:lang w:val="en-US" w:eastAsia="zh-CN"/>
                    </w:rPr>
                    <w:t>废气排放口</w:t>
                  </w:r>
                </w:p>
              </w:tc>
              <w:tc>
                <w:tcPr>
                  <w:tcW w:w="1688" w:type="pct"/>
                  <w:tcBorders>
                    <w:tl2br w:val="nil"/>
                    <w:tr2bl w:val="nil"/>
                  </w:tcBorders>
                  <w:noWrap w:val="0"/>
                  <w:vAlign w:val="center"/>
                </w:tcPr>
                <w:p w14:paraId="53D1EB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default" w:ascii="Times New Roman" w:hAnsi="Times New Roman" w:eastAsia="宋体" w:cs="Times New Roman"/>
                      <w:bCs/>
                      <w:color w:val="000000"/>
                      <w:spacing w:val="0"/>
                      <w:kern w:val="0"/>
                      <w:sz w:val="21"/>
                      <w:szCs w:val="18"/>
                      <w:highlight w:val="none"/>
                      <w:lang w:val="en-US" w:eastAsia="zh-CN"/>
                    </w:rPr>
                    <w:t>表示废气向外环境排放</w:t>
                  </w:r>
                </w:p>
              </w:tc>
            </w:tr>
            <w:tr w14:paraId="7344E4F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439" w:hRule="atLeast"/>
                <w:jc w:val="center"/>
              </w:trPr>
              <w:tc>
                <w:tcPr>
                  <w:tcW w:w="264" w:type="pct"/>
                  <w:tcBorders>
                    <w:tl2br w:val="nil"/>
                    <w:tr2bl w:val="nil"/>
                  </w:tcBorders>
                  <w:noWrap w:val="0"/>
                  <w:vAlign w:val="center"/>
                </w:tcPr>
                <w:p w14:paraId="03AD19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highlight w:val="none"/>
                      <w:lang w:val="en-US" w:eastAsia="zh-CN"/>
                    </w:rPr>
                  </w:pPr>
                  <w:r>
                    <w:rPr>
                      <w:rFonts w:hint="eastAsia" w:ascii="Times New Roman" w:hAnsi="Times New Roman" w:eastAsia="宋体" w:cs="Times New Roman"/>
                      <w:bCs/>
                      <w:color w:val="000000"/>
                      <w:spacing w:val="0"/>
                      <w:kern w:val="0"/>
                      <w:sz w:val="21"/>
                      <w:szCs w:val="18"/>
                      <w:highlight w:val="none"/>
                      <w:lang w:val="en-US" w:eastAsia="zh-CN"/>
                    </w:rPr>
                    <w:t>5</w:t>
                  </w:r>
                </w:p>
              </w:tc>
              <w:tc>
                <w:tcPr>
                  <w:tcW w:w="2228" w:type="pct"/>
                  <w:gridSpan w:val="2"/>
                  <w:tcBorders>
                    <w:tl2br w:val="nil"/>
                    <w:tr2bl w:val="nil"/>
                  </w:tcBorders>
                  <w:noWrap w:val="0"/>
                  <w:vAlign w:val="center"/>
                </w:tcPr>
                <w:p w14:paraId="105BFC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Cs/>
                      <w:color w:val="000000"/>
                      <w:spacing w:val="0"/>
                      <w:kern w:val="0"/>
                      <w:sz w:val="21"/>
                      <w:szCs w:val="18"/>
                      <w:lang w:val="en-US" w:eastAsia="zh-CN" w:bidi="ar-SA"/>
                    </w:rPr>
                  </w:pPr>
                  <w:r>
                    <w:rPr>
                      <w:rFonts w:hint="default"/>
                      <w:bCs/>
                      <w:color w:val="000000"/>
                      <w:spacing w:val="0"/>
                      <w:kern w:val="0"/>
                      <w:sz w:val="21"/>
                      <w:szCs w:val="18"/>
                      <w:lang w:val="en-US" w:eastAsia="zh-CN"/>
                    </w:rPr>
                    <w:drawing>
                      <wp:inline distT="0" distB="0" distL="114300" distR="114300">
                        <wp:extent cx="1144905" cy="1012825"/>
                        <wp:effectExtent l="0" t="0" r="17145" b="15875"/>
                        <wp:docPr id="20"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4"/>
                                <pic:cNvPicPr>
                                  <a:picLocks noChangeAspect="1"/>
                                </pic:cNvPicPr>
                              </pic:nvPicPr>
                              <pic:blipFill>
                                <a:blip r:embed="rId21"/>
                                <a:stretch>
                                  <a:fillRect/>
                                </a:stretch>
                              </pic:blipFill>
                              <pic:spPr>
                                <a:xfrm>
                                  <a:off x="0" y="0"/>
                                  <a:ext cx="1144905" cy="1012825"/>
                                </a:xfrm>
                                <a:prstGeom prst="rect">
                                  <a:avLst/>
                                </a:prstGeom>
                                <a:noFill/>
                                <a:ln>
                                  <a:noFill/>
                                </a:ln>
                              </pic:spPr>
                            </pic:pic>
                          </a:graphicData>
                        </a:graphic>
                      </wp:inline>
                    </w:drawing>
                  </w:r>
                </w:p>
              </w:tc>
              <w:tc>
                <w:tcPr>
                  <w:tcW w:w="818" w:type="pct"/>
                  <w:tcBorders>
                    <w:tl2br w:val="nil"/>
                    <w:tr2bl w:val="nil"/>
                  </w:tcBorders>
                  <w:noWrap w:val="0"/>
                  <w:vAlign w:val="center"/>
                </w:tcPr>
                <w:p w14:paraId="4384DB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Cs/>
                      <w:color w:val="000000"/>
                      <w:spacing w:val="0"/>
                      <w:kern w:val="0"/>
                      <w:sz w:val="21"/>
                      <w:szCs w:val="18"/>
                      <w:lang w:val="en-US" w:eastAsia="zh-CN" w:bidi="ar-SA"/>
                    </w:rPr>
                  </w:pPr>
                  <w:r>
                    <w:rPr>
                      <w:rFonts w:hint="default"/>
                      <w:bCs/>
                      <w:color w:val="000000"/>
                      <w:spacing w:val="0"/>
                      <w:kern w:val="0"/>
                      <w:sz w:val="21"/>
                      <w:szCs w:val="18"/>
                      <w:lang w:val="en-US" w:eastAsia="zh-CN"/>
                    </w:rPr>
                    <w:t>危险废物</w:t>
                  </w:r>
                </w:p>
              </w:tc>
              <w:tc>
                <w:tcPr>
                  <w:tcW w:w="1688" w:type="pct"/>
                  <w:tcBorders>
                    <w:tl2br w:val="nil"/>
                    <w:tr2bl w:val="nil"/>
                  </w:tcBorders>
                  <w:noWrap w:val="0"/>
                  <w:vAlign w:val="center"/>
                </w:tcPr>
                <w:p w14:paraId="3E0407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Cs/>
                      <w:color w:val="000000"/>
                      <w:spacing w:val="0"/>
                      <w:kern w:val="0"/>
                      <w:sz w:val="21"/>
                      <w:szCs w:val="18"/>
                      <w:lang w:val="en-US" w:eastAsia="zh-CN"/>
                    </w:rPr>
                  </w:pPr>
                  <w:r>
                    <w:rPr>
                      <w:rFonts w:hint="default"/>
                      <w:bCs/>
                      <w:color w:val="000000"/>
                      <w:spacing w:val="0"/>
                      <w:kern w:val="0"/>
                      <w:sz w:val="21"/>
                      <w:szCs w:val="18"/>
                      <w:lang w:val="en-US" w:eastAsia="zh-CN"/>
                    </w:rPr>
                    <w:t>表示危险废物贮存、处置场警告图形符号</w:t>
                  </w:r>
                </w:p>
                <w:p w14:paraId="356241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Cs/>
                      <w:color w:val="000000"/>
                      <w:spacing w:val="0"/>
                      <w:kern w:val="0"/>
                      <w:sz w:val="21"/>
                      <w:szCs w:val="18"/>
                      <w:lang w:val="en-US" w:eastAsia="zh-CN" w:bidi="ar-SA"/>
                    </w:rPr>
                  </w:pPr>
                </w:p>
              </w:tc>
            </w:tr>
          </w:tbl>
          <w:p w14:paraId="56510C3B">
            <w:pPr>
              <w:widowControl w:val="0"/>
              <w:adjustRightInd w:val="0"/>
              <w:snapToGrid w:val="0"/>
              <w:spacing w:line="240" w:lineRule="auto"/>
              <w:ind w:firstLine="422" w:firstLineChars="200"/>
              <w:jc w:val="both"/>
              <w:outlineLvl w:val="3"/>
              <w:rPr>
                <w:rFonts w:hint="eastAsia" w:ascii="Times New Roman" w:hAnsi="Times New Roman" w:eastAsia="宋体" w:cs="Times New Roman"/>
                <w:b/>
                <w:bCs/>
                <w:color w:val="000000"/>
                <w:spacing w:val="0"/>
                <w:kern w:val="0"/>
                <w:sz w:val="21"/>
                <w:szCs w:val="21"/>
                <w:lang w:val="en-US" w:eastAsia="zh-CN" w:bidi="ar-SA"/>
              </w:rPr>
            </w:pPr>
          </w:p>
          <w:p w14:paraId="073F73F6">
            <w:pPr>
              <w:spacing w:line="360" w:lineRule="auto"/>
              <w:rPr>
                <w:rFonts w:hint="eastAsia" w:ascii="Times New Roman" w:hAnsi="Times New Roman" w:eastAsia="宋体" w:cs="Times New Roman"/>
                <w:b/>
                <w:bCs w:val="0"/>
                <w:color w:val="000000"/>
                <w:spacing w:val="0"/>
                <w:kern w:val="0"/>
                <w:sz w:val="24"/>
                <w:szCs w:val="24"/>
                <w:highlight w:val="none"/>
                <w:lang w:val="en-US" w:eastAsia="zh-CN"/>
              </w:rPr>
            </w:pPr>
            <w:r>
              <w:rPr>
                <w:rFonts w:hint="eastAsia" w:ascii="Times New Roman" w:hAnsi="Times New Roman" w:eastAsia="宋体" w:cs="Times New Roman"/>
                <w:b/>
                <w:bCs w:val="0"/>
                <w:color w:val="000000"/>
                <w:spacing w:val="0"/>
                <w:kern w:val="0"/>
                <w:sz w:val="24"/>
                <w:szCs w:val="24"/>
                <w:highlight w:val="none"/>
                <w:lang w:val="en-US" w:eastAsia="zh-CN"/>
              </w:rPr>
              <w:t>8环保投资</w:t>
            </w:r>
          </w:p>
          <w:p w14:paraId="3F2479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color w:val="000000"/>
                <w:spacing w:val="0"/>
                <w:kern w:val="0"/>
                <w:sz w:val="24"/>
                <w:szCs w:val="24"/>
                <w:highlight w:val="none"/>
                <w:lang w:val="en-US" w:eastAsia="zh-CN"/>
              </w:rPr>
            </w:pPr>
            <w:r>
              <w:rPr>
                <w:rFonts w:hint="eastAsia" w:ascii="Times New Roman" w:hAnsi="Times New Roman" w:eastAsia="宋体" w:cs="Times New Roman"/>
                <w:bCs/>
                <w:color w:val="000000"/>
                <w:spacing w:val="0"/>
                <w:kern w:val="0"/>
                <w:sz w:val="24"/>
                <w:szCs w:val="24"/>
                <w:highlight w:val="none"/>
                <w:lang w:val="en-US" w:eastAsia="zh-CN"/>
              </w:rPr>
              <w:t>本项目总投资3000万元，其中环保投资为13万元，占总投资的0.43%。环保投资一览表见表4-12。</w:t>
            </w:r>
          </w:p>
          <w:p w14:paraId="1997FF77">
            <w:pPr>
              <w:widowControl w:val="0"/>
              <w:adjustRightInd w:val="0"/>
              <w:snapToGrid w:val="0"/>
              <w:spacing w:line="240" w:lineRule="auto"/>
              <w:ind w:firstLine="422" w:firstLineChars="200"/>
              <w:jc w:val="both"/>
              <w:outlineLvl w:val="3"/>
              <w:rPr>
                <w:rFonts w:hint="eastAsia" w:ascii="Times New Roman" w:hAnsi="Times New Roman" w:eastAsia="宋体" w:cs="Times New Roman"/>
                <w:b/>
                <w:bCs/>
                <w:color w:val="000000"/>
                <w:spacing w:val="0"/>
                <w:kern w:val="0"/>
                <w:sz w:val="21"/>
                <w:szCs w:val="21"/>
                <w:lang w:val="en-US" w:eastAsia="zh-CN" w:bidi="ar-SA"/>
              </w:rPr>
            </w:pPr>
            <w:r>
              <w:rPr>
                <w:rFonts w:hint="eastAsia" w:ascii="Times New Roman" w:hAnsi="Times New Roman" w:eastAsia="宋体" w:cs="Times New Roman"/>
                <w:b/>
                <w:bCs/>
                <w:color w:val="000000"/>
                <w:spacing w:val="0"/>
                <w:kern w:val="0"/>
                <w:sz w:val="21"/>
                <w:szCs w:val="21"/>
                <w:lang w:val="en-US" w:eastAsia="zh-CN" w:bidi="ar-SA"/>
              </w:rPr>
              <w:t>表4-12                      环保投资一览表             单位：万元</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509"/>
              <w:gridCol w:w="4641"/>
              <w:gridCol w:w="611"/>
            </w:tblGrid>
            <w:tr w14:paraId="235883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86" w:type="pct"/>
                  <w:gridSpan w:val="2"/>
                  <w:tcBorders>
                    <w:tl2br w:val="nil"/>
                    <w:tr2bl w:val="nil"/>
                  </w:tcBorders>
                  <w:noWrap w:val="0"/>
                  <w:vAlign w:val="center"/>
                </w:tcPr>
                <w:p w14:paraId="4DBDAF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项目</w:t>
                  </w:r>
                </w:p>
              </w:tc>
              <w:tc>
                <w:tcPr>
                  <w:tcW w:w="2751" w:type="pct"/>
                  <w:tcBorders>
                    <w:tl2br w:val="nil"/>
                    <w:tr2bl w:val="nil"/>
                  </w:tcBorders>
                  <w:noWrap w:val="0"/>
                  <w:vAlign w:val="center"/>
                </w:tcPr>
                <w:p w14:paraId="0340D3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内容</w:t>
                  </w:r>
                </w:p>
              </w:tc>
              <w:tc>
                <w:tcPr>
                  <w:tcW w:w="362" w:type="pct"/>
                  <w:tcBorders>
                    <w:tl2br w:val="nil"/>
                    <w:tr2bl w:val="nil"/>
                  </w:tcBorders>
                  <w:noWrap w:val="0"/>
                  <w:vAlign w:val="center"/>
                </w:tcPr>
                <w:p w14:paraId="206C1E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投资</w:t>
                  </w:r>
                </w:p>
              </w:tc>
            </w:tr>
            <w:tr w14:paraId="4E4787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8" w:type="pct"/>
                  <w:vMerge w:val="restart"/>
                  <w:tcBorders>
                    <w:tl2br w:val="nil"/>
                    <w:tr2bl w:val="nil"/>
                  </w:tcBorders>
                  <w:noWrap w:val="0"/>
                  <w:vAlign w:val="center"/>
                </w:tcPr>
                <w:p w14:paraId="34EC19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施工期</w:t>
                  </w:r>
                </w:p>
              </w:tc>
              <w:tc>
                <w:tcPr>
                  <w:tcW w:w="1487" w:type="pct"/>
                  <w:tcBorders>
                    <w:tl2br w:val="nil"/>
                    <w:tr2bl w:val="nil"/>
                  </w:tcBorders>
                  <w:noWrap w:val="0"/>
                  <w:vAlign w:val="center"/>
                </w:tcPr>
                <w:p w14:paraId="68B9A0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废气治理</w:t>
                  </w:r>
                </w:p>
              </w:tc>
              <w:tc>
                <w:tcPr>
                  <w:tcW w:w="2751" w:type="pct"/>
                  <w:tcBorders>
                    <w:tl2br w:val="nil"/>
                    <w:tr2bl w:val="nil"/>
                  </w:tcBorders>
                  <w:noWrap w:val="0"/>
                  <w:vAlign w:val="center"/>
                </w:tcPr>
                <w:p w14:paraId="03C789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围挡、洒水</w:t>
                  </w:r>
                </w:p>
              </w:tc>
              <w:tc>
                <w:tcPr>
                  <w:tcW w:w="362" w:type="pct"/>
                  <w:tcBorders>
                    <w:tl2br w:val="nil"/>
                    <w:tr2bl w:val="nil"/>
                  </w:tcBorders>
                  <w:noWrap w:val="0"/>
                  <w:vAlign w:val="center"/>
                </w:tcPr>
                <w:p w14:paraId="1D4BC2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1</w:t>
                  </w:r>
                </w:p>
              </w:tc>
            </w:tr>
            <w:tr w14:paraId="73CC01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8" w:type="pct"/>
                  <w:vMerge w:val="continue"/>
                  <w:tcBorders>
                    <w:tl2br w:val="nil"/>
                    <w:tr2bl w:val="nil"/>
                  </w:tcBorders>
                  <w:noWrap w:val="0"/>
                  <w:vAlign w:val="center"/>
                </w:tcPr>
                <w:p w14:paraId="2437E1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p>
              </w:tc>
              <w:tc>
                <w:tcPr>
                  <w:tcW w:w="1487" w:type="pct"/>
                  <w:tcBorders>
                    <w:tl2br w:val="nil"/>
                    <w:tr2bl w:val="nil"/>
                  </w:tcBorders>
                  <w:noWrap w:val="0"/>
                  <w:vAlign w:val="center"/>
                </w:tcPr>
                <w:p w14:paraId="61F5FF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废水治理</w:t>
                  </w:r>
                </w:p>
              </w:tc>
              <w:tc>
                <w:tcPr>
                  <w:tcW w:w="2751" w:type="pct"/>
                  <w:tcBorders>
                    <w:tl2br w:val="nil"/>
                    <w:tr2bl w:val="nil"/>
                  </w:tcBorders>
                  <w:noWrap w:val="0"/>
                  <w:vAlign w:val="center"/>
                </w:tcPr>
                <w:p w14:paraId="0F3C6C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沉淀池、环保水冲厕</w:t>
                  </w:r>
                </w:p>
              </w:tc>
              <w:tc>
                <w:tcPr>
                  <w:tcW w:w="362" w:type="pct"/>
                  <w:tcBorders>
                    <w:tl2br w:val="nil"/>
                    <w:tr2bl w:val="nil"/>
                  </w:tcBorders>
                  <w:noWrap w:val="0"/>
                  <w:vAlign w:val="center"/>
                </w:tcPr>
                <w:p w14:paraId="5F7AA5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1</w:t>
                  </w:r>
                </w:p>
              </w:tc>
            </w:tr>
            <w:tr w14:paraId="5CE2F0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8" w:type="pct"/>
                  <w:vMerge w:val="continue"/>
                  <w:tcBorders>
                    <w:tl2br w:val="nil"/>
                    <w:tr2bl w:val="nil"/>
                  </w:tcBorders>
                  <w:noWrap w:val="0"/>
                  <w:vAlign w:val="center"/>
                </w:tcPr>
                <w:p w14:paraId="57B5D8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p>
              </w:tc>
              <w:tc>
                <w:tcPr>
                  <w:tcW w:w="1487" w:type="pct"/>
                  <w:tcBorders>
                    <w:tl2br w:val="nil"/>
                    <w:tr2bl w:val="nil"/>
                  </w:tcBorders>
                  <w:noWrap w:val="0"/>
                  <w:vAlign w:val="center"/>
                </w:tcPr>
                <w:p w14:paraId="6F6370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固废治理</w:t>
                  </w:r>
                </w:p>
              </w:tc>
              <w:tc>
                <w:tcPr>
                  <w:tcW w:w="2751" w:type="pct"/>
                  <w:tcBorders>
                    <w:tl2br w:val="nil"/>
                    <w:tr2bl w:val="nil"/>
                  </w:tcBorders>
                  <w:noWrap w:val="0"/>
                  <w:vAlign w:val="center"/>
                </w:tcPr>
                <w:p w14:paraId="10777C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建筑垃圾清运</w:t>
                  </w:r>
                </w:p>
              </w:tc>
              <w:tc>
                <w:tcPr>
                  <w:tcW w:w="362" w:type="pct"/>
                  <w:tcBorders>
                    <w:tl2br w:val="nil"/>
                    <w:tr2bl w:val="nil"/>
                  </w:tcBorders>
                  <w:noWrap w:val="0"/>
                  <w:vAlign w:val="center"/>
                </w:tcPr>
                <w:p w14:paraId="4E4482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1</w:t>
                  </w:r>
                </w:p>
              </w:tc>
            </w:tr>
            <w:tr w14:paraId="277A07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8" w:type="pct"/>
                  <w:vMerge w:val="restart"/>
                  <w:tcBorders>
                    <w:tl2br w:val="nil"/>
                    <w:tr2bl w:val="nil"/>
                  </w:tcBorders>
                  <w:noWrap w:val="0"/>
                  <w:vAlign w:val="center"/>
                </w:tcPr>
                <w:p w14:paraId="5704E7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运营期</w:t>
                  </w:r>
                </w:p>
              </w:tc>
              <w:tc>
                <w:tcPr>
                  <w:tcW w:w="1487" w:type="pct"/>
                  <w:tcBorders>
                    <w:tl2br w:val="nil"/>
                    <w:tr2bl w:val="nil"/>
                  </w:tcBorders>
                  <w:noWrap w:val="0"/>
                  <w:vAlign w:val="center"/>
                </w:tcPr>
                <w:p w14:paraId="05D6EA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废气处理</w:t>
                  </w:r>
                </w:p>
              </w:tc>
              <w:tc>
                <w:tcPr>
                  <w:tcW w:w="2751" w:type="pct"/>
                  <w:tcBorders>
                    <w:tl2br w:val="nil"/>
                    <w:tr2bl w:val="nil"/>
                  </w:tcBorders>
                  <w:noWrap w:val="0"/>
                  <w:vAlign w:val="center"/>
                </w:tcPr>
                <w:p w14:paraId="4FAF0E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布袋除尘器+15m排气筒（</w:t>
                  </w:r>
                  <w:r>
                    <w:rPr>
                      <w:rFonts w:hint="eastAsia" w:cs="Times New Roman"/>
                      <w:bCs/>
                      <w:color w:val="000000"/>
                      <w:spacing w:val="0"/>
                      <w:kern w:val="0"/>
                      <w:sz w:val="21"/>
                      <w:szCs w:val="18"/>
                      <w:lang w:val="en-US" w:eastAsia="zh-CN"/>
                    </w:rPr>
                    <w:t>4</w:t>
                  </w:r>
                  <w:r>
                    <w:rPr>
                      <w:rFonts w:hint="eastAsia" w:ascii="Times New Roman" w:hAnsi="Times New Roman" w:eastAsia="宋体" w:cs="Times New Roman"/>
                      <w:bCs/>
                      <w:color w:val="000000"/>
                      <w:spacing w:val="0"/>
                      <w:kern w:val="0"/>
                      <w:sz w:val="21"/>
                      <w:szCs w:val="18"/>
                      <w:lang w:val="en-US" w:eastAsia="zh-CN"/>
                    </w:rPr>
                    <w:t>套）</w:t>
                  </w:r>
                </w:p>
              </w:tc>
              <w:tc>
                <w:tcPr>
                  <w:tcW w:w="362" w:type="pct"/>
                  <w:tcBorders>
                    <w:tl2br w:val="nil"/>
                    <w:tr2bl w:val="nil"/>
                  </w:tcBorders>
                  <w:noWrap w:val="0"/>
                  <w:vAlign w:val="center"/>
                </w:tcPr>
                <w:p w14:paraId="5B3DF3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6</w:t>
                  </w:r>
                </w:p>
              </w:tc>
            </w:tr>
            <w:tr w14:paraId="5BD922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8" w:type="pct"/>
                  <w:vMerge w:val="continue"/>
                  <w:tcBorders>
                    <w:tl2br w:val="nil"/>
                    <w:tr2bl w:val="nil"/>
                  </w:tcBorders>
                  <w:noWrap w:val="0"/>
                  <w:vAlign w:val="center"/>
                </w:tcPr>
                <w:p w14:paraId="277D5F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p>
              </w:tc>
              <w:tc>
                <w:tcPr>
                  <w:tcW w:w="1487" w:type="pct"/>
                  <w:tcBorders>
                    <w:tl2br w:val="nil"/>
                    <w:tr2bl w:val="nil"/>
                  </w:tcBorders>
                  <w:noWrap w:val="0"/>
                  <w:vAlign w:val="center"/>
                </w:tcPr>
                <w:p w14:paraId="008DF8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噪声治理</w:t>
                  </w:r>
                </w:p>
              </w:tc>
              <w:tc>
                <w:tcPr>
                  <w:tcW w:w="2751" w:type="pct"/>
                  <w:tcBorders>
                    <w:tl2br w:val="nil"/>
                    <w:tr2bl w:val="nil"/>
                  </w:tcBorders>
                  <w:noWrap w:val="0"/>
                  <w:vAlign w:val="center"/>
                </w:tcPr>
                <w:p w14:paraId="45CD73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选用低噪声设备，对设备进行基础减震、隔声等措施</w:t>
                  </w:r>
                </w:p>
              </w:tc>
              <w:tc>
                <w:tcPr>
                  <w:tcW w:w="362" w:type="pct"/>
                  <w:tcBorders>
                    <w:tl2br w:val="nil"/>
                    <w:tr2bl w:val="nil"/>
                  </w:tcBorders>
                  <w:noWrap w:val="0"/>
                  <w:vAlign w:val="center"/>
                </w:tcPr>
                <w:p w14:paraId="33EC7C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1</w:t>
                  </w:r>
                </w:p>
              </w:tc>
            </w:tr>
            <w:tr w14:paraId="290DEF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8" w:type="pct"/>
                  <w:vMerge w:val="continue"/>
                  <w:tcBorders>
                    <w:tl2br w:val="nil"/>
                    <w:tr2bl w:val="nil"/>
                  </w:tcBorders>
                  <w:noWrap w:val="0"/>
                  <w:vAlign w:val="center"/>
                </w:tcPr>
                <w:p w14:paraId="243176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p>
              </w:tc>
              <w:tc>
                <w:tcPr>
                  <w:tcW w:w="1487" w:type="pct"/>
                  <w:tcBorders>
                    <w:tl2br w:val="nil"/>
                    <w:tr2bl w:val="nil"/>
                  </w:tcBorders>
                  <w:noWrap w:val="0"/>
                  <w:vAlign w:val="center"/>
                </w:tcPr>
                <w:p w14:paraId="014840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固废治理</w:t>
                  </w:r>
                </w:p>
              </w:tc>
              <w:tc>
                <w:tcPr>
                  <w:tcW w:w="2751" w:type="pct"/>
                  <w:tcBorders>
                    <w:tl2br w:val="nil"/>
                    <w:tr2bl w:val="nil"/>
                  </w:tcBorders>
                  <w:noWrap w:val="0"/>
                  <w:vAlign w:val="center"/>
                </w:tcPr>
                <w:p w14:paraId="13A96A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收集至一般固废暂存间定期交由一般固废处置单位进行处置</w:t>
                  </w:r>
                </w:p>
                <w:p w14:paraId="6AD3BF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危险废物收集至危险废物贮存库内，定期交由有资质单位进行清运处置</w:t>
                  </w:r>
                </w:p>
              </w:tc>
              <w:tc>
                <w:tcPr>
                  <w:tcW w:w="362" w:type="pct"/>
                  <w:tcBorders>
                    <w:tl2br w:val="nil"/>
                    <w:tr2bl w:val="nil"/>
                  </w:tcBorders>
                  <w:noWrap w:val="0"/>
                  <w:vAlign w:val="center"/>
                </w:tcPr>
                <w:p w14:paraId="7C7C94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3</w:t>
                  </w:r>
                </w:p>
              </w:tc>
            </w:tr>
            <w:tr w14:paraId="14DB34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37" w:type="pct"/>
                  <w:gridSpan w:val="3"/>
                  <w:tcBorders>
                    <w:tl2br w:val="nil"/>
                    <w:tr2bl w:val="nil"/>
                  </w:tcBorders>
                  <w:noWrap w:val="0"/>
                  <w:vAlign w:val="center"/>
                </w:tcPr>
                <w:p w14:paraId="0AAA2C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合计</w:t>
                  </w:r>
                </w:p>
              </w:tc>
              <w:tc>
                <w:tcPr>
                  <w:tcW w:w="362" w:type="pct"/>
                  <w:tcBorders>
                    <w:tl2br w:val="nil"/>
                    <w:tr2bl w:val="nil"/>
                  </w:tcBorders>
                  <w:noWrap w:val="0"/>
                  <w:vAlign w:val="center"/>
                </w:tcPr>
                <w:p w14:paraId="137E0A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13</w:t>
                  </w:r>
                </w:p>
              </w:tc>
            </w:tr>
          </w:tbl>
          <w:p w14:paraId="6E91DA25">
            <w:pPr>
              <w:widowControl w:val="0"/>
              <w:adjustRightInd w:val="0"/>
              <w:snapToGrid w:val="0"/>
              <w:spacing w:line="240" w:lineRule="auto"/>
              <w:ind w:firstLine="422" w:firstLineChars="200"/>
              <w:jc w:val="both"/>
              <w:outlineLvl w:val="3"/>
              <w:rPr>
                <w:rFonts w:hint="eastAsia" w:ascii="Times New Roman" w:hAnsi="Times New Roman" w:eastAsia="宋体" w:cs="Times New Roman"/>
                <w:b/>
                <w:bCs/>
                <w:color w:val="000000"/>
                <w:spacing w:val="0"/>
                <w:kern w:val="0"/>
                <w:sz w:val="21"/>
                <w:szCs w:val="21"/>
                <w:lang w:val="en-US" w:eastAsia="zh-CN" w:bidi="ar-SA"/>
              </w:rPr>
            </w:pPr>
          </w:p>
          <w:p w14:paraId="3C376AFE">
            <w:pPr>
              <w:widowControl w:val="0"/>
              <w:adjustRightInd w:val="0"/>
              <w:snapToGrid w:val="0"/>
              <w:spacing w:line="240" w:lineRule="auto"/>
              <w:ind w:firstLine="422" w:firstLineChars="200"/>
              <w:jc w:val="both"/>
              <w:outlineLvl w:val="3"/>
              <w:rPr>
                <w:rFonts w:hint="eastAsia" w:ascii="Times New Roman" w:hAnsi="Times New Roman" w:eastAsia="宋体" w:cs="Times New Roman"/>
                <w:b/>
                <w:bCs/>
                <w:color w:val="000000"/>
                <w:spacing w:val="0"/>
                <w:kern w:val="0"/>
                <w:sz w:val="21"/>
                <w:szCs w:val="21"/>
                <w:lang w:val="en-US" w:eastAsia="zh-CN" w:bidi="ar-SA"/>
              </w:rPr>
            </w:pPr>
          </w:p>
          <w:p w14:paraId="393ACE22">
            <w:pPr>
              <w:widowControl w:val="0"/>
              <w:adjustRightInd w:val="0"/>
              <w:snapToGrid w:val="0"/>
              <w:spacing w:line="240" w:lineRule="auto"/>
              <w:ind w:firstLine="422" w:firstLineChars="200"/>
              <w:jc w:val="both"/>
              <w:outlineLvl w:val="3"/>
              <w:rPr>
                <w:rFonts w:hint="eastAsia" w:ascii="Times New Roman" w:hAnsi="Times New Roman" w:eastAsia="宋体" w:cs="Times New Roman"/>
                <w:b/>
                <w:bCs/>
                <w:color w:val="000000"/>
                <w:spacing w:val="0"/>
                <w:kern w:val="0"/>
                <w:sz w:val="21"/>
                <w:szCs w:val="21"/>
                <w:lang w:val="en-US" w:eastAsia="zh-CN" w:bidi="ar-SA"/>
              </w:rPr>
            </w:pPr>
          </w:p>
          <w:p w14:paraId="25C9653A">
            <w:pPr>
              <w:rPr>
                <w:rFonts w:hint="eastAsia"/>
                <w:vertAlign w:val="baseline"/>
              </w:rPr>
            </w:pPr>
          </w:p>
        </w:tc>
      </w:tr>
    </w:tbl>
    <w:p w14:paraId="745789FB">
      <w:pPr>
        <w:rPr>
          <w:rFonts w:hint="eastAsia"/>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153E6479">
      <w:pPr>
        <w:pStyle w:val="19"/>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20" w:name="_Hlk54167917"/>
      <w:r>
        <w:rPr>
          <w:rFonts w:hint="eastAsia" w:ascii="黑体" w:hAnsi="黑体" w:eastAsia="黑体"/>
          <w:snapToGrid w:val="0"/>
          <w:sz w:val="30"/>
          <w:szCs w:val="30"/>
        </w:rPr>
        <w:t>环境保护措施监督检查清单</w:t>
      </w:r>
      <w:bookmarkEnd w:id="20"/>
    </w:p>
    <w:tbl>
      <w:tblPr>
        <w:tblStyle w:val="23"/>
        <w:tblpPr w:leftFromText="181" w:rightFromText="181" w:vertAnchor="text" w:horzAnchor="page" w:tblpX="1651"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521"/>
        <w:gridCol w:w="1181"/>
        <w:gridCol w:w="886"/>
        <w:gridCol w:w="3033"/>
        <w:gridCol w:w="2179"/>
      </w:tblGrid>
      <w:tr w14:paraId="3D361D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1" w:type="dxa"/>
            <w:tcBorders>
              <w:tl2br w:val="nil"/>
              <w:tr2bl w:val="nil"/>
            </w:tcBorders>
            <w:noWrap w:val="0"/>
            <w:vAlign w:val="top"/>
          </w:tcPr>
          <w:p w14:paraId="48DEED67">
            <w:pPr>
              <w:adjustRightInd w:val="0"/>
              <w:snapToGrid w:val="0"/>
              <w:ind w:firstLine="84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内容</w:t>
            </w:r>
          </w:p>
          <w:p w14:paraId="36AC753B">
            <w:pPr>
              <w:adjustRightInd w:val="0"/>
              <w:snapToGrid w:val="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要素</w:t>
            </w:r>
          </w:p>
        </w:tc>
        <w:tc>
          <w:tcPr>
            <w:tcW w:w="1181" w:type="dxa"/>
            <w:tcBorders>
              <w:tl2br w:val="nil"/>
              <w:tr2bl w:val="nil"/>
            </w:tcBorders>
            <w:noWrap w:val="0"/>
            <w:vAlign w:val="center"/>
          </w:tcPr>
          <w:p w14:paraId="13B17E34">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排放口</w:t>
            </w:r>
            <w:r>
              <w:rPr>
                <w:rFonts w:hint="eastAsia"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编号、名称</w:t>
            </w:r>
            <w:r>
              <w:rPr>
                <w:rFonts w:hint="eastAsia"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/污染源</w:t>
            </w:r>
          </w:p>
        </w:tc>
        <w:tc>
          <w:tcPr>
            <w:tcW w:w="886" w:type="dxa"/>
            <w:tcBorders>
              <w:tl2br w:val="nil"/>
              <w:tr2bl w:val="nil"/>
            </w:tcBorders>
            <w:noWrap w:val="0"/>
            <w:vAlign w:val="center"/>
          </w:tcPr>
          <w:p w14:paraId="49BD683B">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污染物项目</w:t>
            </w:r>
          </w:p>
        </w:tc>
        <w:tc>
          <w:tcPr>
            <w:tcW w:w="3033" w:type="dxa"/>
            <w:tcBorders>
              <w:tl2br w:val="nil"/>
              <w:tr2bl w:val="nil"/>
            </w:tcBorders>
            <w:noWrap w:val="0"/>
            <w:vAlign w:val="center"/>
          </w:tcPr>
          <w:p w14:paraId="12AFB45E">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环境保护措施</w:t>
            </w:r>
          </w:p>
        </w:tc>
        <w:tc>
          <w:tcPr>
            <w:tcW w:w="2179" w:type="dxa"/>
            <w:tcBorders>
              <w:tl2br w:val="nil"/>
              <w:tr2bl w:val="nil"/>
            </w:tcBorders>
            <w:noWrap w:val="0"/>
            <w:vAlign w:val="center"/>
          </w:tcPr>
          <w:p w14:paraId="16464D98">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执行标准</w:t>
            </w:r>
          </w:p>
        </w:tc>
      </w:tr>
      <w:tr w14:paraId="4C4812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1" w:type="dxa"/>
            <w:vMerge w:val="restart"/>
            <w:tcBorders>
              <w:tl2br w:val="nil"/>
              <w:tr2bl w:val="nil"/>
            </w:tcBorders>
            <w:noWrap w:val="0"/>
            <w:vAlign w:val="center"/>
          </w:tcPr>
          <w:p w14:paraId="68F62D6E">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大气环境</w:t>
            </w:r>
          </w:p>
        </w:tc>
        <w:tc>
          <w:tcPr>
            <w:tcW w:w="1181" w:type="dxa"/>
            <w:tcBorders>
              <w:tl2br w:val="nil"/>
              <w:tr2bl w:val="nil"/>
            </w:tcBorders>
            <w:noWrap w:val="0"/>
            <w:vAlign w:val="center"/>
          </w:tcPr>
          <w:p w14:paraId="34E983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鄂式破碎机废气排放口</w:t>
            </w:r>
            <w:r>
              <w:rPr>
                <w:rFonts w:hint="default" w:ascii="Times New Roman" w:hAnsi="Times New Roman" w:eastAsia="宋体" w:cs="Times New Roman"/>
                <w:b w:val="0"/>
                <w:bCs w:val="0"/>
                <w:color w:val="auto"/>
                <w:kern w:val="2"/>
                <w:sz w:val="21"/>
                <w:szCs w:val="21"/>
                <w:lang w:val="en-US" w:eastAsia="zh-CN" w:bidi="ar-SA"/>
              </w:rPr>
              <w:t>DA</w:t>
            </w:r>
            <w:r>
              <w:rPr>
                <w:rFonts w:hint="eastAsia" w:ascii="Times New Roman" w:hAnsi="Times New Roman" w:eastAsia="宋体" w:cs="Times New Roman"/>
                <w:b w:val="0"/>
                <w:bCs w:val="0"/>
                <w:color w:val="auto"/>
                <w:kern w:val="2"/>
                <w:sz w:val="21"/>
                <w:szCs w:val="21"/>
                <w:lang w:val="en-US" w:eastAsia="zh-CN" w:bidi="ar-SA"/>
              </w:rPr>
              <w:t>001</w:t>
            </w:r>
          </w:p>
        </w:tc>
        <w:tc>
          <w:tcPr>
            <w:tcW w:w="886" w:type="dxa"/>
            <w:tcBorders>
              <w:tl2br w:val="nil"/>
              <w:tr2bl w:val="nil"/>
            </w:tcBorders>
            <w:noWrap w:val="0"/>
            <w:vAlign w:val="center"/>
          </w:tcPr>
          <w:p w14:paraId="2EC04A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颗粒物</w:t>
            </w:r>
          </w:p>
        </w:tc>
        <w:tc>
          <w:tcPr>
            <w:tcW w:w="3033" w:type="dxa"/>
            <w:tcBorders>
              <w:tl2br w:val="nil"/>
              <w:tr2bl w:val="nil"/>
            </w:tcBorders>
            <w:noWrap w:val="0"/>
            <w:vAlign w:val="center"/>
          </w:tcPr>
          <w:p w14:paraId="42CB30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sz w:val="21"/>
                <w:szCs w:val="21"/>
                <w:lang w:val="en-US" w:eastAsia="zh-CN"/>
              </w:rPr>
              <w:t>布袋除尘器</w:t>
            </w:r>
            <w:r>
              <w:rPr>
                <w:rFonts w:hint="eastAsia" w:ascii="Times New Roman" w:hAnsi="Times New Roman" w:eastAsia="宋体" w:cs="Times New Roman"/>
                <w:sz w:val="21"/>
                <w:szCs w:val="21"/>
                <w:lang w:val="en-US" w:eastAsia="zh-CN"/>
              </w:rPr>
              <w:t>+15m排气筒</w:t>
            </w:r>
          </w:p>
        </w:tc>
        <w:tc>
          <w:tcPr>
            <w:tcW w:w="2179" w:type="dxa"/>
            <w:vMerge w:val="restart"/>
            <w:tcBorders>
              <w:tl2br w:val="nil"/>
              <w:tr2bl w:val="nil"/>
            </w:tcBorders>
            <w:noWrap w:val="0"/>
            <w:vAlign w:val="center"/>
          </w:tcPr>
          <w:p w14:paraId="7FEFD30B">
            <w:pPr>
              <w:adjustRightInd w:val="0"/>
              <w:snapToGrid w:val="0"/>
              <w:jc w:val="center"/>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《石灰、电石工业大气污染物排放标准》（GB 41618-2022）</w:t>
            </w:r>
          </w:p>
        </w:tc>
      </w:tr>
      <w:tr w14:paraId="742833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1" w:type="dxa"/>
            <w:vMerge w:val="continue"/>
            <w:tcBorders>
              <w:tl2br w:val="nil"/>
              <w:tr2bl w:val="nil"/>
            </w:tcBorders>
            <w:noWrap w:val="0"/>
            <w:vAlign w:val="center"/>
          </w:tcPr>
          <w:p w14:paraId="5F2CCD07">
            <w:pPr>
              <w:adjustRightInd w:val="0"/>
              <w:snapToGrid w:val="0"/>
              <w:jc w:val="center"/>
              <w:rPr>
                <w:rFonts w:hint="default" w:ascii="Times New Roman" w:hAnsi="Times New Roman" w:eastAsia="宋体" w:cs="Times New Roman"/>
                <w:szCs w:val="21"/>
                <w:highlight w:val="none"/>
              </w:rPr>
            </w:pPr>
          </w:p>
        </w:tc>
        <w:tc>
          <w:tcPr>
            <w:tcW w:w="1181" w:type="dxa"/>
            <w:tcBorders>
              <w:tl2br w:val="nil"/>
              <w:tr2bl w:val="nil"/>
            </w:tcBorders>
            <w:noWrap w:val="0"/>
            <w:vAlign w:val="center"/>
          </w:tcPr>
          <w:p w14:paraId="5903CF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雷蒙磨废气排放口</w:t>
            </w:r>
            <w:r>
              <w:rPr>
                <w:rFonts w:hint="default" w:ascii="Times New Roman" w:hAnsi="Times New Roman" w:eastAsia="宋体" w:cs="Times New Roman"/>
                <w:b w:val="0"/>
                <w:bCs w:val="0"/>
                <w:color w:val="auto"/>
                <w:kern w:val="2"/>
                <w:sz w:val="21"/>
                <w:szCs w:val="21"/>
                <w:lang w:val="en-US" w:eastAsia="zh-CN" w:bidi="ar-SA"/>
              </w:rPr>
              <w:t>DA</w:t>
            </w:r>
            <w:r>
              <w:rPr>
                <w:rFonts w:hint="eastAsia" w:ascii="Times New Roman" w:hAnsi="Times New Roman" w:eastAsia="宋体" w:cs="Times New Roman"/>
                <w:b w:val="0"/>
                <w:bCs w:val="0"/>
                <w:color w:val="auto"/>
                <w:kern w:val="2"/>
                <w:sz w:val="21"/>
                <w:szCs w:val="21"/>
                <w:lang w:val="en-US" w:eastAsia="zh-CN" w:bidi="ar-SA"/>
              </w:rPr>
              <w:t>002</w:t>
            </w:r>
          </w:p>
        </w:tc>
        <w:tc>
          <w:tcPr>
            <w:tcW w:w="886" w:type="dxa"/>
            <w:tcBorders>
              <w:tl2br w:val="nil"/>
              <w:tr2bl w:val="nil"/>
            </w:tcBorders>
            <w:noWrap w:val="0"/>
            <w:vAlign w:val="center"/>
          </w:tcPr>
          <w:p w14:paraId="080549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颗粒物</w:t>
            </w:r>
          </w:p>
        </w:tc>
        <w:tc>
          <w:tcPr>
            <w:tcW w:w="3033" w:type="dxa"/>
            <w:tcBorders>
              <w:tl2br w:val="nil"/>
              <w:tr2bl w:val="nil"/>
            </w:tcBorders>
            <w:noWrap w:val="0"/>
            <w:vAlign w:val="center"/>
          </w:tcPr>
          <w:p w14:paraId="6F4DDB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布袋除尘器+15m排气筒</w:t>
            </w:r>
          </w:p>
        </w:tc>
        <w:tc>
          <w:tcPr>
            <w:tcW w:w="2179" w:type="dxa"/>
            <w:vMerge w:val="continue"/>
            <w:tcBorders>
              <w:tl2br w:val="nil"/>
              <w:tr2bl w:val="nil"/>
            </w:tcBorders>
            <w:noWrap w:val="0"/>
            <w:vAlign w:val="center"/>
          </w:tcPr>
          <w:p w14:paraId="16437563">
            <w:pPr>
              <w:adjustRightInd w:val="0"/>
              <w:snapToGrid w:val="0"/>
              <w:jc w:val="center"/>
              <w:rPr>
                <w:rFonts w:hint="default" w:ascii="Times New Roman" w:hAnsi="Times New Roman" w:eastAsia="宋体" w:cs="Times New Roman"/>
                <w:szCs w:val="21"/>
                <w:highlight w:val="none"/>
                <w:lang w:val="en-US" w:eastAsia="zh-CN"/>
              </w:rPr>
            </w:pPr>
          </w:p>
        </w:tc>
      </w:tr>
      <w:tr w14:paraId="087ACE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1" w:type="dxa"/>
            <w:vMerge w:val="continue"/>
            <w:tcBorders>
              <w:tl2br w:val="nil"/>
              <w:tr2bl w:val="nil"/>
            </w:tcBorders>
            <w:noWrap w:val="0"/>
            <w:vAlign w:val="center"/>
          </w:tcPr>
          <w:p w14:paraId="1F188189">
            <w:pPr>
              <w:adjustRightInd w:val="0"/>
              <w:snapToGrid w:val="0"/>
              <w:jc w:val="center"/>
              <w:rPr>
                <w:rFonts w:hint="default" w:ascii="Times New Roman" w:hAnsi="Times New Roman" w:eastAsia="宋体" w:cs="Times New Roman"/>
                <w:szCs w:val="21"/>
                <w:highlight w:val="none"/>
              </w:rPr>
            </w:pPr>
          </w:p>
        </w:tc>
        <w:tc>
          <w:tcPr>
            <w:tcW w:w="1181" w:type="dxa"/>
            <w:tcBorders>
              <w:tl2br w:val="nil"/>
              <w:tr2bl w:val="nil"/>
            </w:tcBorders>
            <w:noWrap w:val="0"/>
            <w:vAlign w:val="center"/>
          </w:tcPr>
          <w:p w14:paraId="68DC0D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Cs/>
                <w:spacing w:val="-10"/>
                <w:kern w:val="2"/>
                <w:sz w:val="21"/>
                <w:szCs w:val="21"/>
                <w:lang w:val="en-US" w:eastAsia="zh-CN" w:bidi="ar-SA"/>
              </w:rPr>
              <w:t>腻子粉生产废气排放口</w:t>
            </w:r>
            <w:r>
              <w:rPr>
                <w:rFonts w:hint="default" w:ascii="Times New Roman" w:hAnsi="Times New Roman" w:eastAsia="宋体" w:cs="Times New Roman"/>
                <w:b w:val="0"/>
                <w:bCs w:val="0"/>
                <w:color w:val="auto"/>
                <w:kern w:val="2"/>
                <w:sz w:val="21"/>
                <w:szCs w:val="21"/>
                <w:lang w:val="en-US" w:eastAsia="zh-CN" w:bidi="ar-SA"/>
              </w:rPr>
              <w:t>DA</w:t>
            </w:r>
            <w:r>
              <w:rPr>
                <w:rFonts w:hint="eastAsia" w:ascii="Times New Roman" w:hAnsi="Times New Roman" w:eastAsia="宋体" w:cs="Times New Roman"/>
                <w:b w:val="0"/>
                <w:bCs w:val="0"/>
                <w:color w:val="auto"/>
                <w:kern w:val="2"/>
                <w:sz w:val="21"/>
                <w:szCs w:val="21"/>
                <w:lang w:val="en-US" w:eastAsia="zh-CN" w:bidi="ar-SA"/>
              </w:rPr>
              <w:t>003</w:t>
            </w:r>
          </w:p>
        </w:tc>
        <w:tc>
          <w:tcPr>
            <w:tcW w:w="886" w:type="dxa"/>
            <w:tcBorders>
              <w:tl2br w:val="nil"/>
              <w:tr2bl w:val="nil"/>
            </w:tcBorders>
            <w:noWrap w:val="0"/>
            <w:vAlign w:val="center"/>
          </w:tcPr>
          <w:p w14:paraId="642AE6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3"/>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颗粒物</w:t>
            </w:r>
          </w:p>
        </w:tc>
        <w:tc>
          <w:tcPr>
            <w:tcW w:w="3033" w:type="dxa"/>
            <w:tcBorders>
              <w:tl2br w:val="nil"/>
              <w:tr2bl w:val="nil"/>
            </w:tcBorders>
            <w:noWrap w:val="0"/>
            <w:vAlign w:val="center"/>
          </w:tcPr>
          <w:p w14:paraId="014F0B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布袋除尘器+15m排气筒</w:t>
            </w:r>
          </w:p>
        </w:tc>
        <w:tc>
          <w:tcPr>
            <w:tcW w:w="2179" w:type="dxa"/>
            <w:vMerge w:val="continue"/>
            <w:tcBorders>
              <w:tl2br w:val="nil"/>
              <w:tr2bl w:val="nil"/>
            </w:tcBorders>
            <w:noWrap w:val="0"/>
            <w:vAlign w:val="center"/>
          </w:tcPr>
          <w:p w14:paraId="1B29CCC0">
            <w:pPr>
              <w:adjustRightInd w:val="0"/>
              <w:snapToGrid w:val="0"/>
              <w:jc w:val="center"/>
              <w:rPr>
                <w:rFonts w:hint="default" w:ascii="Times New Roman" w:hAnsi="Times New Roman" w:eastAsia="宋体" w:cs="Times New Roman"/>
                <w:szCs w:val="21"/>
                <w:highlight w:val="none"/>
                <w:lang w:val="en-US" w:eastAsia="zh-CN"/>
              </w:rPr>
            </w:pPr>
          </w:p>
        </w:tc>
      </w:tr>
      <w:tr w14:paraId="0490F8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1" w:type="dxa"/>
            <w:vMerge w:val="continue"/>
            <w:tcBorders>
              <w:tl2br w:val="nil"/>
              <w:tr2bl w:val="nil"/>
            </w:tcBorders>
            <w:noWrap w:val="0"/>
            <w:vAlign w:val="center"/>
          </w:tcPr>
          <w:p w14:paraId="2E12C071">
            <w:pPr>
              <w:adjustRightInd w:val="0"/>
              <w:snapToGrid w:val="0"/>
              <w:jc w:val="center"/>
              <w:rPr>
                <w:rFonts w:hint="default" w:ascii="Times New Roman" w:hAnsi="Times New Roman" w:eastAsia="宋体" w:cs="Times New Roman"/>
                <w:szCs w:val="21"/>
                <w:highlight w:val="none"/>
              </w:rPr>
            </w:pPr>
          </w:p>
        </w:tc>
        <w:tc>
          <w:tcPr>
            <w:tcW w:w="1181" w:type="dxa"/>
            <w:tcBorders>
              <w:tl2br w:val="nil"/>
              <w:tr2bl w:val="nil"/>
            </w:tcBorders>
            <w:noWrap w:val="0"/>
            <w:vAlign w:val="center"/>
          </w:tcPr>
          <w:p w14:paraId="0338CD85">
            <w:pPr>
              <w:adjustRightInd w:val="0"/>
              <w:snapToGrid w:val="0"/>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无组织</w:t>
            </w:r>
          </w:p>
        </w:tc>
        <w:tc>
          <w:tcPr>
            <w:tcW w:w="886" w:type="dxa"/>
            <w:tcBorders>
              <w:tl2br w:val="nil"/>
              <w:tr2bl w:val="nil"/>
            </w:tcBorders>
            <w:noWrap w:val="0"/>
            <w:vAlign w:val="center"/>
          </w:tcPr>
          <w:p w14:paraId="41034747">
            <w:pPr>
              <w:adjustRightInd w:val="0"/>
              <w:snapToGrid w:val="0"/>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颗粒物</w:t>
            </w:r>
          </w:p>
        </w:tc>
        <w:tc>
          <w:tcPr>
            <w:tcW w:w="3033" w:type="dxa"/>
            <w:tcBorders>
              <w:tl2br w:val="nil"/>
              <w:tr2bl w:val="nil"/>
            </w:tcBorders>
            <w:noWrap w:val="0"/>
            <w:vAlign w:val="center"/>
          </w:tcPr>
          <w:p w14:paraId="01A0DA2B">
            <w:pPr>
              <w:adjustRightInd w:val="0"/>
              <w:snapToGrid w:val="0"/>
              <w:jc w:val="both"/>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封闭厂房、半封闭堆场，堆场使用防尘网苫盖</w:t>
            </w:r>
          </w:p>
        </w:tc>
        <w:tc>
          <w:tcPr>
            <w:tcW w:w="2179" w:type="dxa"/>
            <w:tcBorders>
              <w:tl2br w:val="nil"/>
              <w:tr2bl w:val="nil"/>
            </w:tcBorders>
            <w:noWrap w:val="0"/>
            <w:vAlign w:val="center"/>
          </w:tcPr>
          <w:p w14:paraId="07B45177">
            <w:pPr>
              <w:adjustRightInd w:val="0"/>
              <w:snapToGrid w:val="0"/>
              <w:jc w:val="center"/>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《石灰、电石工业大气污染物排放标准》（GB 41618-2022）</w:t>
            </w:r>
          </w:p>
        </w:tc>
      </w:tr>
      <w:tr w14:paraId="383F28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1" w:type="dxa"/>
            <w:tcBorders>
              <w:tl2br w:val="nil"/>
              <w:tr2bl w:val="nil"/>
            </w:tcBorders>
            <w:noWrap w:val="0"/>
            <w:vAlign w:val="center"/>
          </w:tcPr>
          <w:p w14:paraId="5F512AD4">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水环境</w:t>
            </w:r>
          </w:p>
        </w:tc>
        <w:tc>
          <w:tcPr>
            <w:tcW w:w="1181" w:type="dxa"/>
            <w:tcBorders>
              <w:tl2br w:val="nil"/>
              <w:tr2bl w:val="nil"/>
            </w:tcBorders>
            <w:noWrap w:val="0"/>
            <w:vAlign w:val="center"/>
          </w:tcPr>
          <w:p w14:paraId="19E4E448">
            <w:pPr>
              <w:adjustRightInd w:val="0"/>
              <w:snapToGrid w:val="0"/>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DW001</w:t>
            </w:r>
          </w:p>
        </w:tc>
        <w:tc>
          <w:tcPr>
            <w:tcW w:w="886" w:type="dxa"/>
            <w:tcBorders>
              <w:tl2br w:val="nil"/>
              <w:tr2bl w:val="nil"/>
            </w:tcBorders>
            <w:noWrap w:val="0"/>
            <w:vAlign w:val="center"/>
          </w:tcPr>
          <w:p w14:paraId="58AD37C9">
            <w:pPr>
              <w:adjustRightInd w:val="0"/>
              <w:snapToGrid w:val="0"/>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COD、SS、氨氮、总磷、总氮</w:t>
            </w:r>
          </w:p>
        </w:tc>
        <w:tc>
          <w:tcPr>
            <w:tcW w:w="3033" w:type="dxa"/>
            <w:tcBorders>
              <w:tl2br w:val="nil"/>
              <w:tr2bl w:val="nil"/>
            </w:tcBorders>
            <w:noWrap w:val="0"/>
            <w:vAlign w:val="center"/>
          </w:tcPr>
          <w:p w14:paraId="76B23E1B">
            <w:pPr>
              <w:adjustRightInd w:val="0"/>
              <w:snapToGrid w:val="0"/>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color w:val="000000"/>
                <w:kern w:val="0"/>
                <w:sz w:val="21"/>
                <w:szCs w:val="21"/>
                <w:highlight w:val="none"/>
                <w:lang w:val="en-US" w:eastAsia="zh-CN"/>
              </w:rPr>
              <w:t>生活污水进入园区下水管网，最终进入和静县污水处理厂</w:t>
            </w:r>
          </w:p>
        </w:tc>
        <w:tc>
          <w:tcPr>
            <w:tcW w:w="2179" w:type="dxa"/>
            <w:tcBorders>
              <w:tl2br w:val="nil"/>
              <w:tr2bl w:val="nil"/>
            </w:tcBorders>
            <w:noWrap w:val="0"/>
            <w:vAlign w:val="center"/>
          </w:tcPr>
          <w:p w14:paraId="4B5E158D">
            <w:pPr>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bCs/>
                <w:szCs w:val="21"/>
                <w:lang w:val="en-US" w:eastAsia="zh-CN"/>
              </w:rPr>
              <w:t>《污水综合排放标准》（GB8978-1996）三级标准</w:t>
            </w:r>
          </w:p>
        </w:tc>
      </w:tr>
      <w:tr w14:paraId="52B17E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1" w:type="dxa"/>
            <w:tcBorders>
              <w:tl2br w:val="nil"/>
              <w:tr2bl w:val="nil"/>
            </w:tcBorders>
            <w:noWrap w:val="0"/>
            <w:vAlign w:val="center"/>
          </w:tcPr>
          <w:p w14:paraId="15CB7E0E">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声环境</w:t>
            </w:r>
          </w:p>
        </w:tc>
        <w:tc>
          <w:tcPr>
            <w:tcW w:w="1181" w:type="dxa"/>
            <w:tcBorders>
              <w:tl2br w:val="nil"/>
              <w:tr2bl w:val="nil"/>
            </w:tcBorders>
            <w:noWrap w:val="0"/>
            <w:vAlign w:val="center"/>
          </w:tcPr>
          <w:p w14:paraId="664D665D">
            <w:pPr>
              <w:adjustRightInd w:val="0"/>
              <w:snapToGrid w:val="0"/>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生产设备</w:t>
            </w:r>
          </w:p>
        </w:tc>
        <w:tc>
          <w:tcPr>
            <w:tcW w:w="886" w:type="dxa"/>
            <w:tcBorders>
              <w:tl2br w:val="nil"/>
              <w:tr2bl w:val="nil"/>
            </w:tcBorders>
            <w:noWrap w:val="0"/>
            <w:vAlign w:val="center"/>
          </w:tcPr>
          <w:p w14:paraId="6188567F">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等效连续A声级</w:t>
            </w:r>
          </w:p>
        </w:tc>
        <w:tc>
          <w:tcPr>
            <w:tcW w:w="3033" w:type="dxa"/>
            <w:tcBorders>
              <w:tl2br w:val="nil"/>
              <w:tr2bl w:val="nil"/>
            </w:tcBorders>
            <w:noWrap w:val="0"/>
            <w:vAlign w:val="center"/>
          </w:tcPr>
          <w:p w14:paraId="1767DAD4">
            <w:pPr>
              <w:adjustRightInd w:val="0"/>
              <w:snapToGrid w:val="0"/>
              <w:jc w:val="center"/>
              <w:rPr>
                <w:rFonts w:hint="default" w:ascii="Times New Roman" w:hAnsi="Times New Roman" w:eastAsia="宋体" w:cs="Times New Roman"/>
                <w:szCs w:val="21"/>
                <w:highlight w:val="none"/>
                <w:lang w:eastAsia="zh-CN"/>
              </w:rPr>
            </w:pPr>
            <w:r>
              <w:rPr>
                <w:rFonts w:hint="default" w:ascii="Times New Roman" w:hAnsi="Times New Roman" w:eastAsia="宋体" w:cs="Times New Roman"/>
                <w:szCs w:val="21"/>
                <w:highlight w:val="none"/>
                <w:lang w:eastAsia="zh-CN"/>
              </w:rPr>
              <w:t>厂房隔声、基础减震、设备维护</w:t>
            </w:r>
          </w:p>
        </w:tc>
        <w:tc>
          <w:tcPr>
            <w:tcW w:w="2179" w:type="dxa"/>
            <w:tcBorders>
              <w:tl2br w:val="nil"/>
              <w:tr2bl w:val="nil"/>
            </w:tcBorders>
            <w:noWrap w:val="0"/>
            <w:vAlign w:val="center"/>
          </w:tcPr>
          <w:p w14:paraId="5C245BF2">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《工业企业厂界环境噪声排放标准》（GB12348-2008）中的3类标准</w:t>
            </w:r>
          </w:p>
        </w:tc>
      </w:tr>
      <w:tr w14:paraId="7943BD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1" w:type="dxa"/>
            <w:tcBorders>
              <w:tl2br w:val="nil"/>
              <w:tr2bl w:val="nil"/>
            </w:tcBorders>
            <w:noWrap w:val="0"/>
            <w:vAlign w:val="center"/>
          </w:tcPr>
          <w:p w14:paraId="7971E391">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电磁辐射</w:t>
            </w:r>
          </w:p>
        </w:tc>
        <w:tc>
          <w:tcPr>
            <w:tcW w:w="1181" w:type="dxa"/>
            <w:tcBorders>
              <w:tl2br w:val="nil"/>
              <w:tr2bl w:val="nil"/>
            </w:tcBorders>
            <w:noWrap w:val="0"/>
            <w:vAlign w:val="center"/>
          </w:tcPr>
          <w:p w14:paraId="2F5C2E40">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w:t>
            </w:r>
          </w:p>
        </w:tc>
        <w:tc>
          <w:tcPr>
            <w:tcW w:w="886" w:type="dxa"/>
            <w:tcBorders>
              <w:tl2br w:val="nil"/>
              <w:tr2bl w:val="nil"/>
            </w:tcBorders>
            <w:noWrap w:val="0"/>
            <w:vAlign w:val="center"/>
          </w:tcPr>
          <w:p w14:paraId="2FAD35B9">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w:t>
            </w:r>
          </w:p>
        </w:tc>
        <w:tc>
          <w:tcPr>
            <w:tcW w:w="3033" w:type="dxa"/>
            <w:tcBorders>
              <w:tl2br w:val="nil"/>
              <w:tr2bl w:val="nil"/>
            </w:tcBorders>
            <w:noWrap w:val="0"/>
            <w:vAlign w:val="center"/>
          </w:tcPr>
          <w:p w14:paraId="5F30CEA6">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w:t>
            </w:r>
          </w:p>
        </w:tc>
        <w:tc>
          <w:tcPr>
            <w:tcW w:w="2179" w:type="dxa"/>
            <w:tcBorders>
              <w:tl2br w:val="nil"/>
              <w:tr2bl w:val="nil"/>
            </w:tcBorders>
            <w:noWrap w:val="0"/>
            <w:vAlign w:val="center"/>
          </w:tcPr>
          <w:p w14:paraId="15DA0E12">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w:t>
            </w:r>
          </w:p>
        </w:tc>
      </w:tr>
      <w:tr w14:paraId="7BF676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1" w:type="dxa"/>
            <w:tcBorders>
              <w:tl2br w:val="nil"/>
              <w:tr2bl w:val="nil"/>
            </w:tcBorders>
            <w:noWrap w:val="0"/>
            <w:vAlign w:val="center"/>
          </w:tcPr>
          <w:p w14:paraId="2C060A46">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固体废物</w:t>
            </w:r>
          </w:p>
        </w:tc>
        <w:tc>
          <w:tcPr>
            <w:tcW w:w="7279" w:type="dxa"/>
            <w:gridSpan w:val="4"/>
            <w:tcBorders>
              <w:tl2br w:val="nil"/>
              <w:tr2bl w:val="nil"/>
            </w:tcBorders>
            <w:noWrap w:val="0"/>
            <w:vAlign w:val="center"/>
          </w:tcPr>
          <w:p w14:paraId="0433A8DF">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pacing w:val="5"/>
                <w:kern w:val="0"/>
                <w:sz w:val="21"/>
                <w:szCs w:val="18"/>
                <w:lang w:val="en-US" w:eastAsia="zh-CN" w:bidi="ar-SA"/>
              </w:rPr>
            </w:pPr>
            <w:r>
              <w:rPr>
                <w:rFonts w:hint="eastAsia" w:ascii="Times New Roman" w:hAnsi="Times New Roman" w:eastAsia="宋体" w:cs="Times New Roman"/>
                <w:bCs/>
                <w:color w:val="auto"/>
                <w:spacing w:val="5"/>
                <w:kern w:val="0"/>
                <w:sz w:val="21"/>
                <w:szCs w:val="18"/>
                <w:lang w:val="en-US" w:eastAsia="zh-CN" w:bidi="ar-SA"/>
              </w:rPr>
              <w:t>本项目产生的一般工业固废中除尘器收的粉尘、沉降粉尘回用于生产，废包装袋、废布袋集中收集后交由一般固废处置单位进行处置。</w:t>
            </w:r>
          </w:p>
          <w:p w14:paraId="2BBD7F03">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kern w:val="0"/>
                <w:sz w:val="21"/>
                <w:szCs w:val="21"/>
                <w:highlight w:val="none"/>
                <w:lang w:val="en-US" w:eastAsia="zh-CN" w:bidi="ar-SA"/>
              </w:rPr>
            </w:pPr>
            <w:r>
              <w:rPr>
                <w:rFonts w:hint="eastAsia" w:ascii="Times New Roman" w:hAnsi="Times New Roman" w:eastAsia="宋体" w:cs="Times New Roman"/>
                <w:bCs/>
                <w:color w:val="auto"/>
                <w:spacing w:val="5"/>
                <w:kern w:val="0"/>
                <w:sz w:val="21"/>
                <w:szCs w:val="18"/>
                <w:lang w:val="en-US" w:eastAsia="zh-CN" w:bidi="ar-SA"/>
              </w:rPr>
              <w:t>危险废物废润滑油、废油桶集中收集至危险废物贮存库内，定期交由有资质单位进行清运处置。</w:t>
            </w:r>
          </w:p>
        </w:tc>
      </w:tr>
      <w:tr w14:paraId="57AEDB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1" w:type="dxa"/>
            <w:tcBorders>
              <w:tl2br w:val="nil"/>
              <w:tr2bl w:val="nil"/>
            </w:tcBorders>
            <w:noWrap w:val="0"/>
            <w:vAlign w:val="center"/>
          </w:tcPr>
          <w:p w14:paraId="00C7BEAA">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土壤及地下水</w:t>
            </w:r>
          </w:p>
          <w:p w14:paraId="43591EF8">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污染防治措施</w:t>
            </w:r>
          </w:p>
        </w:tc>
        <w:tc>
          <w:tcPr>
            <w:tcW w:w="7279" w:type="dxa"/>
            <w:gridSpan w:val="4"/>
            <w:tcBorders>
              <w:tl2br w:val="nil"/>
              <w:tr2bl w:val="nil"/>
            </w:tcBorders>
            <w:noWrap w:val="0"/>
            <w:vAlign w:val="center"/>
          </w:tcPr>
          <w:p w14:paraId="5CDF780E">
            <w:pPr>
              <w:adjustRightInd w:val="0"/>
              <w:snapToGrid w:val="0"/>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color w:val="000000"/>
                <w:spacing w:val="0"/>
                <w:kern w:val="0"/>
                <w:sz w:val="21"/>
                <w:szCs w:val="21"/>
                <w:lang w:val="en-US" w:eastAsia="zh-CN"/>
              </w:rPr>
              <w:t>厂区重点防渗区域防渗要求为</w:t>
            </w:r>
            <w:r>
              <w:rPr>
                <w:rFonts w:ascii="Times New Roman" w:hAnsi="Times New Roman" w:eastAsia="宋体" w:cs="Times New Roman"/>
                <w:color w:val="000000"/>
                <w:spacing w:val="0"/>
                <w:kern w:val="0"/>
                <w:sz w:val="21"/>
                <w:szCs w:val="21"/>
              </w:rPr>
              <w:t>防渗混凝土+防渗材料（防渗混凝土+2mm厚HD</w:t>
            </w:r>
            <w:r>
              <w:rPr>
                <w:rFonts w:hint="eastAsia" w:ascii="Times New Roman" w:hAnsi="Times New Roman" w:eastAsia="宋体" w:cs="Times New Roman"/>
                <w:color w:val="000000"/>
                <w:spacing w:val="0"/>
                <w:kern w:val="0"/>
                <w:sz w:val="21"/>
                <w:szCs w:val="21"/>
              </w:rPr>
              <w:t>PE</w:t>
            </w:r>
            <w:r>
              <w:rPr>
                <w:rFonts w:ascii="Times New Roman" w:hAnsi="Times New Roman" w:eastAsia="宋体" w:cs="Times New Roman"/>
                <w:color w:val="000000"/>
                <w:spacing w:val="0"/>
                <w:kern w:val="0"/>
                <w:sz w:val="21"/>
                <w:szCs w:val="21"/>
              </w:rPr>
              <w:t>膜）</w:t>
            </w:r>
            <w:r>
              <w:rPr>
                <w:rFonts w:hint="eastAsia" w:ascii="Times New Roman" w:hAnsi="Times New Roman" w:eastAsia="宋体" w:cs="Times New Roman"/>
                <w:color w:val="000000"/>
                <w:spacing w:val="0"/>
                <w:kern w:val="0"/>
                <w:sz w:val="21"/>
                <w:szCs w:val="21"/>
              </w:rPr>
              <w:t>，确保等效黏土防渗层Mb≥6.0m，渗透系数K≤1.0×10</w:t>
            </w:r>
            <w:r>
              <w:rPr>
                <w:rFonts w:hint="eastAsia" w:ascii="Times New Roman" w:hAnsi="Times New Roman" w:eastAsia="宋体" w:cs="Times New Roman"/>
                <w:color w:val="000000"/>
                <w:spacing w:val="0"/>
                <w:kern w:val="0"/>
                <w:sz w:val="21"/>
                <w:szCs w:val="21"/>
                <w:vertAlign w:val="superscript"/>
              </w:rPr>
              <w:t>-7</w:t>
            </w:r>
            <w:r>
              <w:rPr>
                <w:rFonts w:hint="eastAsia" w:ascii="Times New Roman" w:hAnsi="Times New Roman" w:eastAsia="宋体" w:cs="Times New Roman"/>
                <w:color w:val="000000"/>
                <w:spacing w:val="0"/>
                <w:kern w:val="0"/>
                <w:sz w:val="21"/>
                <w:szCs w:val="21"/>
              </w:rPr>
              <w:t>cm/s</w:t>
            </w:r>
            <w:r>
              <w:rPr>
                <w:rFonts w:hint="eastAsia" w:ascii="Times New Roman" w:hAnsi="Times New Roman" w:eastAsia="宋体" w:cs="Times New Roman"/>
                <w:color w:val="000000"/>
                <w:spacing w:val="0"/>
                <w:kern w:val="0"/>
                <w:sz w:val="21"/>
                <w:szCs w:val="21"/>
                <w:lang w:eastAsia="zh-CN"/>
              </w:rPr>
              <w:t>，</w:t>
            </w:r>
          </w:p>
        </w:tc>
      </w:tr>
      <w:tr w14:paraId="686B3C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1" w:type="dxa"/>
            <w:tcBorders>
              <w:tl2br w:val="nil"/>
              <w:tr2bl w:val="nil"/>
            </w:tcBorders>
            <w:noWrap w:val="0"/>
            <w:vAlign w:val="center"/>
          </w:tcPr>
          <w:p w14:paraId="15384774">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生态保护措施</w:t>
            </w:r>
          </w:p>
        </w:tc>
        <w:tc>
          <w:tcPr>
            <w:tcW w:w="7279" w:type="dxa"/>
            <w:gridSpan w:val="4"/>
            <w:tcBorders>
              <w:tl2br w:val="nil"/>
              <w:tr2bl w:val="nil"/>
            </w:tcBorders>
            <w:noWrap w:val="0"/>
            <w:vAlign w:val="center"/>
          </w:tcPr>
          <w:p w14:paraId="49C2AB7E">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w:t>
            </w:r>
          </w:p>
        </w:tc>
      </w:tr>
      <w:tr w14:paraId="3D18F9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1" w:type="dxa"/>
            <w:tcBorders>
              <w:tl2br w:val="nil"/>
              <w:tr2bl w:val="nil"/>
            </w:tcBorders>
            <w:noWrap w:val="0"/>
            <w:vAlign w:val="center"/>
          </w:tcPr>
          <w:p w14:paraId="7CE9FCA8">
            <w:pPr>
              <w:adjustRightInd w:val="0"/>
              <w:snapToGrid w:val="0"/>
              <w:jc w:val="center"/>
              <w:rPr>
                <w:rFonts w:hint="default" w:ascii="Times New Roman" w:hAnsi="Times New Roman" w:eastAsia="宋体" w:cs="Times New Roman"/>
                <w:spacing w:val="-8"/>
                <w:szCs w:val="21"/>
                <w:highlight w:val="none"/>
              </w:rPr>
            </w:pPr>
            <w:r>
              <w:rPr>
                <w:rFonts w:hint="default" w:ascii="Times New Roman" w:hAnsi="Times New Roman" w:eastAsia="宋体" w:cs="Times New Roman"/>
                <w:spacing w:val="-8"/>
                <w:szCs w:val="21"/>
                <w:highlight w:val="none"/>
              </w:rPr>
              <w:t>环境风险</w:t>
            </w:r>
          </w:p>
          <w:p w14:paraId="3108CFA7">
            <w:pPr>
              <w:adjustRightInd w:val="0"/>
              <w:snapToGrid w:val="0"/>
              <w:jc w:val="center"/>
              <w:rPr>
                <w:rFonts w:hint="default" w:ascii="Times New Roman" w:hAnsi="Times New Roman" w:eastAsia="宋体" w:cs="Times New Roman"/>
                <w:spacing w:val="-8"/>
                <w:szCs w:val="21"/>
                <w:highlight w:val="none"/>
              </w:rPr>
            </w:pPr>
            <w:r>
              <w:rPr>
                <w:rFonts w:hint="default" w:ascii="Times New Roman" w:hAnsi="Times New Roman" w:eastAsia="宋体" w:cs="Times New Roman"/>
                <w:spacing w:val="-8"/>
                <w:szCs w:val="21"/>
                <w:highlight w:val="none"/>
              </w:rPr>
              <w:t>防范措施</w:t>
            </w:r>
          </w:p>
        </w:tc>
        <w:tc>
          <w:tcPr>
            <w:tcW w:w="7279" w:type="dxa"/>
            <w:gridSpan w:val="4"/>
            <w:tcBorders>
              <w:tl2br w:val="nil"/>
              <w:tr2bl w:val="nil"/>
            </w:tcBorders>
            <w:noWrap w:val="0"/>
            <w:vAlign w:val="center"/>
          </w:tcPr>
          <w:p w14:paraId="37916536">
            <w:pPr>
              <w:adjustRightInd w:val="0"/>
              <w:snapToGrid w:val="0"/>
              <w:spacing w:line="240" w:lineRule="auto"/>
              <w:jc w:val="left"/>
              <w:rPr>
                <w:rFonts w:hint="default" w:ascii="Times New Roman" w:hAnsi="Times New Roman" w:eastAsia="宋体" w:cs="Times New Roman"/>
                <w:kern w:val="2"/>
                <w:sz w:val="21"/>
                <w:szCs w:val="21"/>
                <w:highlight w:val="none"/>
                <w:lang w:val="en-US" w:eastAsia="zh-CN" w:bidi="ar-SA"/>
              </w:rPr>
            </w:pPr>
            <w:r>
              <w:rPr>
                <w:sz w:val="21"/>
                <w:szCs w:val="21"/>
                <w:highlight w:val="none"/>
              </w:rPr>
              <w:t>配备一定数量的灭火器、消防沙、应急救援器材</w:t>
            </w:r>
            <w:r>
              <w:rPr>
                <w:rFonts w:hint="eastAsia"/>
                <w:sz w:val="21"/>
                <w:szCs w:val="21"/>
                <w:highlight w:val="none"/>
                <w:lang w:eastAsia="zh-CN"/>
              </w:rPr>
              <w:t>以及防渗和收集泄漏污染物的应急物资</w:t>
            </w:r>
            <w:r>
              <w:rPr>
                <w:sz w:val="21"/>
                <w:szCs w:val="21"/>
                <w:highlight w:val="none"/>
              </w:rPr>
              <w:t>；制定环境应急预案等</w:t>
            </w:r>
            <w:r>
              <w:rPr>
                <w:rFonts w:hint="eastAsia"/>
                <w:sz w:val="21"/>
                <w:szCs w:val="21"/>
                <w:highlight w:val="none"/>
              </w:rPr>
              <w:t>。</w:t>
            </w:r>
            <w:r>
              <w:rPr>
                <w:sz w:val="21"/>
                <w:szCs w:val="21"/>
                <w:highlight w:val="none"/>
              </w:rPr>
              <w:t>加强管理，</w:t>
            </w:r>
            <w:r>
              <w:rPr>
                <w:rFonts w:hint="eastAsia"/>
                <w:sz w:val="21"/>
                <w:szCs w:val="21"/>
                <w:highlight w:val="none"/>
              </w:rPr>
              <w:t>建设单位应树立并强化环境风险意识。建立健全突发环境事故应急组织机构等</w:t>
            </w:r>
            <w:r>
              <w:rPr>
                <w:sz w:val="21"/>
                <w:szCs w:val="21"/>
                <w:highlight w:val="none"/>
              </w:rPr>
              <w:t>。</w:t>
            </w:r>
          </w:p>
        </w:tc>
      </w:tr>
      <w:tr w14:paraId="210BA4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1" w:type="dxa"/>
            <w:tcBorders>
              <w:tl2br w:val="nil"/>
              <w:tr2bl w:val="nil"/>
            </w:tcBorders>
            <w:noWrap w:val="0"/>
            <w:vAlign w:val="center"/>
          </w:tcPr>
          <w:p w14:paraId="0BBCC865">
            <w:pPr>
              <w:adjustRightInd w:val="0"/>
              <w:snapToGrid w:val="0"/>
              <w:jc w:val="center"/>
              <w:rPr>
                <w:rFonts w:hint="default" w:ascii="Times New Roman" w:hAnsi="Times New Roman" w:eastAsia="宋体" w:cs="Times New Roman"/>
                <w:spacing w:val="-8"/>
                <w:szCs w:val="21"/>
                <w:highlight w:val="none"/>
              </w:rPr>
            </w:pPr>
            <w:r>
              <w:rPr>
                <w:rFonts w:hint="default" w:ascii="Times New Roman" w:hAnsi="Times New Roman" w:eastAsia="宋体" w:cs="Times New Roman"/>
                <w:spacing w:val="-8"/>
                <w:szCs w:val="21"/>
                <w:highlight w:val="none"/>
              </w:rPr>
              <w:t>其他环境</w:t>
            </w:r>
          </w:p>
          <w:p w14:paraId="4E3A8C01">
            <w:pPr>
              <w:adjustRightInd w:val="0"/>
              <w:snapToGrid w:val="0"/>
              <w:jc w:val="center"/>
              <w:rPr>
                <w:rFonts w:hint="default" w:ascii="Times New Roman" w:hAnsi="Times New Roman" w:eastAsia="宋体" w:cs="Times New Roman"/>
                <w:spacing w:val="-8"/>
                <w:szCs w:val="21"/>
                <w:highlight w:val="none"/>
              </w:rPr>
            </w:pPr>
            <w:r>
              <w:rPr>
                <w:rFonts w:hint="default" w:ascii="Times New Roman" w:hAnsi="Times New Roman" w:eastAsia="宋体" w:cs="Times New Roman"/>
                <w:spacing w:val="-8"/>
                <w:szCs w:val="21"/>
                <w:highlight w:val="none"/>
              </w:rPr>
              <w:t>管理要求</w:t>
            </w:r>
          </w:p>
        </w:tc>
        <w:tc>
          <w:tcPr>
            <w:tcW w:w="7279" w:type="dxa"/>
            <w:gridSpan w:val="4"/>
            <w:tcBorders>
              <w:tl2br w:val="nil"/>
              <w:tr2bl w:val="nil"/>
            </w:tcBorders>
            <w:noWrap w:val="0"/>
            <w:vAlign w:val="center"/>
          </w:tcPr>
          <w:p w14:paraId="49921ED6">
            <w:pPr>
              <w:adjustRightInd w:val="0"/>
              <w:snapToGrid w:val="0"/>
              <w:spacing w:line="240" w:lineRule="auto"/>
              <w:rPr>
                <w:sz w:val="21"/>
                <w:szCs w:val="21"/>
                <w:highlight w:val="none"/>
              </w:rPr>
            </w:pPr>
            <w:r>
              <w:rPr>
                <w:sz w:val="21"/>
                <w:szCs w:val="21"/>
                <w:highlight w:val="none"/>
              </w:rPr>
              <w:t>（1）建设单位应设置环保管理人员，负责厂区环保工作日常事务。环保管理人员应做到有职、有权、有责，</w:t>
            </w:r>
            <w:r>
              <w:rPr>
                <w:rFonts w:hint="eastAsia"/>
                <w:sz w:val="21"/>
                <w:szCs w:val="21"/>
                <w:highlight w:val="none"/>
                <w:lang w:val="en-US" w:eastAsia="zh-CN"/>
              </w:rPr>
              <w:t>切实</w:t>
            </w:r>
            <w:r>
              <w:rPr>
                <w:sz w:val="21"/>
                <w:szCs w:val="21"/>
                <w:highlight w:val="none"/>
              </w:rPr>
              <w:t>担负起环境保护管理及监督责任。该人员除对项目负责外，也应与地方环境保护管理部门加强联系，使项目环保工作纳入地方环境管理工作系统。</w:t>
            </w:r>
          </w:p>
          <w:p w14:paraId="411FF321">
            <w:pPr>
              <w:adjustRightInd w:val="0"/>
              <w:snapToGrid w:val="0"/>
              <w:spacing w:line="240" w:lineRule="auto"/>
              <w:rPr>
                <w:sz w:val="21"/>
                <w:szCs w:val="21"/>
                <w:highlight w:val="none"/>
              </w:rPr>
            </w:pPr>
            <w:r>
              <w:rPr>
                <w:sz w:val="21"/>
                <w:szCs w:val="21"/>
                <w:highlight w:val="none"/>
              </w:rPr>
              <w:t>（2）</w:t>
            </w:r>
          </w:p>
          <w:p w14:paraId="6BBFFC62">
            <w:pPr>
              <w:adjustRightInd w:val="0"/>
              <w:snapToGrid w:val="0"/>
              <w:spacing w:line="240" w:lineRule="auto"/>
              <w:rPr>
                <w:sz w:val="21"/>
                <w:szCs w:val="21"/>
                <w:highlight w:val="none"/>
              </w:rPr>
            </w:pPr>
            <w:r>
              <w:rPr>
                <w:sz w:val="21"/>
                <w:szCs w:val="21"/>
                <w:highlight w:val="none"/>
              </w:rPr>
              <w:t>安排组织员工的环保教育、培训和考核，</w:t>
            </w:r>
            <w:r>
              <w:rPr>
                <w:rFonts w:hint="eastAsia"/>
                <w:sz w:val="21"/>
                <w:szCs w:val="21"/>
                <w:highlight w:val="none"/>
                <w:lang w:eastAsia="zh-CN"/>
              </w:rPr>
              <w:t>增强</w:t>
            </w:r>
            <w:r>
              <w:rPr>
                <w:sz w:val="21"/>
                <w:szCs w:val="21"/>
                <w:highlight w:val="none"/>
              </w:rPr>
              <w:t>员工的环保意识和环境法</w:t>
            </w:r>
            <w:r>
              <w:rPr>
                <w:rFonts w:hint="eastAsia"/>
                <w:sz w:val="21"/>
                <w:szCs w:val="21"/>
                <w:highlight w:val="none"/>
                <w:lang w:val="en-US" w:eastAsia="zh-CN"/>
              </w:rPr>
              <w:t>治</w:t>
            </w:r>
            <w:r>
              <w:rPr>
                <w:sz w:val="21"/>
                <w:szCs w:val="21"/>
                <w:highlight w:val="none"/>
              </w:rPr>
              <w:t>观念；推广并应用先进的环境保护管理经验和污染治理技术，提高环保管理人员业务水平。</w:t>
            </w:r>
          </w:p>
          <w:p w14:paraId="1323C508">
            <w:pPr>
              <w:adjustRightInd w:val="0"/>
              <w:snapToGrid w:val="0"/>
              <w:spacing w:line="240" w:lineRule="auto"/>
              <w:rPr>
                <w:sz w:val="21"/>
                <w:szCs w:val="21"/>
                <w:highlight w:val="none"/>
              </w:rPr>
            </w:pPr>
            <w:r>
              <w:rPr>
                <w:sz w:val="21"/>
                <w:szCs w:val="21"/>
                <w:highlight w:val="none"/>
              </w:rPr>
              <w:t>（3）监督、检查环保设施、设备的运行及维护，建立环保设施运行档案。</w:t>
            </w:r>
          </w:p>
          <w:p w14:paraId="28BD66F0">
            <w:pPr>
              <w:adjustRightInd w:val="0"/>
              <w:snapToGrid w:val="0"/>
              <w:spacing w:line="240" w:lineRule="auto"/>
              <w:rPr>
                <w:sz w:val="21"/>
                <w:szCs w:val="21"/>
                <w:highlight w:val="none"/>
              </w:rPr>
            </w:pPr>
            <w:r>
              <w:rPr>
                <w:sz w:val="21"/>
                <w:szCs w:val="21"/>
                <w:highlight w:val="none"/>
              </w:rPr>
              <w:t>（4）按照《排污许可管理条例》（中华人民共和国国务院令 第736号）要求，企业在建成实际排污前应依法申请取得</w:t>
            </w:r>
            <w:r>
              <w:rPr>
                <w:rFonts w:hint="eastAsia"/>
                <w:sz w:val="21"/>
                <w:szCs w:val="21"/>
                <w:highlight w:val="none"/>
                <w:lang w:val="en-US" w:eastAsia="zh-CN"/>
              </w:rPr>
              <w:t>排污登记</w:t>
            </w:r>
            <w:r>
              <w:rPr>
                <w:sz w:val="21"/>
                <w:szCs w:val="21"/>
                <w:highlight w:val="none"/>
              </w:rPr>
              <w:t>。</w:t>
            </w:r>
          </w:p>
          <w:p w14:paraId="1D12D5C4">
            <w:pPr>
              <w:adjustRightInd w:val="0"/>
              <w:snapToGrid w:val="0"/>
              <w:spacing w:line="240" w:lineRule="auto"/>
              <w:rPr>
                <w:sz w:val="21"/>
                <w:szCs w:val="21"/>
                <w:highlight w:val="none"/>
              </w:rPr>
            </w:pPr>
            <w:r>
              <w:rPr>
                <w:sz w:val="21"/>
                <w:szCs w:val="21"/>
                <w:highlight w:val="none"/>
              </w:rPr>
              <w:t>（5）建设项目竣工后，由建设单位根据《建设项目竣工环境保护验收技术指南 污染影响类》按照规定程序和标准自行组织</w:t>
            </w:r>
            <w:r>
              <w:rPr>
                <w:rFonts w:hint="eastAsia"/>
                <w:sz w:val="21"/>
                <w:szCs w:val="21"/>
                <w:highlight w:val="none"/>
              </w:rPr>
              <w:t>“</w:t>
            </w:r>
            <w:r>
              <w:rPr>
                <w:sz w:val="21"/>
                <w:szCs w:val="21"/>
                <w:highlight w:val="none"/>
              </w:rPr>
              <w:t>三同时</w:t>
            </w:r>
            <w:r>
              <w:rPr>
                <w:rFonts w:hint="eastAsia"/>
                <w:sz w:val="21"/>
                <w:szCs w:val="21"/>
                <w:highlight w:val="none"/>
              </w:rPr>
              <w:t>”</w:t>
            </w:r>
            <w:r>
              <w:rPr>
                <w:sz w:val="21"/>
                <w:szCs w:val="21"/>
                <w:highlight w:val="none"/>
              </w:rPr>
              <w:t>环保竣工验收，不具备编制验收监测（调查）报告能力的，可委托有能力的技术机构进行编制。</w:t>
            </w:r>
          </w:p>
          <w:p w14:paraId="62187059">
            <w:pPr>
              <w:pStyle w:val="9"/>
              <w:rPr>
                <w:sz w:val="21"/>
                <w:szCs w:val="21"/>
                <w:highlight w:val="none"/>
              </w:rPr>
            </w:pPr>
          </w:p>
          <w:p w14:paraId="2975B9C7">
            <w:pPr>
              <w:pStyle w:val="12"/>
              <w:widowControl w:val="0"/>
              <w:numPr>
                <w:ilvl w:val="0"/>
                <w:numId w:val="0"/>
              </w:numPr>
              <w:spacing w:line="360" w:lineRule="auto"/>
              <w:jc w:val="both"/>
              <w:rPr>
                <w:sz w:val="21"/>
                <w:szCs w:val="21"/>
                <w:highlight w:val="none"/>
              </w:rPr>
            </w:pPr>
          </w:p>
          <w:p w14:paraId="537A2DDF">
            <w:pPr>
              <w:pStyle w:val="12"/>
              <w:widowControl w:val="0"/>
              <w:numPr>
                <w:ilvl w:val="0"/>
                <w:numId w:val="0"/>
              </w:numPr>
              <w:spacing w:line="360" w:lineRule="auto"/>
              <w:jc w:val="both"/>
              <w:rPr>
                <w:sz w:val="21"/>
                <w:szCs w:val="21"/>
                <w:highlight w:val="none"/>
              </w:rPr>
            </w:pPr>
          </w:p>
          <w:p w14:paraId="125BEE90">
            <w:pPr>
              <w:pStyle w:val="12"/>
              <w:widowControl w:val="0"/>
              <w:numPr>
                <w:ilvl w:val="0"/>
                <w:numId w:val="0"/>
              </w:numPr>
              <w:spacing w:line="360" w:lineRule="auto"/>
              <w:jc w:val="both"/>
              <w:rPr>
                <w:sz w:val="21"/>
                <w:szCs w:val="21"/>
                <w:highlight w:val="none"/>
              </w:rPr>
            </w:pPr>
          </w:p>
          <w:p w14:paraId="4456700A">
            <w:pPr>
              <w:pStyle w:val="12"/>
              <w:widowControl w:val="0"/>
              <w:numPr>
                <w:ilvl w:val="0"/>
                <w:numId w:val="0"/>
              </w:numPr>
              <w:spacing w:line="360" w:lineRule="auto"/>
              <w:jc w:val="both"/>
              <w:rPr>
                <w:sz w:val="21"/>
                <w:szCs w:val="21"/>
                <w:highlight w:val="none"/>
              </w:rPr>
            </w:pPr>
          </w:p>
          <w:p w14:paraId="5500587E">
            <w:pPr>
              <w:pStyle w:val="12"/>
              <w:widowControl w:val="0"/>
              <w:numPr>
                <w:ilvl w:val="0"/>
                <w:numId w:val="0"/>
              </w:numPr>
              <w:spacing w:line="360" w:lineRule="auto"/>
              <w:jc w:val="both"/>
              <w:rPr>
                <w:sz w:val="21"/>
                <w:szCs w:val="21"/>
                <w:highlight w:val="none"/>
              </w:rPr>
            </w:pPr>
          </w:p>
          <w:p w14:paraId="0F7981B0">
            <w:pPr>
              <w:pStyle w:val="12"/>
              <w:widowControl w:val="0"/>
              <w:numPr>
                <w:ilvl w:val="0"/>
                <w:numId w:val="0"/>
              </w:numPr>
              <w:spacing w:line="360" w:lineRule="auto"/>
              <w:ind w:left="0" w:leftChars="0" w:firstLine="0" w:firstLineChars="0"/>
              <w:jc w:val="both"/>
              <w:rPr>
                <w:rFonts w:hint="default" w:ascii="Times New Roman" w:hAnsi="Times New Roman" w:eastAsia="宋体" w:cs="Times New Roman"/>
                <w:kern w:val="2"/>
                <w:sz w:val="21"/>
                <w:szCs w:val="21"/>
                <w:highlight w:val="none"/>
                <w:lang w:val="en-US" w:eastAsia="zh-CN" w:bidi="ar-SA"/>
              </w:rPr>
            </w:pPr>
          </w:p>
        </w:tc>
      </w:tr>
    </w:tbl>
    <w:p w14:paraId="4FFFEC24">
      <w:pPr>
        <w:pStyle w:val="19"/>
        <w:jc w:val="center"/>
        <w:outlineLvl w:val="0"/>
        <w:rPr>
          <w:rFonts w:ascii="黑体" w:hAnsi="黑体" w:eastAsia="黑体"/>
          <w:snapToGrid w:val="0"/>
          <w:sz w:val="30"/>
          <w:szCs w:val="30"/>
        </w:rPr>
      </w:pPr>
      <w:r>
        <w:rPr>
          <w:snapToGrid w:val="0"/>
        </w:rPr>
        <w:br w:type="page"/>
      </w:r>
      <w:r>
        <w:rPr>
          <w:rFonts w:hint="eastAsia" w:ascii="黑体" w:hAnsi="黑体" w:eastAsia="黑体"/>
          <w:snapToGrid w:val="0"/>
          <w:sz w:val="30"/>
          <w:szCs w:val="30"/>
        </w:rPr>
        <w:t>六、结论</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865"/>
      </w:tblGrid>
      <w:tr w14:paraId="08D3408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1991" w:hRule="atLeast"/>
          <w:jc w:val="center"/>
        </w:trPr>
        <w:tc>
          <w:tcPr>
            <w:tcW w:w="8865" w:type="dxa"/>
            <w:tcBorders>
              <w:tl2br w:val="nil"/>
              <w:tr2bl w:val="nil"/>
            </w:tcBorders>
            <w:noWrap w:val="0"/>
            <w:vAlign w:val="top"/>
          </w:tcPr>
          <w:p w14:paraId="500AE4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ascii="宋体" w:cs="宋体"/>
                <w:sz w:val="24"/>
              </w:rPr>
            </w:pPr>
            <w:r>
              <w:rPr>
                <w:rFonts w:hint="eastAsia" w:ascii="Times New Roman" w:hAnsi="Times New Roman" w:eastAsia="宋体" w:cs="Times New Roman"/>
                <w:sz w:val="24"/>
                <w:szCs w:val="24"/>
                <w:highlight w:val="none"/>
              </w:rPr>
              <w:t>在</w:t>
            </w:r>
            <w:r>
              <w:rPr>
                <w:rFonts w:ascii="Times New Roman" w:hAnsi="Times New Roman" w:eastAsia="宋体" w:cs="Times New Roman"/>
                <w:sz w:val="24"/>
                <w:szCs w:val="24"/>
                <w:highlight w:val="none"/>
              </w:rPr>
              <w:t>严格落实本环评提出的环保措施后，</w:t>
            </w:r>
            <w:r>
              <w:rPr>
                <w:rFonts w:hint="eastAsia" w:ascii="Times New Roman" w:hAnsi="Times New Roman" w:eastAsia="宋体" w:cs="Times New Roman"/>
                <w:sz w:val="24"/>
                <w:szCs w:val="24"/>
                <w:highlight w:val="none"/>
                <w:lang w:eastAsia="zh-CN"/>
              </w:rPr>
              <w:t>项目</w:t>
            </w:r>
            <w:r>
              <w:rPr>
                <w:rFonts w:ascii="Times New Roman" w:hAnsi="Times New Roman" w:eastAsia="宋体" w:cs="Times New Roman"/>
                <w:sz w:val="24"/>
                <w:szCs w:val="24"/>
                <w:highlight w:val="none"/>
              </w:rPr>
              <w:t>的环境影响不大。因此，在采取本报告提出的</w:t>
            </w:r>
            <w:r>
              <w:rPr>
                <w:rFonts w:hint="eastAsia" w:ascii="Times New Roman" w:hAnsi="Times New Roman" w:eastAsia="宋体" w:cs="Times New Roman"/>
                <w:sz w:val="24"/>
                <w:szCs w:val="24"/>
                <w:highlight w:val="none"/>
              </w:rPr>
              <w:t>各项</w:t>
            </w:r>
            <w:r>
              <w:rPr>
                <w:rFonts w:ascii="Times New Roman" w:hAnsi="Times New Roman" w:eastAsia="宋体" w:cs="Times New Roman"/>
                <w:sz w:val="24"/>
                <w:szCs w:val="24"/>
                <w:highlight w:val="none"/>
              </w:rPr>
              <w:t>防治措施的前提下，从环保角度讲，</w:t>
            </w:r>
            <w:r>
              <w:rPr>
                <w:rFonts w:hint="eastAsia" w:ascii="Times New Roman" w:hAnsi="Times New Roman" w:eastAsia="宋体" w:cs="Times New Roman"/>
                <w:sz w:val="24"/>
                <w:szCs w:val="24"/>
                <w:highlight w:val="none"/>
                <w:lang w:eastAsia="zh-CN"/>
              </w:rPr>
              <w:t>本项目</w:t>
            </w:r>
            <w:r>
              <w:rPr>
                <w:rFonts w:ascii="Times New Roman" w:hAnsi="Times New Roman" w:eastAsia="宋体" w:cs="Times New Roman"/>
                <w:sz w:val="24"/>
                <w:szCs w:val="24"/>
                <w:highlight w:val="none"/>
              </w:rPr>
              <w:t>的</w:t>
            </w:r>
            <w:r>
              <w:rPr>
                <w:rFonts w:hint="eastAsia" w:cs="Times New Roman"/>
                <w:sz w:val="24"/>
                <w:szCs w:val="24"/>
                <w:highlight w:val="none"/>
                <w:lang w:val="en-US" w:eastAsia="zh-CN"/>
              </w:rPr>
              <w:t>环境影响</w:t>
            </w:r>
            <w:r>
              <w:rPr>
                <w:rFonts w:ascii="Times New Roman" w:hAnsi="Times New Roman" w:eastAsia="宋体" w:cs="Times New Roman"/>
                <w:sz w:val="24"/>
                <w:szCs w:val="24"/>
                <w:highlight w:val="none"/>
              </w:rPr>
              <w:t>是可行的。</w:t>
            </w:r>
          </w:p>
        </w:tc>
      </w:tr>
    </w:tbl>
    <w:p w14:paraId="4B98421C">
      <w:pPr>
        <w:rPr>
          <w:rFonts w:ascii="宋体"/>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0BC6FECD">
      <w:pPr>
        <w:pStyle w:val="19"/>
        <w:adjustRightInd w:val="0"/>
        <w:snapToGrid w:val="0"/>
        <w:spacing w:before="0" w:beforeAutospacing="0" w:after="0" w:afterAutospacing="0" w:line="648" w:lineRule="auto"/>
        <w:outlineLvl w:val="0"/>
        <w:rPr>
          <w:rFonts w:ascii="黑体" w:hAnsi="黑体" w:eastAsia="黑体"/>
          <w:snapToGrid w:val="0"/>
          <w:sz w:val="32"/>
          <w:szCs w:val="32"/>
        </w:rPr>
      </w:pPr>
      <w:r>
        <w:rPr>
          <w:rFonts w:hint="eastAsia" w:ascii="黑体" w:hAnsi="黑体" w:eastAsia="黑体"/>
          <w:snapToGrid w:val="0"/>
          <w:sz w:val="32"/>
          <w:szCs w:val="32"/>
        </w:rPr>
        <w:t>附表</w:t>
      </w:r>
    </w:p>
    <w:p w14:paraId="6DEE2E55">
      <w:pPr>
        <w:pStyle w:val="19"/>
        <w:adjustRightInd w:val="0"/>
        <w:snapToGrid w:val="0"/>
        <w:spacing w:before="0" w:beforeAutospacing="0" w:after="0" w:afterAutospacing="0" w:line="552" w:lineRule="auto"/>
        <w:jc w:val="center"/>
        <w:outlineLvl w:val="0"/>
        <w:rPr>
          <w:rFonts w:hint="eastAsia" w:ascii="方正小标宋_GBK" w:hAnsi="黑体" w:eastAsia="方正小标宋_GBK"/>
          <w:snapToGrid w:val="0"/>
          <w:sz w:val="38"/>
          <w:szCs w:val="38"/>
        </w:rPr>
      </w:pPr>
      <w:r>
        <w:rPr>
          <w:rFonts w:hint="eastAsia" w:ascii="方正小标宋_GBK" w:hAnsi="黑体" w:eastAsia="方正小标宋_GBK"/>
          <w:snapToGrid w:val="0"/>
          <w:sz w:val="38"/>
          <w:szCs w:val="38"/>
        </w:rPr>
        <w:t>建设项目污染物排放量汇总表</w:t>
      </w:r>
    </w:p>
    <w:tbl>
      <w:tblPr>
        <w:tblStyle w:val="23"/>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115"/>
        <w:gridCol w:w="1950"/>
        <w:gridCol w:w="970"/>
        <w:gridCol w:w="1794"/>
        <w:gridCol w:w="2009"/>
        <w:gridCol w:w="1548"/>
        <w:gridCol w:w="2274"/>
        <w:gridCol w:w="1122"/>
      </w:tblGrid>
      <w:tr w14:paraId="5E0C0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l2br w:val="single" w:color="auto" w:sz="4" w:space="0"/>
            </w:tcBorders>
            <w:noWrap w:val="0"/>
            <w:tcMar>
              <w:left w:w="28" w:type="dxa"/>
              <w:right w:w="28" w:type="dxa"/>
            </w:tcMar>
            <w:vAlign w:val="center"/>
          </w:tcPr>
          <w:p w14:paraId="72C7D2BA">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jc w:val="right"/>
              <w:textAlignment w:val="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项目</w:t>
            </w:r>
          </w:p>
          <w:p w14:paraId="327F6915">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jc w:val="left"/>
              <w:textAlignment w:val="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分类</w:t>
            </w:r>
          </w:p>
        </w:tc>
        <w:tc>
          <w:tcPr>
            <w:tcW w:w="1115" w:type="dxa"/>
            <w:noWrap w:val="0"/>
            <w:tcMar>
              <w:left w:w="28" w:type="dxa"/>
              <w:right w:w="28" w:type="dxa"/>
            </w:tcMar>
            <w:vAlign w:val="center"/>
          </w:tcPr>
          <w:p w14:paraId="069F19BB">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污染物名称</w:t>
            </w:r>
          </w:p>
        </w:tc>
        <w:tc>
          <w:tcPr>
            <w:tcW w:w="1949" w:type="dxa"/>
            <w:noWrap w:val="0"/>
            <w:tcMar>
              <w:left w:w="28" w:type="dxa"/>
              <w:right w:w="28" w:type="dxa"/>
            </w:tcMar>
            <w:vAlign w:val="center"/>
          </w:tcPr>
          <w:p w14:paraId="46BF1B54">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现有工程排放量（固体废物产生量）</w:t>
            </w: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1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kern w:val="2"/>
                <w:szCs w:val="21"/>
              </w:rPr>
              <w:t>①</w:t>
            </w:r>
            <w:r>
              <w:rPr>
                <w:rFonts w:hint="default" w:ascii="Times New Roman" w:hAnsi="Times New Roman" w:eastAsia="黑体" w:cs="Times New Roman"/>
                <w:snapToGrid w:val="0"/>
                <w:color w:val="000000"/>
                <w:spacing w:val="-6"/>
                <w:kern w:val="21"/>
                <w:szCs w:val="21"/>
              </w:rPr>
              <w:fldChar w:fldCharType="end"/>
            </w:r>
          </w:p>
        </w:tc>
        <w:tc>
          <w:tcPr>
            <w:tcW w:w="0" w:type="auto"/>
            <w:noWrap w:val="0"/>
            <w:tcMar>
              <w:left w:w="28" w:type="dxa"/>
              <w:right w:w="28" w:type="dxa"/>
            </w:tcMar>
            <w:vAlign w:val="center"/>
          </w:tcPr>
          <w:p w14:paraId="0CA95E54">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现有工程许可排放量</w:t>
            </w:r>
          </w:p>
          <w:p w14:paraId="176F289E">
            <w:pPr>
              <w:pStyle w:val="41"/>
              <w:keepNext w:val="0"/>
              <w:keepLines w:val="0"/>
              <w:pageBreakBefore w:val="0"/>
              <w:widowControl w:val="0"/>
              <w:kinsoku/>
              <w:wordWrap/>
              <w:overflowPunct/>
              <w:topLinePunct w:val="0"/>
              <w:autoSpaceDE/>
              <w:autoSpaceDN/>
              <w:bidi w:val="0"/>
              <w:adjustRightInd w:val="0"/>
              <w:snapToGrid w:val="0"/>
              <w:spacing w:beforeLines="0" w:afterLines="0"/>
              <w:ind w:firstLine="0"/>
              <w:textAlignment w:val="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2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snapToGrid w:val="0"/>
                <w:color w:val="000000"/>
                <w:spacing w:val="-6"/>
                <w:kern w:val="21"/>
                <w:szCs w:val="21"/>
              </w:rPr>
              <w:t>②</w:t>
            </w:r>
            <w:r>
              <w:rPr>
                <w:rFonts w:hint="default" w:ascii="Times New Roman" w:hAnsi="Times New Roman" w:eastAsia="黑体" w:cs="Times New Roman"/>
                <w:snapToGrid w:val="0"/>
                <w:color w:val="000000"/>
                <w:spacing w:val="-6"/>
                <w:kern w:val="21"/>
                <w:szCs w:val="21"/>
              </w:rPr>
              <w:fldChar w:fldCharType="end"/>
            </w:r>
          </w:p>
        </w:tc>
        <w:tc>
          <w:tcPr>
            <w:tcW w:w="0" w:type="auto"/>
            <w:noWrap w:val="0"/>
            <w:tcMar>
              <w:left w:w="28" w:type="dxa"/>
              <w:right w:w="28" w:type="dxa"/>
            </w:tcMar>
            <w:vAlign w:val="center"/>
          </w:tcPr>
          <w:p w14:paraId="591D3F46">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在建工程排放量（固体废物产生量）</w:t>
            </w: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3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kern w:val="2"/>
                <w:szCs w:val="21"/>
              </w:rPr>
              <w:t>③</w:t>
            </w:r>
            <w:r>
              <w:rPr>
                <w:rFonts w:hint="default" w:ascii="Times New Roman" w:hAnsi="Times New Roman" w:eastAsia="黑体" w:cs="Times New Roman"/>
                <w:snapToGrid w:val="0"/>
                <w:color w:val="000000"/>
                <w:spacing w:val="-6"/>
                <w:kern w:val="21"/>
                <w:szCs w:val="21"/>
              </w:rPr>
              <w:fldChar w:fldCharType="end"/>
            </w:r>
          </w:p>
        </w:tc>
        <w:tc>
          <w:tcPr>
            <w:tcW w:w="0" w:type="auto"/>
            <w:noWrap w:val="0"/>
            <w:tcMar>
              <w:left w:w="28" w:type="dxa"/>
              <w:right w:w="28" w:type="dxa"/>
            </w:tcMar>
            <w:vAlign w:val="center"/>
          </w:tcPr>
          <w:p w14:paraId="1CE0FC8D">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本项目排放量（固体废物产生量）</w:t>
            </w: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4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kern w:val="2"/>
                <w:szCs w:val="21"/>
              </w:rPr>
              <w:t>④</w:t>
            </w:r>
            <w:r>
              <w:rPr>
                <w:rFonts w:hint="default" w:ascii="Times New Roman" w:hAnsi="Times New Roman" w:eastAsia="黑体" w:cs="Times New Roman"/>
                <w:snapToGrid w:val="0"/>
                <w:color w:val="000000"/>
                <w:spacing w:val="-6"/>
                <w:kern w:val="21"/>
                <w:szCs w:val="21"/>
              </w:rPr>
              <w:fldChar w:fldCharType="end"/>
            </w:r>
          </w:p>
        </w:tc>
        <w:tc>
          <w:tcPr>
            <w:tcW w:w="0" w:type="auto"/>
            <w:noWrap w:val="0"/>
            <w:tcMar>
              <w:left w:w="28" w:type="dxa"/>
              <w:right w:w="28" w:type="dxa"/>
            </w:tcMar>
            <w:vAlign w:val="center"/>
          </w:tcPr>
          <w:p w14:paraId="273B14AB">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黑体" w:cs="Times New Roman"/>
                <w:snapToGrid w:val="0"/>
                <w:color w:val="000000"/>
                <w:spacing w:val="-16"/>
                <w:kern w:val="21"/>
                <w:szCs w:val="21"/>
              </w:rPr>
            </w:pPr>
            <w:r>
              <w:rPr>
                <w:rFonts w:hint="default" w:ascii="Times New Roman" w:hAnsi="Times New Roman" w:eastAsia="黑体" w:cs="Times New Roman"/>
                <w:snapToGrid w:val="0"/>
                <w:color w:val="000000"/>
                <w:spacing w:val="-16"/>
                <w:kern w:val="21"/>
                <w:szCs w:val="21"/>
              </w:rPr>
              <w:t>以新带老削减量（新建项目不填）</w:t>
            </w:r>
            <w:r>
              <w:rPr>
                <w:rFonts w:hint="default" w:ascii="Times New Roman" w:hAnsi="Times New Roman" w:eastAsia="黑体" w:cs="Times New Roman"/>
                <w:snapToGrid w:val="0"/>
                <w:color w:val="000000"/>
                <w:spacing w:val="-16"/>
                <w:kern w:val="21"/>
                <w:szCs w:val="21"/>
              </w:rPr>
              <w:fldChar w:fldCharType="begin"/>
            </w:r>
            <w:r>
              <w:rPr>
                <w:rFonts w:hint="default" w:ascii="Times New Roman" w:hAnsi="Times New Roman" w:eastAsia="黑体" w:cs="Times New Roman"/>
                <w:snapToGrid w:val="0"/>
                <w:color w:val="000000"/>
                <w:spacing w:val="-16"/>
                <w:kern w:val="21"/>
                <w:szCs w:val="21"/>
              </w:rPr>
              <w:instrText xml:space="preserve"> = 5 \* GB3 \* MERGEFORMAT </w:instrText>
            </w:r>
            <w:r>
              <w:rPr>
                <w:rFonts w:hint="default" w:ascii="Times New Roman" w:hAnsi="Times New Roman" w:eastAsia="黑体" w:cs="Times New Roman"/>
                <w:snapToGrid w:val="0"/>
                <w:color w:val="000000"/>
                <w:spacing w:val="-16"/>
                <w:kern w:val="21"/>
                <w:szCs w:val="21"/>
              </w:rPr>
              <w:fldChar w:fldCharType="separate"/>
            </w:r>
            <w:r>
              <w:rPr>
                <w:rFonts w:hint="default" w:ascii="Times New Roman" w:hAnsi="Times New Roman" w:eastAsia="黑体" w:cs="Times New Roman"/>
                <w:kern w:val="2"/>
                <w:szCs w:val="21"/>
              </w:rPr>
              <w:t>⑤</w:t>
            </w:r>
            <w:r>
              <w:rPr>
                <w:rFonts w:hint="default" w:ascii="Times New Roman" w:hAnsi="Times New Roman" w:eastAsia="黑体" w:cs="Times New Roman"/>
                <w:snapToGrid w:val="0"/>
                <w:color w:val="000000"/>
                <w:spacing w:val="-16"/>
                <w:kern w:val="21"/>
                <w:szCs w:val="21"/>
              </w:rPr>
              <w:fldChar w:fldCharType="end"/>
            </w:r>
          </w:p>
        </w:tc>
        <w:tc>
          <w:tcPr>
            <w:tcW w:w="0" w:type="auto"/>
            <w:noWrap w:val="0"/>
            <w:tcMar>
              <w:left w:w="28" w:type="dxa"/>
              <w:right w:w="28" w:type="dxa"/>
            </w:tcMar>
            <w:vAlign w:val="center"/>
          </w:tcPr>
          <w:p w14:paraId="3E90CA13">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黑体" w:cs="Times New Roman"/>
                <w:snapToGrid w:val="0"/>
                <w:color w:val="000000"/>
                <w:spacing w:val="-16"/>
                <w:kern w:val="21"/>
                <w:szCs w:val="21"/>
              </w:rPr>
            </w:pPr>
            <w:r>
              <w:rPr>
                <w:rFonts w:hint="default" w:ascii="Times New Roman" w:hAnsi="Times New Roman" w:eastAsia="黑体" w:cs="Times New Roman"/>
                <w:snapToGrid w:val="0"/>
                <w:color w:val="000000"/>
                <w:spacing w:val="-16"/>
                <w:kern w:val="21"/>
                <w:szCs w:val="21"/>
              </w:rPr>
              <w:t>本项目建成后全厂排放量（固体废物产生量）</w:t>
            </w:r>
            <w:r>
              <w:rPr>
                <w:rFonts w:hint="default" w:ascii="Times New Roman" w:hAnsi="Times New Roman" w:eastAsia="黑体" w:cs="Times New Roman"/>
                <w:snapToGrid w:val="0"/>
                <w:color w:val="000000"/>
                <w:spacing w:val="-16"/>
                <w:kern w:val="21"/>
                <w:szCs w:val="21"/>
              </w:rPr>
              <w:fldChar w:fldCharType="begin"/>
            </w:r>
            <w:r>
              <w:rPr>
                <w:rFonts w:hint="default" w:ascii="Times New Roman" w:hAnsi="Times New Roman" w:eastAsia="黑体" w:cs="Times New Roman"/>
                <w:snapToGrid w:val="0"/>
                <w:color w:val="000000"/>
                <w:spacing w:val="-16"/>
                <w:kern w:val="21"/>
                <w:szCs w:val="21"/>
              </w:rPr>
              <w:instrText xml:space="preserve"> = 6 \* GB3 \* MERGEFORMAT </w:instrText>
            </w:r>
            <w:r>
              <w:rPr>
                <w:rFonts w:hint="default" w:ascii="Times New Roman" w:hAnsi="Times New Roman" w:eastAsia="黑体" w:cs="Times New Roman"/>
                <w:snapToGrid w:val="0"/>
                <w:color w:val="000000"/>
                <w:spacing w:val="-16"/>
                <w:kern w:val="21"/>
                <w:szCs w:val="21"/>
              </w:rPr>
              <w:fldChar w:fldCharType="separate"/>
            </w:r>
            <w:r>
              <w:rPr>
                <w:rFonts w:hint="default" w:ascii="Times New Roman" w:hAnsi="Times New Roman" w:eastAsia="黑体" w:cs="Times New Roman"/>
                <w:kern w:val="2"/>
                <w:szCs w:val="21"/>
              </w:rPr>
              <w:t>⑥</w:t>
            </w:r>
            <w:r>
              <w:rPr>
                <w:rFonts w:hint="default" w:ascii="Times New Roman" w:hAnsi="Times New Roman" w:eastAsia="黑体" w:cs="Times New Roman"/>
                <w:snapToGrid w:val="0"/>
                <w:color w:val="000000"/>
                <w:spacing w:val="-16"/>
                <w:kern w:val="21"/>
                <w:szCs w:val="21"/>
              </w:rPr>
              <w:fldChar w:fldCharType="end"/>
            </w:r>
          </w:p>
        </w:tc>
        <w:tc>
          <w:tcPr>
            <w:tcW w:w="0" w:type="auto"/>
            <w:noWrap w:val="0"/>
            <w:tcMar>
              <w:left w:w="28" w:type="dxa"/>
              <w:right w:w="28" w:type="dxa"/>
            </w:tcMar>
            <w:vAlign w:val="center"/>
          </w:tcPr>
          <w:p w14:paraId="4891E1A3">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变化量</w:t>
            </w:r>
          </w:p>
          <w:p w14:paraId="181FEDFD">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7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kern w:val="2"/>
                <w:szCs w:val="21"/>
              </w:rPr>
              <w:t>⑦</w:t>
            </w:r>
            <w:r>
              <w:rPr>
                <w:rFonts w:hint="default" w:ascii="Times New Roman" w:hAnsi="Times New Roman" w:eastAsia="黑体" w:cs="Times New Roman"/>
                <w:snapToGrid w:val="0"/>
                <w:color w:val="000000"/>
                <w:spacing w:val="-6"/>
                <w:kern w:val="21"/>
                <w:szCs w:val="21"/>
              </w:rPr>
              <w:fldChar w:fldCharType="end"/>
            </w:r>
          </w:p>
        </w:tc>
      </w:tr>
      <w:tr w14:paraId="48F71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0C45C698">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废气</w:t>
            </w:r>
          </w:p>
        </w:tc>
        <w:tc>
          <w:tcPr>
            <w:tcW w:w="1115" w:type="dxa"/>
            <w:noWrap w:val="0"/>
            <w:vAlign w:val="center"/>
          </w:tcPr>
          <w:p w14:paraId="65790E7D">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颗粒物</w:t>
            </w:r>
          </w:p>
        </w:tc>
        <w:tc>
          <w:tcPr>
            <w:tcW w:w="1949" w:type="dxa"/>
            <w:noWrap w:val="0"/>
            <w:vAlign w:val="center"/>
          </w:tcPr>
          <w:p w14:paraId="673FEC7F">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55B41164">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18BD37FF">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47BBCA0E">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34.641</w:t>
            </w:r>
            <w:r>
              <w:rPr>
                <w:rFonts w:hint="default" w:ascii="Times New Roman" w:hAnsi="Times New Roman" w:cs="Times New Roman"/>
                <w:snapToGrid w:val="0"/>
                <w:color w:val="000000"/>
                <w:kern w:val="21"/>
                <w:szCs w:val="21"/>
                <w:lang w:val="en-US" w:eastAsia="zh-CN"/>
              </w:rPr>
              <w:t>t/a</w:t>
            </w:r>
          </w:p>
        </w:tc>
        <w:tc>
          <w:tcPr>
            <w:tcW w:w="0" w:type="auto"/>
            <w:noWrap w:val="0"/>
            <w:vAlign w:val="center"/>
          </w:tcPr>
          <w:p w14:paraId="36454AAA">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3FED086E">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cs="Times New Roman"/>
                <w:snapToGrid w:val="0"/>
                <w:color w:val="000000"/>
                <w:kern w:val="21"/>
                <w:szCs w:val="21"/>
              </w:rPr>
            </w:pPr>
            <w:r>
              <w:rPr>
                <w:rFonts w:hint="eastAsia" w:ascii="Times New Roman" w:cs="Times New Roman"/>
                <w:snapToGrid w:val="0"/>
                <w:color w:val="000000"/>
                <w:kern w:val="21"/>
                <w:szCs w:val="21"/>
                <w:lang w:val="en-US" w:eastAsia="zh-CN"/>
              </w:rPr>
              <w:t>34.641</w:t>
            </w:r>
            <w:r>
              <w:rPr>
                <w:rFonts w:hint="default" w:ascii="Times New Roman" w:hAnsi="Times New Roman" w:cs="Times New Roman"/>
                <w:snapToGrid w:val="0"/>
                <w:color w:val="000000"/>
                <w:kern w:val="21"/>
                <w:szCs w:val="21"/>
                <w:lang w:val="en-US" w:eastAsia="zh-CN"/>
              </w:rPr>
              <w:t>t/a</w:t>
            </w:r>
          </w:p>
        </w:tc>
        <w:tc>
          <w:tcPr>
            <w:tcW w:w="0" w:type="auto"/>
            <w:noWrap w:val="0"/>
            <w:vAlign w:val="center"/>
          </w:tcPr>
          <w:p w14:paraId="15ACAADA">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lang w:val="en-US" w:eastAsia="zh-CN"/>
              </w:rPr>
              <w:t>+</w:t>
            </w:r>
            <w:r>
              <w:rPr>
                <w:rFonts w:hint="eastAsia" w:ascii="Times New Roman" w:cs="Times New Roman"/>
                <w:snapToGrid w:val="0"/>
                <w:color w:val="000000"/>
                <w:kern w:val="21"/>
                <w:szCs w:val="21"/>
                <w:lang w:val="en-US" w:eastAsia="zh-CN"/>
              </w:rPr>
              <w:t>34.641</w:t>
            </w:r>
            <w:r>
              <w:rPr>
                <w:rFonts w:hint="default" w:ascii="Times New Roman" w:hAnsi="Times New Roman" w:cs="Times New Roman"/>
                <w:snapToGrid w:val="0"/>
                <w:color w:val="000000"/>
                <w:kern w:val="21"/>
                <w:szCs w:val="21"/>
                <w:lang w:val="en-US" w:eastAsia="zh-CN"/>
              </w:rPr>
              <w:t>t/a</w:t>
            </w:r>
          </w:p>
        </w:tc>
      </w:tr>
      <w:tr w14:paraId="48DB9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restart"/>
            <w:noWrap w:val="0"/>
            <w:vAlign w:val="center"/>
          </w:tcPr>
          <w:p w14:paraId="401C4A1A">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废水</w:t>
            </w:r>
          </w:p>
        </w:tc>
        <w:tc>
          <w:tcPr>
            <w:tcW w:w="1115" w:type="dxa"/>
            <w:noWrap w:val="0"/>
            <w:vAlign w:val="center"/>
          </w:tcPr>
          <w:p w14:paraId="72E1751B">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lang w:val="en-US" w:eastAsia="zh-CN"/>
              </w:rPr>
              <w:t>COD</w:t>
            </w:r>
          </w:p>
        </w:tc>
        <w:tc>
          <w:tcPr>
            <w:tcW w:w="1949" w:type="dxa"/>
            <w:noWrap w:val="0"/>
            <w:vAlign w:val="center"/>
          </w:tcPr>
          <w:p w14:paraId="4BBF24AC">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627367B9">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60C2AF13">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0B73E886">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0.090t/a</w:t>
            </w:r>
          </w:p>
        </w:tc>
        <w:tc>
          <w:tcPr>
            <w:tcW w:w="0" w:type="auto"/>
            <w:noWrap w:val="0"/>
            <w:vAlign w:val="center"/>
          </w:tcPr>
          <w:p w14:paraId="4B210ECA">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6FBA498D">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lang w:val="en-US" w:eastAsia="zh-CN"/>
              </w:rPr>
              <w:t>0.090t/a</w:t>
            </w:r>
          </w:p>
        </w:tc>
        <w:tc>
          <w:tcPr>
            <w:tcW w:w="0" w:type="auto"/>
            <w:noWrap w:val="0"/>
            <w:vAlign w:val="center"/>
          </w:tcPr>
          <w:p w14:paraId="53D7D6FE">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lang w:val="en-US" w:eastAsia="zh-CN"/>
              </w:rPr>
              <w:t>+0.090t/a</w:t>
            </w:r>
          </w:p>
        </w:tc>
      </w:tr>
      <w:tr w14:paraId="69B5DD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2707AE24">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1115" w:type="dxa"/>
            <w:noWrap w:val="0"/>
            <w:vAlign w:val="center"/>
          </w:tcPr>
          <w:p w14:paraId="19681FF1">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lang w:val="en-US" w:eastAsia="zh-CN"/>
              </w:rPr>
              <w:t>氨氮</w:t>
            </w:r>
          </w:p>
        </w:tc>
        <w:tc>
          <w:tcPr>
            <w:tcW w:w="1949" w:type="dxa"/>
            <w:noWrap w:val="0"/>
            <w:vAlign w:val="center"/>
          </w:tcPr>
          <w:p w14:paraId="630510F3">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0611B5BB">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5E718CA0">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051BD92A">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0.014t/a</w:t>
            </w:r>
          </w:p>
        </w:tc>
        <w:tc>
          <w:tcPr>
            <w:tcW w:w="0" w:type="auto"/>
            <w:noWrap w:val="0"/>
            <w:vAlign w:val="center"/>
          </w:tcPr>
          <w:p w14:paraId="48D86875">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28D4418C">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lang w:val="en-US" w:eastAsia="zh-CN"/>
              </w:rPr>
              <w:t>0.014t/a</w:t>
            </w:r>
          </w:p>
        </w:tc>
        <w:tc>
          <w:tcPr>
            <w:tcW w:w="0" w:type="auto"/>
            <w:noWrap w:val="0"/>
            <w:vAlign w:val="center"/>
          </w:tcPr>
          <w:p w14:paraId="1F75BEEB">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lang w:val="en-US" w:eastAsia="zh-CN"/>
              </w:rPr>
              <w:t>+0.014t/a</w:t>
            </w:r>
          </w:p>
        </w:tc>
      </w:tr>
      <w:tr w14:paraId="6A9191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0" w:type="auto"/>
            <w:vMerge w:val="restart"/>
            <w:noWrap w:val="0"/>
            <w:vAlign w:val="center"/>
          </w:tcPr>
          <w:p w14:paraId="04CBE73E">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一般工业</w:t>
            </w:r>
          </w:p>
          <w:p w14:paraId="3C098609">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固体废物</w:t>
            </w:r>
          </w:p>
        </w:tc>
        <w:tc>
          <w:tcPr>
            <w:tcW w:w="1115" w:type="dxa"/>
            <w:noWrap w:val="0"/>
            <w:vAlign w:val="center"/>
          </w:tcPr>
          <w:p w14:paraId="311B8550">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废包装袋</w:t>
            </w:r>
          </w:p>
        </w:tc>
        <w:tc>
          <w:tcPr>
            <w:tcW w:w="1949" w:type="dxa"/>
            <w:noWrap w:val="0"/>
            <w:vAlign w:val="center"/>
          </w:tcPr>
          <w:p w14:paraId="45E9448A">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46ADB4E5">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01461D87">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61588B43">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10t/a</w:t>
            </w:r>
          </w:p>
        </w:tc>
        <w:tc>
          <w:tcPr>
            <w:tcW w:w="0" w:type="auto"/>
            <w:noWrap w:val="0"/>
            <w:vAlign w:val="center"/>
          </w:tcPr>
          <w:p w14:paraId="4F7A012A">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4AE47E21">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lang w:val="en-US" w:eastAsia="zh-CN"/>
              </w:rPr>
              <w:t>10t/a</w:t>
            </w:r>
          </w:p>
        </w:tc>
        <w:tc>
          <w:tcPr>
            <w:tcW w:w="0" w:type="auto"/>
            <w:noWrap w:val="0"/>
            <w:vAlign w:val="center"/>
          </w:tcPr>
          <w:p w14:paraId="3315A168">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lang w:val="en-US" w:eastAsia="zh-CN"/>
              </w:rPr>
              <w:t>+10t/a</w:t>
            </w:r>
          </w:p>
        </w:tc>
      </w:tr>
      <w:tr w14:paraId="0BF57E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79B149A5">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1115" w:type="dxa"/>
            <w:noWrap w:val="0"/>
            <w:vAlign w:val="center"/>
          </w:tcPr>
          <w:p w14:paraId="5315A4EC">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废布袋</w:t>
            </w:r>
          </w:p>
        </w:tc>
        <w:tc>
          <w:tcPr>
            <w:tcW w:w="1949" w:type="dxa"/>
            <w:noWrap w:val="0"/>
            <w:vAlign w:val="center"/>
          </w:tcPr>
          <w:p w14:paraId="774DE973">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7EC00380">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7882D439">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3FDFE6EA">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0.1t/a</w:t>
            </w:r>
          </w:p>
        </w:tc>
        <w:tc>
          <w:tcPr>
            <w:tcW w:w="0" w:type="auto"/>
            <w:noWrap w:val="0"/>
            <w:vAlign w:val="center"/>
          </w:tcPr>
          <w:p w14:paraId="0757F84D">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79DC7464">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lang w:val="en-US" w:eastAsia="zh-CN"/>
              </w:rPr>
              <w:t>0.1t/a</w:t>
            </w:r>
          </w:p>
        </w:tc>
        <w:tc>
          <w:tcPr>
            <w:tcW w:w="0" w:type="auto"/>
            <w:noWrap w:val="0"/>
            <w:vAlign w:val="center"/>
          </w:tcPr>
          <w:p w14:paraId="775151F2">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lang w:val="en-US" w:eastAsia="zh-CN"/>
              </w:rPr>
              <w:t>+0.1t/a</w:t>
            </w:r>
          </w:p>
        </w:tc>
      </w:tr>
      <w:tr w14:paraId="72254C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restart"/>
            <w:noWrap w:val="0"/>
            <w:vAlign w:val="center"/>
          </w:tcPr>
          <w:p w14:paraId="0C91E01E">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危险废物</w:t>
            </w:r>
          </w:p>
        </w:tc>
        <w:tc>
          <w:tcPr>
            <w:tcW w:w="1115" w:type="dxa"/>
            <w:noWrap w:val="0"/>
            <w:vAlign w:val="center"/>
          </w:tcPr>
          <w:p w14:paraId="1B8BD617">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废润滑油</w:t>
            </w:r>
          </w:p>
        </w:tc>
        <w:tc>
          <w:tcPr>
            <w:tcW w:w="1949" w:type="dxa"/>
            <w:noWrap w:val="0"/>
            <w:vAlign w:val="center"/>
          </w:tcPr>
          <w:p w14:paraId="25D88448">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42CA45CE">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7488DD26">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71940117">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0.1t/a</w:t>
            </w:r>
          </w:p>
        </w:tc>
        <w:tc>
          <w:tcPr>
            <w:tcW w:w="0" w:type="auto"/>
            <w:noWrap w:val="0"/>
            <w:vAlign w:val="center"/>
          </w:tcPr>
          <w:p w14:paraId="68C9631B">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3ACB27B2">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lang w:val="en-US" w:eastAsia="zh-CN"/>
              </w:rPr>
              <w:t>0.1t/a</w:t>
            </w:r>
          </w:p>
        </w:tc>
        <w:tc>
          <w:tcPr>
            <w:tcW w:w="0" w:type="auto"/>
            <w:noWrap w:val="0"/>
            <w:vAlign w:val="center"/>
          </w:tcPr>
          <w:p w14:paraId="2DD51DEF">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lang w:val="en-US" w:eastAsia="zh-CN"/>
              </w:rPr>
              <w:t>+0.1t/a</w:t>
            </w:r>
          </w:p>
        </w:tc>
      </w:tr>
      <w:tr w14:paraId="5E2CA3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4A9DB30F">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1115" w:type="dxa"/>
            <w:noWrap w:val="0"/>
            <w:vAlign w:val="center"/>
          </w:tcPr>
          <w:p w14:paraId="33B7BD05">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废油桶</w:t>
            </w:r>
          </w:p>
        </w:tc>
        <w:tc>
          <w:tcPr>
            <w:tcW w:w="1949" w:type="dxa"/>
            <w:noWrap w:val="0"/>
            <w:vAlign w:val="center"/>
          </w:tcPr>
          <w:p w14:paraId="3C5FEDA2">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424297DE">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6DB01C85">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15A024B4">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0.05t/a</w:t>
            </w:r>
          </w:p>
        </w:tc>
        <w:tc>
          <w:tcPr>
            <w:tcW w:w="0" w:type="auto"/>
            <w:noWrap w:val="0"/>
            <w:vAlign w:val="center"/>
          </w:tcPr>
          <w:p w14:paraId="0FF4EE54">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cs="Times New Roman"/>
                <w:snapToGrid w:val="0"/>
                <w:color w:val="000000"/>
                <w:kern w:val="21"/>
                <w:szCs w:val="21"/>
              </w:rPr>
            </w:pPr>
          </w:p>
        </w:tc>
        <w:tc>
          <w:tcPr>
            <w:tcW w:w="0" w:type="auto"/>
            <w:noWrap w:val="0"/>
            <w:vAlign w:val="center"/>
          </w:tcPr>
          <w:p w14:paraId="42379E18">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lang w:val="en-US" w:eastAsia="zh-CN"/>
              </w:rPr>
              <w:t>0.05t/a</w:t>
            </w:r>
          </w:p>
        </w:tc>
        <w:tc>
          <w:tcPr>
            <w:tcW w:w="0" w:type="auto"/>
            <w:noWrap w:val="0"/>
            <w:vAlign w:val="center"/>
          </w:tcPr>
          <w:p w14:paraId="3C1470A2">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lang w:val="en-US" w:eastAsia="zh-CN"/>
              </w:rPr>
              <w:t>+0.05t/a</w:t>
            </w:r>
          </w:p>
        </w:tc>
      </w:tr>
    </w:tbl>
    <w:p w14:paraId="26DB9BFB">
      <w:pPr>
        <w:pStyle w:val="41"/>
        <w:spacing w:before="192" w:beforeLines="80" w:after="24"/>
        <w:jc w:val="left"/>
        <w:rPr>
          <w:rFonts w:hint="eastAsia" w:hAnsi="宋体"/>
          <w:snapToGrid w:val="0"/>
          <w:color w:val="000000"/>
          <w:spacing w:val="-6"/>
          <w:kern w:val="21"/>
          <w:szCs w:val="21"/>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14:paraId="1AB098D4">
      <w:pPr>
        <w:rPr>
          <w:rFonts w:hint="eastAsia"/>
        </w:rPr>
      </w:pPr>
    </w:p>
    <w:sectPr>
      <w:footerReference r:id="rId7"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6DC3D">
    <w:pPr>
      <w:pStyle w:val="1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BB7A6">
    <w:pPr>
      <w:pStyle w:val="15"/>
      <w:framePr w:wrap="around" w:vAnchor="text" w:hAnchor="margin" w:xAlign="center" w:y="1"/>
      <w:rPr>
        <w:rStyle w:val="27"/>
      </w:rPr>
    </w:pPr>
    <w:r>
      <w:fldChar w:fldCharType="begin"/>
    </w:r>
    <w:r>
      <w:rPr>
        <w:rStyle w:val="27"/>
      </w:rPr>
      <w:instrText xml:space="preserve">PAGE  </w:instrText>
    </w:r>
    <w:r>
      <w:fldChar w:fldCharType="end"/>
    </w:r>
  </w:p>
  <w:p w14:paraId="44D02907">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BC54">
    <w:pPr>
      <w:pStyle w:val="15"/>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DBA556">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IHuxyjgAQAAwgMAAA4AAAAA&#10;AAAAAQAgAAAAHgEAAGRycy9lMm9Eb2MueG1sUEsFBgAAAAAGAAYAWQEAAHAFAAAAAA==&#10;">
              <v:fill on="f" focussize="0,0"/>
              <v:stroke on="f"/>
              <v:imagedata o:title=""/>
              <o:lock v:ext="edit" aspectratio="f"/>
              <v:textbox inset="0mm,0mm,0mm,0mm" style="mso-fit-shape-to-text:t;">
                <w:txbxContent>
                  <w:p w14:paraId="64DBA556">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A9F6">
    <w:pPr>
      <w:pStyle w:val="15"/>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CE64A2">
                          <w:pPr>
                            <w:pStyle w:val="15"/>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qtglw4QEAAMIDAAAOAAAA&#10;AAAAAAEAIAAAAB4BAABkcnMvZTJvRG9jLnhtbFBLBQYAAAAABgAGAFkBAABxBQAAAAA=&#10;">
              <v:fill on="f" focussize="0,0"/>
              <v:stroke on="f"/>
              <v:imagedata o:title=""/>
              <o:lock v:ext="edit" aspectratio="f"/>
              <v:textbox inset="0mm,0mm,0mm,0mm" style="mso-fit-shape-to-text:t;">
                <w:txbxContent>
                  <w:p w14:paraId="44CE64A2">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FAE5F">
    <w:pPr>
      <w:pStyle w:val="15"/>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BC875F">
                          <w:pPr>
                            <w:pStyle w:val="15"/>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31ZSi+IBAADCAwAADgAA&#10;AAAAAAABACAAAAAeAQAAZHJzL2Uyb0RvYy54bWxQSwUGAAAAAAYABgBZAQAAcgUAAAAA&#10;">
              <v:fill on="f" focussize="0,0"/>
              <v:stroke on="f"/>
              <v:imagedata o:title=""/>
              <o:lock v:ext="edit" aspectratio="f"/>
              <v:textbox inset="0mm,0mm,0mm,0mm" style="mso-fit-shape-to-text:t;">
                <w:txbxContent>
                  <w:p w14:paraId="73BC875F">
                    <w:pPr>
                      <w:pStyle w:val="15"/>
                    </w:pPr>
                    <w:r>
                      <w:fldChar w:fldCharType="begin"/>
                    </w:r>
                    <w:r>
                      <w:instrText xml:space="preserve"> PAGE  \* MERGEFORMAT </w:instrText>
                    </w:r>
                    <w:r>
                      <w:fldChar w:fldCharType="separate"/>
                    </w:r>
                    <w: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6EEB3"/>
    <w:multiLevelType w:val="singleLevel"/>
    <w:tmpl w:val="84E6EEB3"/>
    <w:lvl w:ilvl="0" w:tentative="0">
      <w:start w:val="1"/>
      <w:numFmt w:val="decimal"/>
      <w:suff w:val="nothing"/>
      <w:lvlText w:val="%1、"/>
      <w:lvlJc w:val="left"/>
    </w:lvl>
  </w:abstractNum>
  <w:abstractNum w:abstractNumId="1">
    <w:nsid w:val="F12B7BBF"/>
    <w:multiLevelType w:val="singleLevel"/>
    <w:tmpl w:val="F12B7BBF"/>
    <w:lvl w:ilvl="0" w:tentative="0">
      <w:start w:val="2"/>
      <w:numFmt w:val="decimal"/>
      <w:suff w:val="nothing"/>
      <w:lvlText w:val="%1、"/>
      <w:lvlJc w:val="left"/>
    </w:lvl>
  </w:abstractNum>
  <w:abstractNum w:abstractNumId="2">
    <w:nsid w:val="3A0E0BF3"/>
    <w:multiLevelType w:val="singleLevel"/>
    <w:tmpl w:val="3A0E0BF3"/>
    <w:lvl w:ilvl="0" w:tentative="0">
      <w:start w:val="4"/>
      <w:numFmt w:val="decimal"/>
      <w:suff w:val="nothing"/>
      <w:lvlText w:val="（%1）"/>
      <w:lvlJc w:val="left"/>
    </w:lvl>
  </w:abstractNum>
  <w:abstractNum w:abstractNumId="3">
    <w:nsid w:val="710D30EC"/>
    <w:multiLevelType w:val="singleLevel"/>
    <w:tmpl w:val="710D30EC"/>
    <w:lvl w:ilvl="0" w:tentative="0">
      <w:start w:val="1"/>
      <w:numFmt w:val="bullet"/>
      <w:pStyle w:val="12"/>
      <w:lvlText w:val=""/>
      <w:lvlJc w:val="left"/>
      <w:pPr>
        <w:tabs>
          <w:tab w:val="left" w:pos="2040"/>
        </w:tabs>
        <w:ind w:left="2040" w:hanging="360"/>
      </w:pPr>
      <w:rPr>
        <w:rFonts w:hint="default"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wNTEzNzcxYTlkYWQyNDdmMmE4MTNkOGI2ZmQ2NmIifQ=="/>
  </w:docVars>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60694"/>
    <w:rsid w:val="00F74345"/>
    <w:rsid w:val="00F80A0A"/>
    <w:rsid w:val="00F82B19"/>
    <w:rsid w:val="00F9212D"/>
    <w:rsid w:val="00F965DA"/>
    <w:rsid w:val="00FA406A"/>
    <w:rsid w:val="00FB503A"/>
    <w:rsid w:val="00FB516C"/>
    <w:rsid w:val="00FD0236"/>
    <w:rsid w:val="00FD18F4"/>
    <w:rsid w:val="00FD54DB"/>
    <w:rsid w:val="00FD619F"/>
    <w:rsid w:val="01290F7E"/>
    <w:rsid w:val="015D1E09"/>
    <w:rsid w:val="0177297E"/>
    <w:rsid w:val="019B3634"/>
    <w:rsid w:val="019B7612"/>
    <w:rsid w:val="02697903"/>
    <w:rsid w:val="02C60B85"/>
    <w:rsid w:val="02F96569"/>
    <w:rsid w:val="03374001"/>
    <w:rsid w:val="03D251BA"/>
    <w:rsid w:val="03EA7B21"/>
    <w:rsid w:val="04933E65"/>
    <w:rsid w:val="04CB4231"/>
    <w:rsid w:val="05F83EAE"/>
    <w:rsid w:val="063E7D85"/>
    <w:rsid w:val="07293586"/>
    <w:rsid w:val="07295285"/>
    <w:rsid w:val="07636392"/>
    <w:rsid w:val="076E3F95"/>
    <w:rsid w:val="07770C56"/>
    <w:rsid w:val="078827B8"/>
    <w:rsid w:val="088C03A9"/>
    <w:rsid w:val="08947D00"/>
    <w:rsid w:val="08DC5C2E"/>
    <w:rsid w:val="08FC0E5C"/>
    <w:rsid w:val="092217DD"/>
    <w:rsid w:val="093A7294"/>
    <w:rsid w:val="09AF5ECF"/>
    <w:rsid w:val="0A263993"/>
    <w:rsid w:val="0A2D3AC2"/>
    <w:rsid w:val="0AA755DF"/>
    <w:rsid w:val="0B120D44"/>
    <w:rsid w:val="0B747091"/>
    <w:rsid w:val="0BD27BF6"/>
    <w:rsid w:val="0C31051F"/>
    <w:rsid w:val="0C3B3C7D"/>
    <w:rsid w:val="0C965124"/>
    <w:rsid w:val="0CAB2EAE"/>
    <w:rsid w:val="0D621C7D"/>
    <w:rsid w:val="0D9C5E7A"/>
    <w:rsid w:val="0D9D24E2"/>
    <w:rsid w:val="0DC72DAB"/>
    <w:rsid w:val="0DE95727"/>
    <w:rsid w:val="0DF92D04"/>
    <w:rsid w:val="0DFF4290"/>
    <w:rsid w:val="0E73034D"/>
    <w:rsid w:val="0F13775A"/>
    <w:rsid w:val="0F2B2C3B"/>
    <w:rsid w:val="0F5F45FE"/>
    <w:rsid w:val="0F8E2D11"/>
    <w:rsid w:val="0F9A112B"/>
    <w:rsid w:val="0F9E0F56"/>
    <w:rsid w:val="106D2F64"/>
    <w:rsid w:val="10B63710"/>
    <w:rsid w:val="10E84A64"/>
    <w:rsid w:val="10F10820"/>
    <w:rsid w:val="10FD1C16"/>
    <w:rsid w:val="111C2F7A"/>
    <w:rsid w:val="114B6850"/>
    <w:rsid w:val="114E2471"/>
    <w:rsid w:val="115D7099"/>
    <w:rsid w:val="11665CA1"/>
    <w:rsid w:val="1176219F"/>
    <w:rsid w:val="11B85757"/>
    <w:rsid w:val="11D124E6"/>
    <w:rsid w:val="11D24E50"/>
    <w:rsid w:val="128D521B"/>
    <w:rsid w:val="13826402"/>
    <w:rsid w:val="13951726"/>
    <w:rsid w:val="14396509"/>
    <w:rsid w:val="14DD2C3C"/>
    <w:rsid w:val="14E44445"/>
    <w:rsid w:val="15EE2A3C"/>
    <w:rsid w:val="16087E1D"/>
    <w:rsid w:val="168F7E12"/>
    <w:rsid w:val="17231CAA"/>
    <w:rsid w:val="17701D14"/>
    <w:rsid w:val="17735226"/>
    <w:rsid w:val="189F624C"/>
    <w:rsid w:val="1A1C66C0"/>
    <w:rsid w:val="1A42393B"/>
    <w:rsid w:val="1A785AC8"/>
    <w:rsid w:val="1AAD45DE"/>
    <w:rsid w:val="1B046F80"/>
    <w:rsid w:val="1B1711D0"/>
    <w:rsid w:val="1B3267B5"/>
    <w:rsid w:val="1B40161D"/>
    <w:rsid w:val="1B441859"/>
    <w:rsid w:val="1B6606B1"/>
    <w:rsid w:val="1B7E3953"/>
    <w:rsid w:val="1BA951FF"/>
    <w:rsid w:val="1C5E7925"/>
    <w:rsid w:val="1CC53865"/>
    <w:rsid w:val="1CFD070F"/>
    <w:rsid w:val="1D5F6196"/>
    <w:rsid w:val="1D6132A5"/>
    <w:rsid w:val="1D810C3B"/>
    <w:rsid w:val="1D8E56D5"/>
    <w:rsid w:val="1DAA4ED3"/>
    <w:rsid w:val="1E7A43DA"/>
    <w:rsid w:val="1EFD1033"/>
    <w:rsid w:val="1F334A54"/>
    <w:rsid w:val="1F95589C"/>
    <w:rsid w:val="1FAF2176"/>
    <w:rsid w:val="1FE7539E"/>
    <w:rsid w:val="20253112"/>
    <w:rsid w:val="20671BE0"/>
    <w:rsid w:val="20963CB8"/>
    <w:rsid w:val="20A81A1B"/>
    <w:rsid w:val="20B07FB6"/>
    <w:rsid w:val="20B646FB"/>
    <w:rsid w:val="211205A7"/>
    <w:rsid w:val="213B74B1"/>
    <w:rsid w:val="215A2310"/>
    <w:rsid w:val="21DE318A"/>
    <w:rsid w:val="21EF5B80"/>
    <w:rsid w:val="22576990"/>
    <w:rsid w:val="22F47480"/>
    <w:rsid w:val="23DE1C48"/>
    <w:rsid w:val="240210CD"/>
    <w:rsid w:val="24535DC4"/>
    <w:rsid w:val="24836C96"/>
    <w:rsid w:val="24BF09F7"/>
    <w:rsid w:val="250A2700"/>
    <w:rsid w:val="252D53FE"/>
    <w:rsid w:val="25753B62"/>
    <w:rsid w:val="25EC2D81"/>
    <w:rsid w:val="262D1B51"/>
    <w:rsid w:val="277057A2"/>
    <w:rsid w:val="28E026ED"/>
    <w:rsid w:val="28E944C3"/>
    <w:rsid w:val="291B7FCD"/>
    <w:rsid w:val="29206EB8"/>
    <w:rsid w:val="29595666"/>
    <w:rsid w:val="2987431B"/>
    <w:rsid w:val="29874881"/>
    <w:rsid w:val="29E325E0"/>
    <w:rsid w:val="29FF2103"/>
    <w:rsid w:val="2A452503"/>
    <w:rsid w:val="2B957328"/>
    <w:rsid w:val="2BA936A8"/>
    <w:rsid w:val="2C315A5A"/>
    <w:rsid w:val="2C4B1C25"/>
    <w:rsid w:val="2C520C10"/>
    <w:rsid w:val="2D9E56F5"/>
    <w:rsid w:val="2E1A575D"/>
    <w:rsid w:val="2E667F96"/>
    <w:rsid w:val="2E8226AB"/>
    <w:rsid w:val="2FC82B11"/>
    <w:rsid w:val="2FD065E6"/>
    <w:rsid w:val="2FD96870"/>
    <w:rsid w:val="30580BC9"/>
    <w:rsid w:val="308158FC"/>
    <w:rsid w:val="30BC6FA0"/>
    <w:rsid w:val="310B6BA7"/>
    <w:rsid w:val="311E2ED7"/>
    <w:rsid w:val="31213A03"/>
    <w:rsid w:val="315619EE"/>
    <w:rsid w:val="315C449C"/>
    <w:rsid w:val="316F28AF"/>
    <w:rsid w:val="31B82709"/>
    <w:rsid w:val="31CC54DE"/>
    <w:rsid w:val="31D05482"/>
    <w:rsid w:val="32400B34"/>
    <w:rsid w:val="329E6876"/>
    <w:rsid w:val="333015F2"/>
    <w:rsid w:val="334B6320"/>
    <w:rsid w:val="33B32479"/>
    <w:rsid w:val="33D934D4"/>
    <w:rsid w:val="33FE2F6A"/>
    <w:rsid w:val="340E07E5"/>
    <w:rsid w:val="34235BF7"/>
    <w:rsid w:val="35156C7E"/>
    <w:rsid w:val="358C5FA8"/>
    <w:rsid w:val="35C15DF1"/>
    <w:rsid w:val="36074A7F"/>
    <w:rsid w:val="36923549"/>
    <w:rsid w:val="36B75FBF"/>
    <w:rsid w:val="36BD0C45"/>
    <w:rsid w:val="36E0506A"/>
    <w:rsid w:val="36FF269A"/>
    <w:rsid w:val="376932B2"/>
    <w:rsid w:val="37B02C8E"/>
    <w:rsid w:val="37E00298"/>
    <w:rsid w:val="38B302F9"/>
    <w:rsid w:val="38CF35E8"/>
    <w:rsid w:val="38F12CD3"/>
    <w:rsid w:val="38F94775"/>
    <w:rsid w:val="392971ED"/>
    <w:rsid w:val="39325651"/>
    <w:rsid w:val="39482E47"/>
    <w:rsid w:val="39F2758E"/>
    <w:rsid w:val="3A52002D"/>
    <w:rsid w:val="3A872856"/>
    <w:rsid w:val="3B3763D1"/>
    <w:rsid w:val="3C2F6E1E"/>
    <w:rsid w:val="3C4F64BA"/>
    <w:rsid w:val="3C5D3843"/>
    <w:rsid w:val="3CDA245A"/>
    <w:rsid w:val="3D080568"/>
    <w:rsid w:val="3D1E06B7"/>
    <w:rsid w:val="3DA94408"/>
    <w:rsid w:val="3EDA0523"/>
    <w:rsid w:val="3F487C50"/>
    <w:rsid w:val="3F922F7B"/>
    <w:rsid w:val="401533EC"/>
    <w:rsid w:val="406311E6"/>
    <w:rsid w:val="407A6407"/>
    <w:rsid w:val="419E4983"/>
    <w:rsid w:val="41B63597"/>
    <w:rsid w:val="4200449D"/>
    <w:rsid w:val="423A3BCC"/>
    <w:rsid w:val="424E57D2"/>
    <w:rsid w:val="42613503"/>
    <w:rsid w:val="42B26C49"/>
    <w:rsid w:val="430F5A1A"/>
    <w:rsid w:val="433A6FE6"/>
    <w:rsid w:val="43480868"/>
    <w:rsid w:val="4350713C"/>
    <w:rsid w:val="436653E0"/>
    <w:rsid w:val="43C4431A"/>
    <w:rsid w:val="44B951CC"/>
    <w:rsid w:val="44CD14E0"/>
    <w:rsid w:val="44F20B0B"/>
    <w:rsid w:val="452E5F4C"/>
    <w:rsid w:val="45612018"/>
    <w:rsid w:val="458946E9"/>
    <w:rsid w:val="45A47C0E"/>
    <w:rsid w:val="460743C1"/>
    <w:rsid w:val="46080139"/>
    <w:rsid w:val="46577FD6"/>
    <w:rsid w:val="467F4857"/>
    <w:rsid w:val="46D955A7"/>
    <w:rsid w:val="47133957"/>
    <w:rsid w:val="47A07E0C"/>
    <w:rsid w:val="4870272E"/>
    <w:rsid w:val="49DC7715"/>
    <w:rsid w:val="4A023139"/>
    <w:rsid w:val="4A203CA4"/>
    <w:rsid w:val="4A3F415E"/>
    <w:rsid w:val="4A7B576F"/>
    <w:rsid w:val="4AF561A9"/>
    <w:rsid w:val="4C3208C5"/>
    <w:rsid w:val="4C40421F"/>
    <w:rsid w:val="4C4A0649"/>
    <w:rsid w:val="4C7E5ECA"/>
    <w:rsid w:val="4C876AA5"/>
    <w:rsid w:val="4D0E00FB"/>
    <w:rsid w:val="4D176606"/>
    <w:rsid w:val="4DEC4FB0"/>
    <w:rsid w:val="4E075D8A"/>
    <w:rsid w:val="4EB62E28"/>
    <w:rsid w:val="4EC00FAD"/>
    <w:rsid w:val="4F38383D"/>
    <w:rsid w:val="4F9843DC"/>
    <w:rsid w:val="4FC62A8C"/>
    <w:rsid w:val="4FE20F0D"/>
    <w:rsid w:val="4FE51552"/>
    <w:rsid w:val="50504C4B"/>
    <w:rsid w:val="509C6E7C"/>
    <w:rsid w:val="5162104E"/>
    <w:rsid w:val="51AA27EF"/>
    <w:rsid w:val="51E952C3"/>
    <w:rsid w:val="5230745E"/>
    <w:rsid w:val="53174FCC"/>
    <w:rsid w:val="53972A14"/>
    <w:rsid w:val="53A039CC"/>
    <w:rsid w:val="53A1505A"/>
    <w:rsid w:val="54063E08"/>
    <w:rsid w:val="543437E8"/>
    <w:rsid w:val="54F73313"/>
    <w:rsid w:val="54F80955"/>
    <w:rsid w:val="550B72FE"/>
    <w:rsid w:val="555170A7"/>
    <w:rsid w:val="5587536D"/>
    <w:rsid w:val="559B174B"/>
    <w:rsid w:val="55CE0CF4"/>
    <w:rsid w:val="56B22A9C"/>
    <w:rsid w:val="57294F53"/>
    <w:rsid w:val="573D56C4"/>
    <w:rsid w:val="5765363E"/>
    <w:rsid w:val="57B72A76"/>
    <w:rsid w:val="57C3426C"/>
    <w:rsid w:val="57CE1F93"/>
    <w:rsid w:val="58207565"/>
    <w:rsid w:val="582C415B"/>
    <w:rsid w:val="58823D7B"/>
    <w:rsid w:val="588743D1"/>
    <w:rsid w:val="5887701A"/>
    <w:rsid w:val="59C0439F"/>
    <w:rsid w:val="5A715E56"/>
    <w:rsid w:val="5A821212"/>
    <w:rsid w:val="5ABE2233"/>
    <w:rsid w:val="5BDF5D95"/>
    <w:rsid w:val="5BFE7528"/>
    <w:rsid w:val="5C8C6AE2"/>
    <w:rsid w:val="5D096819"/>
    <w:rsid w:val="5E2467F1"/>
    <w:rsid w:val="5F1323DD"/>
    <w:rsid w:val="5F1A2B43"/>
    <w:rsid w:val="5F5C5FB8"/>
    <w:rsid w:val="5FB837BB"/>
    <w:rsid w:val="60CC405A"/>
    <w:rsid w:val="60D4713E"/>
    <w:rsid w:val="610C3E53"/>
    <w:rsid w:val="613C7014"/>
    <w:rsid w:val="61E215D8"/>
    <w:rsid w:val="621B3775"/>
    <w:rsid w:val="62364782"/>
    <w:rsid w:val="6394356A"/>
    <w:rsid w:val="63C61B2C"/>
    <w:rsid w:val="63D40BE9"/>
    <w:rsid w:val="640F0BB9"/>
    <w:rsid w:val="64102431"/>
    <w:rsid w:val="64882719"/>
    <w:rsid w:val="64A5243A"/>
    <w:rsid w:val="64BE1FF7"/>
    <w:rsid w:val="64DD4813"/>
    <w:rsid w:val="64F531DE"/>
    <w:rsid w:val="64FE478A"/>
    <w:rsid w:val="651E4E2C"/>
    <w:rsid w:val="65373578"/>
    <w:rsid w:val="65684030"/>
    <w:rsid w:val="65FF7BE0"/>
    <w:rsid w:val="671F124A"/>
    <w:rsid w:val="677A33C6"/>
    <w:rsid w:val="681F6961"/>
    <w:rsid w:val="68610A2F"/>
    <w:rsid w:val="68805514"/>
    <w:rsid w:val="69316E2F"/>
    <w:rsid w:val="694E2071"/>
    <w:rsid w:val="69766163"/>
    <w:rsid w:val="697A3B33"/>
    <w:rsid w:val="69D44760"/>
    <w:rsid w:val="69DB46C7"/>
    <w:rsid w:val="6A246A40"/>
    <w:rsid w:val="6A520EC7"/>
    <w:rsid w:val="6AF87E20"/>
    <w:rsid w:val="6AFA59F3"/>
    <w:rsid w:val="6B322639"/>
    <w:rsid w:val="6BBA0FD5"/>
    <w:rsid w:val="6C636C38"/>
    <w:rsid w:val="6D8343C6"/>
    <w:rsid w:val="6DB34098"/>
    <w:rsid w:val="6DB545B6"/>
    <w:rsid w:val="6DE02FB4"/>
    <w:rsid w:val="6E431299"/>
    <w:rsid w:val="6E514CED"/>
    <w:rsid w:val="6EB563D5"/>
    <w:rsid w:val="6ED92677"/>
    <w:rsid w:val="6F225983"/>
    <w:rsid w:val="6FCA567B"/>
    <w:rsid w:val="6FFC5590"/>
    <w:rsid w:val="706D1DD0"/>
    <w:rsid w:val="70856B87"/>
    <w:rsid w:val="709661BE"/>
    <w:rsid w:val="709A7A5C"/>
    <w:rsid w:val="70D527EE"/>
    <w:rsid w:val="70F25C28"/>
    <w:rsid w:val="715B5300"/>
    <w:rsid w:val="718A2ADC"/>
    <w:rsid w:val="71D27F8A"/>
    <w:rsid w:val="7200343B"/>
    <w:rsid w:val="72553024"/>
    <w:rsid w:val="73122968"/>
    <w:rsid w:val="731F5D5E"/>
    <w:rsid w:val="735D2FC3"/>
    <w:rsid w:val="73C51AD5"/>
    <w:rsid w:val="741E793C"/>
    <w:rsid w:val="745E3944"/>
    <w:rsid w:val="74C50E20"/>
    <w:rsid w:val="75734202"/>
    <w:rsid w:val="7635099D"/>
    <w:rsid w:val="77567622"/>
    <w:rsid w:val="77762421"/>
    <w:rsid w:val="778411C5"/>
    <w:rsid w:val="77B56B1F"/>
    <w:rsid w:val="77C96E79"/>
    <w:rsid w:val="780F09F4"/>
    <w:rsid w:val="78A90480"/>
    <w:rsid w:val="7A364017"/>
    <w:rsid w:val="7A8265E1"/>
    <w:rsid w:val="7AAF15C6"/>
    <w:rsid w:val="7B686D42"/>
    <w:rsid w:val="7B841746"/>
    <w:rsid w:val="7C2F7BF3"/>
    <w:rsid w:val="7C6C5AC7"/>
    <w:rsid w:val="7CC6544B"/>
    <w:rsid w:val="7D0239FF"/>
    <w:rsid w:val="7D5E40CD"/>
    <w:rsid w:val="7DCD56F2"/>
    <w:rsid w:val="7E8F4979"/>
    <w:rsid w:val="7F001CE7"/>
    <w:rsid w:val="7F437511"/>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qFormat="1"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qFormat/>
    <w:locked/>
    <w:uiPriority w:val="0"/>
    <w:pPr>
      <w:keepNext/>
      <w:keepLines/>
      <w:adjustRightInd w:val="0"/>
      <w:snapToGrid w:val="0"/>
      <w:spacing w:beforeLines="0" w:afterLines="0" w:line="360" w:lineRule="auto"/>
      <w:ind w:firstLine="0" w:firstLineChars="0"/>
      <w:outlineLvl w:val="1"/>
    </w:pPr>
    <w:rPr>
      <w:b/>
      <w:bCs/>
      <w:sz w:val="24"/>
      <w:szCs w:val="32"/>
    </w:rPr>
  </w:style>
  <w:style w:type="paragraph" w:styleId="5">
    <w:name w:val="heading 3"/>
    <w:basedOn w:val="1"/>
    <w:next w:val="1"/>
    <w:unhideWhenUsed/>
    <w:qFormat/>
    <w:locked/>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6">
    <w:name w:val="heading 4"/>
    <w:basedOn w:val="1"/>
    <w:next w:val="1"/>
    <w:qFormat/>
    <w:locked/>
    <w:uiPriority w:val="0"/>
    <w:pPr>
      <w:spacing w:line="240" w:lineRule="auto"/>
      <w:ind w:firstLine="600" w:firstLineChars="200"/>
      <w:outlineLvl w:val="3"/>
    </w:pPr>
    <w:rPr>
      <w:rFonts w:ascii="Times New Roman" w:hAnsi="Times New Roman" w:eastAsia="宋体"/>
      <w:b/>
      <w:bCs/>
      <w:sz w:val="21"/>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locked/>
    <w:uiPriority w:val="0"/>
    <w:pPr>
      <w:ind w:firstLine="420" w:firstLineChars="200"/>
    </w:pPr>
    <w:rPr>
      <w:szCs w:val="24"/>
    </w:rPr>
  </w:style>
  <w:style w:type="paragraph" w:styleId="7">
    <w:name w:val="annotation text"/>
    <w:basedOn w:val="1"/>
    <w:link w:val="31"/>
    <w:semiHidden/>
    <w:qFormat/>
    <w:uiPriority w:val="0"/>
    <w:pPr>
      <w:jc w:val="left"/>
    </w:pPr>
    <w:rPr>
      <w:kern w:val="0"/>
      <w:sz w:val="24"/>
      <w:szCs w:val="20"/>
    </w:rPr>
  </w:style>
  <w:style w:type="paragraph" w:styleId="8">
    <w:name w:val="Body Text 3"/>
    <w:basedOn w:val="1"/>
    <w:qFormat/>
    <w:locked/>
    <w:uiPriority w:val="0"/>
    <w:pPr>
      <w:spacing w:line="560" w:lineRule="exact"/>
    </w:pPr>
    <w:rPr>
      <w:rFonts w:ascii="宋体"/>
      <w:sz w:val="28"/>
    </w:rPr>
  </w:style>
  <w:style w:type="paragraph" w:styleId="9">
    <w:name w:val="Body Text"/>
    <w:basedOn w:val="1"/>
    <w:link w:val="32"/>
    <w:qFormat/>
    <w:uiPriority w:val="0"/>
    <w:pPr>
      <w:widowControl/>
      <w:snapToGrid w:val="0"/>
      <w:spacing w:before="60" w:after="160" w:line="259" w:lineRule="auto"/>
      <w:ind w:right="113"/>
    </w:pPr>
    <w:rPr>
      <w:kern w:val="0"/>
      <w:sz w:val="18"/>
      <w:szCs w:val="20"/>
    </w:rPr>
  </w:style>
  <w:style w:type="paragraph" w:styleId="10">
    <w:name w:val="Body Text Indent"/>
    <w:basedOn w:val="1"/>
    <w:next w:val="1"/>
    <w:link w:val="33"/>
    <w:qFormat/>
    <w:uiPriority w:val="0"/>
    <w:pPr>
      <w:spacing w:after="120"/>
      <w:ind w:left="420" w:leftChars="200"/>
    </w:pPr>
    <w:rPr>
      <w:kern w:val="0"/>
      <w:sz w:val="24"/>
      <w:szCs w:val="20"/>
    </w:rPr>
  </w:style>
  <w:style w:type="paragraph" w:styleId="11">
    <w:name w:val="Plain Text"/>
    <w:basedOn w:val="1"/>
    <w:next w:val="8"/>
    <w:qFormat/>
    <w:locked/>
    <w:uiPriority w:val="0"/>
    <w:rPr>
      <w:rFonts w:ascii="宋体" w:hAnsi="Courier New" w:eastAsia="Times New Roman"/>
      <w:kern w:val="0"/>
      <w:sz w:val="20"/>
      <w:szCs w:val="21"/>
    </w:rPr>
  </w:style>
  <w:style w:type="paragraph" w:styleId="12">
    <w:name w:val="List Bullet 5"/>
    <w:basedOn w:val="1"/>
    <w:qFormat/>
    <w:locked/>
    <w:uiPriority w:val="0"/>
    <w:pPr>
      <w:numPr>
        <w:ilvl w:val="0"/>
        <w:numId w:val="1"/>
      </w:numPr>
    </w:pPr>
  </w:style>
  <w:style w:type="paragraph" w:styleId="13">
    <w:name w:val="Date"/>
    <w:basedOn w:val="1"/>
    <w:next w:val="1"/>
    <w:link w:val="34"/>
    <w:qFormat/>
    <w:uiPriority w:val="0"/>
    <w:pPr>
      <w:ind w:left="100" w:leftChars="2500"/>
    </w:pPr>
    <w:rPr>
      <w:kern w:val="0"/>
      <w:sz w:val="24"/>
      <w:szCs w:val="20"/>
    </w:rPr>
  </w:style>
  <w:style w:type="paragraph" w:styleId="14">
    <w:name w:val="Balloon Text"/>
    <w:basedOn w:val="1"/>
    <w:link w:val="35"/>
    <w:semiHidden/>
    <w:qFormat/>
    <w:uiPriority w:val="0"/>
    <w:rPr>
      <w:kern w:val="0"/>
      <w:sz w:val="18"/>
      <w:szCs w:val="20"/>
    </w:rPr>
  </w:style>
  <w:style w:type="paragraph" w:styleId="15">
    <w:name w:val="footer"/>
    <w:basedOn w:val="1"/>
    <w:link w:val="36"/>
    <w:qFormat/>
    <w:uiPriority w:val="99"/>
    <w:pPr>
      <w:tabs>
        <w:tab w:val="center" w:pos="4153"/>
        <w:tab w:val="right" w:pos="8306"/>
      </w:tabs>
      <w:snapToGrid w:val="0"/>
      <w:jc w:val="left"/>
    </w:pPr>
    <w:rPr>
      <w:kern w:val="0"/>
      <w:sz w:val="18"/>
      <w:szCs w:val="20"/>
    </w:rPr>
  </w:style>
  <w:style w:type="paragraph" w:styleId="16">
    <w:name w:val="header"/>
    <w:basedOn w:val="1"/>
    <w:link w:val="37"/>
    <w:qFormat/>
    <w:uiPriority w:val="0"/>
    <w:pPr>
      <w:pBdr>
        <w:bottom w:val="single" w:color="auto" w:sz="6" w:space="1"/>
      </w:pBdr>
      <w:tabs>
        <w:tab w:val="center" w:pos="4153"/>
        <w:tab w:val="right" w:pos="8306"/>
      </w:tabs>
      <w:snapToGrid w:val="0"/>
      <w:jc w:val="center"/>
    </w:pPr>
    <w:rPr>
      <w:kern w:val="0"/>
      <w:sz w:val="18"/>
      <w:szCs w:val="20"/>
    </w:rPr>
  </w:style>
  <w:style w:type="paragraph" w:styleId="17">
    <w:name w:val="toc 1"/>
    <w:basedOn w:val="1"/>
    <w:next w:val="1"/>
    <w:qFormat/>
    <w:locked/>
    <w:uiPriority w:val="0"/>
  </w:style>
  <w:style w:type="paragraph" w:styleId="18">
    <w:name w:val="List"/>
    <w:basedOn w:val="1"/>
    <w:next w:val="1"/>
    <w:qFormat/>
    <w:locked/>
    <w:uiPriority w:val="0"/>
    <w:pPr>
      <w:ind w:left="200" w:hanging="200" w:hangingChars="200"/>
      <w:contextualSpacing/>
    </w:pPr>
  </w:style>
  <w:style w:type="paragraph" w:styleId="19">
    <w:name w:val="Normal (Web)"/>
    <w:basedOn w:val="1"/>
    <w:link w:val="38"/>
    <w:qFormat/>
    <w:uiPriority w:val="0"/>
    <w:pPr>
      <w:widowControl/>
      <w:spacing w:before="100" w:beforeAutospacing="1" w:after="100" w:afterAutospacing="1"/>
      <w:jc w:val="left"/>
    </w:pPr>
    <w:rPr>
      <w:rFonts w:ascii="宋体" w:hAnsi="宋体"/>
      <w:kern w:val="0"/>
      <w:sz w:val="24"/>
      <w:szCs w:val="20"/>
    </w:rPr>
  </w:style>
  <w:style w:type="paragraph" w:styleId="20">
    <w:name w:val="annotation subject"/>
    <w:basedOn w:val="7"/>
    <w:next w:val="7"/>
    <w:link w:val="39"/>
    <w:semiHidden/>
    <w:qFormat/>
    <w:uiPriority w:val="0"/>
    <w:rPr>
      <w:b/>
      <w:sz w:val="24"/>
      <w:szCs w:val="20"/>
    </w:rPr>
  </w:style>
  <w:style w:type="paragraph" w:styleId="21">
    <w:name w:val="Body Text First Indent"/>
    <w:basedOn w:val="9"/>
    <w:next w:val="1"/>
    <w:qFormat/>
    <w:locked/>
    <w:uiPriority w:val="0"/>
    <w:pPr>
      <w:ind w:firstLine="420" w:firstLineChars="100"/>
    </w:pPr>
  </w:style>
  <w:style w:type="paragraph" w:styleId="22">
    <w:name w:val="Body Text First Indent 2"/>
    <w:basedOn w:val="10"/>
    <w:next w:val="1"/>
    <w:qFormat/>
    <w:locked/>
    <w:uiPriority w:val="0"/>
    <w:pPr>
      <w:spacing w:before="0" w:after="120" w:line="240" w:lineRule="auto"/>
      <w:ind w:left="420" w:leftChars="200" w:firstLine="420"/>
    </w:pPr>
    <w:rPr>
      <w:rFonts w:eastAsia="宋体"/>
      <w:sz w:val="24"/>
    </w:rPr>
  </w:style>
  <w:style w:type="table" w:styleId="24">
    <w:name w:val="Table Grid"/>
    <w:basedOn w:val="2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locked/>
    <w:uiPriority w:val="0"/>
    <w:rPr>
      <w:b/>
    </w:rPr>
  </w:style>
  <w:style w:type="character" w:styleId="27">
    <w:name w:val="page number"/>
    <w:basedOn w:val="25"/>
    <w:qFormat/>
    <w:locked/>
    <w:uiPriority w:val="0"/>
  </w:style>
  <w:style w:type="character" w:styleId="28">
    <w:name w:val="annotation reference"/>
    <w:semiHidden/>
    <w:qFormat/>
    <w:uiPriority w:val="0"/>
    <w:rPr>
      <w:sz w:val="21"/>
    </w:rPr>
  </w:style>
  <w:style w:type="paragraph" w:customStyle="1" w:styleId="29">
    <w:name w:val="Char Char Char Char Char Char Char Char Char1 Char"/>
    <w:basedOn w:val="1"/>
    <w:next w:val="30"/>
    <w:qFormat/>
    <w:uiPriority w:val="0"/>
    <w:pPr>
      <w:spacing w:line="360" w:lineRule="auto"/>
      <w:ind w:firstLine="200" w:firstLineChars="200"/>
    </w:pPr>
    <w:rPr>
      <w:rFonts w:hAnsi="宋体" w:cs="宋体"/>
      <w:spacing w:val="0"/>
      <w:sz w:val="24"/>
      <w:szCs w:val="24"/>
    </w:rPr>
  </w:style>
  <w:style w:type="paragraph" w:customStyle="1" w:styleId="30">
    <w:name w:val="Body Text First Indent1"/>
    <w:next w:val="1"/>
    <w:qFormat/>
    <w:uiPriority w:val="0"/>
    <w:pPr>
      <w:widowControl w:val="0"/>
      <w:spacing w:after="120"/>
      <w:ind w:firstLine="420"/>
      <w:jc w:val="both"/>
    </w:pPr>
    <w:rPr>
      <w:rFonts w:ascii="Times New Roman" w:hAnsi="Times New Roman" w:eastAsia="宋体" w:cs="Times New Roman"/>
      <w:sz w:val="21"/>
      <w:szCs w:val="22"/>
      <w:lang w:val="en-US" w:eastAsia="zh-CN" w:bidi="ar-SA"/>
    </w:rPr>
  </w:style>
  <w:style w:type="character" w:customStyle="1" w:styleId="31">
    <w:name w:val="批注文字 Char"/>
    <w:link w:val="7"/>
    <w:qFormat/>
    <w:locked/>
    <w:uiPriority w:val="0"/>
    <w:rPr>
      <w:rFonts w:ascii="Times New Roman" w:hAnsi="Times New Roman" w:eastAsia="宋体"/>
      <w:sz w:val="24"/>
    </w:rPr>
  </w:style>
  <w:style w:type="character" w:customStyle="1" w:styleId="32">
    <w:name w:val="正文文本 Char"/>
    <w:link w:val="9"/>
    <w:qFormat/>
    <w:locked/>
    <w:uiPriority w:val="0"/>
    <w:rPr>
      <w:sz w:val="18"/>
    </w:rPr>
  </w:style>
  <w:style w:type="character" w:customStyle="1" w:styleId="33">
    <w:name w:val="正文文本缩进 Char"/>
    <w:link w:val="10"/>
    <w:semiHidden/>
    <w:qFormat/>
    <w:locked/>
    <w:uiPriority w:val="0"/>
    <w:rPr>
      <w:rFonts w:ascii="Times New Roman" w:hAnsi="Times New Roman" w:eastAsia="宋体"/>
      <w:sz w:val="24"/>
    </w:rPr>
  </w:style>
  <w:style w:type="character" w:customStyle="1" w:styleId="34">
    <w:name w:val="日期 Char"/>
    <w:link w:val="13"/>
    <w:qFormat/>
    <w:locked/>
    <w:uiPriority w:val="0"/>
    <w:rPr>
      <w:rFonts w:ascii="Times New Roman" w:hAnsi="Times New Roman" w:eastAsia="宋体"/>
      <w:sz w:val="24"/>
    </w:rPr>
  </w:style>
  <w:style w:type="character" w:customStyle="1" w:styleId="35">
    <w:name w:val="批注框文本 Char"/>
    <w:link w:val="14"/>
    <w:semiHidden/>
    <w:qFormat/>
    <w:locked/>
    <w:uiPriority w:val="0"/>
    <w:rPr>
      <w:rFonts w:ascii="Times New Roman" w:hAnsi="Times New Roman" w:eastAsia="宋体"/>
      <w:sz w:val="18"/>
    </w:rPr>
  </w:style>
  <w:style w:type="character" w:customStyle="1" w:styleId="36">
    <w:name w:val="页脚 Char"/>
    <w:link w:val="15"/>
    <w:qFormat/>
    <w:locked/>
    <w:uiPriority w:val="99"/>
    <w:rPr>
      <w:sz w:val="18"/>
    </w:rPr>
  </w:style>
  <w:style w:type="character" w:customStyle="1" w:styleId="37">
    <w:name w:val="页眉 Char"/>
    <w:link w:val="16"/>
    <w:qFormat/>
    <w:locked/>
    <w:uiPriority w:val="0"/>
    <w:rPr>
      <w:sz w:val="18"/>
    </w:rPr>
  </w:style>
  <w:style w:type="character" w:customStyle="1" w:styleId="38">
    <w:name w:val="普通(网站) Char"/>
    <w:link w:val="19"/>
    <w:qFormat/>
    <w:locked/>
    <w:uiPriority w:val="0"/>
    <w:rPr>
      <w:rFonts w:ascii="宋体" w:hAnsi="宋体" w:eastAsia="宋体"/>
      <w:sz w:val="24"/>
    </w:rPr>
  </w:style>
  <w:style w:type="character" w:customStyle="1" w:styleId="39">
    <w:name w:val="批注主题 Char"/>
    <w:link w:val="20"/>
    <w:semiHidden/>
    <w:qFormat/>
    <w:locked/>
    <w:uiPriority w:val="0"/>
    <w:rPr>
      <w:rFonts w:ascii="Times New Roman" w:hAnsi="Times New Roman" w:eastAsia="宋体"/>
      <w:b/>
      <w:kern w:val="2"/>
      <w:sz w:val="24"/>
    </w:rPr>
  </w:style>
  <w:style w:type="paragraph" w:customStyle="1" w:styleId="40">
    <w:name w:val="xl27"/>
    <w:basedOn w:val="1"/>
    <w:next w:val="1"/>
    <w:qFormat/>
    <w:uiPriority w:val="0"/>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41">
    <w:name w:val="表格"/>
    <w:basedOn w:val="42"/>
    <w:next w:val="1"/>
    <w:link w:val="43"/>
    <w:qFormat/>
    <w:uiPriority w:val="0"/>
    <w:pPr>
      <w:adjustRightInd w:val="0"/>
      <w:snapToGrid w:val="0"/>
      <w:spacing w:beforeLines="10" w:afterLines="10" w:line="259" w:lineRule="auto"/>
      <w:jc w:val="center"/>
    </w:pPr>
    <w:rPr>
      <w:rFonts w:ascii="宋体"/>
      <w:kern w:val="0"/>
      <w:szCs w:val="20"/>
    </w:rPr>
  </w:style>
  <w:style w:type="paragraph" w:customStyle="1" w:styleId="42">
    <w:name w:val="正文小四 2-1.5"/>
    <w:basedOn w:val="1"/>
    <w:qFormat/>
    <w:uiPriority w:val="0"/>
    <w:pPr>
      <w:ind w:firstLine="643"/>
    </w:pPr>
  </w:style>
  <w:style w:type="character" w:customStyle="1" w:styleId="43">
    <w:name w:val="表格 Char"/>
    <w:link w:val="41"/>
    <w:qFormat/>
    <w:locked/>
    <w:uiPriority w:val="0"/>
    <w:rPr>
      <w:rFonts w:ascii="宋体"/>
      <w:sz w:val="21"/>
    </w:rPr>
  </w:style>
  <w:style w:type="character" w:customStyle="1" w:styleId="44">
    <w:name w:val="页脚 字符"/>
    <w:basedOn w:val="25"/>
    <w:qFormat/>
    <w:uiPriority w:val="99"/>
  </w:style>
  <w:style w:type="character" w:customStyle="1" w:styleId="45">
    <w:name w:val="正文文本 字符1"/>
    <w:semiHidden/>
    <w:qFormat/>
    <w:uiPriority w:val="0"/>
    <w:rPr>
      <w:rFonts w:ascii="Times New Roman" w:hAnsi="Times New Roman" w:eastAsia="宋体"/>
      <w:sz w:val="24"/>
    </w:rPr>
  </w:style>
  <w:style w:type="character" w:customStyle="1" w:styleId="46">
    <w:name w:val="日期 字符"/>
    <w:semiHidden/>
    <w:qFormat/>
    <w:uiPriority w:val="0"/>
    <w:rPr>
      <w:rFonts w:ascii="Times New Roman" w:hAnsi="Times New Roman" w:eastAsia="宋体"/>
      <w:sz w:val="24"/>
    </w:rPr>
  </w:style>
  <w:style w:type="character" w:customStyle="1" w:styleId="47">
    <w:name w:val="批注文字 字符1"/>
    <w:semiHidden/>
    <w:qFormat/>
    <w:uiPriority w:val="0"/>
    <w:rPr>
      <w:rFonts w:ascii="Times New Roman" w:hAnsi="Times New Roman" w:eastAsia="宋体"/>
      <w:sz w:val="24"/>
    </w:rPr>
  </w:style>
  <w:style w:type="paragraph" w:customStyle="1" w:styleId="4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普通(网站)2"/>
    <w:basedOn w:val="1"/>
    <w:qFormat/>
    <w:uiPriority w:val="0"/>
    <w:pPr>
      <w:widowControl/>
      <w:spacing w:before="100" w:beforeAutospacing="1" w:after="100" w:afterAutospacing="1"/>
      <w:jc w:val="left"/>
    </w:pPr>
    <w:rPr>
      <w:rFonts w:ascii="宋体" w:hAnsi="宋体"/>
      <w:sz w:val="24"/>
      <w:szCs w:val="20"/>
    </w:rPr>
  </w:style>
  <w:style w:type="table" w:customStyle="1" w:styleId="50">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51">
    <w:name w:val="Table Text"/>
    <w:basedOn w:val="1"/>
    <w:semiHidden/>
    <w:qFormat/>
    <w:uiPriority w:val="0"/>
    <w:rPr>
      <w:rFonts w:ascii="宋体" w:hAnsi="宋体" w:eastAsia="宋体" w:cs="宋体"/>
      <w:sz w:val="28"/>
      <w:szCs w:val="28"/>
      <w:lang w:val="en-US" w:eastAsia="en-US" w:bidi="ar-SA"/>
    </w:rPr>
  </w:style>
  <w:style w:type="paragraph" w:customStyle="1" w:styleId="52">
    <w:name w:val="Table Paragraph"/>
    <w:basedOn w:val="1"/>
    <w:qFormat/>
    <w:uiPriority w:val="0"/>
  </w:style>
  <w:style w:type="paragraph" w:customStyle="1" w:styleId="53">
    <w:name w:val="正文2"/>
    <w:qFormat/>
    <w:uiPriority w:val="0"/>
    <w:pPr>
      <w:widowControl w:val="0"/>
      <w:autoSpaceDE w:val="0"/>
      <w:autoSpaceDN w:val="0"/>
      <w:adjustRightInd w:val="0"/>
      <w:spacing w:line="360" w:lineRule="auto"/>
      <w:ind w:firstLine="560" w:firstLineChars="200"/>
      <w:jc w:val="both"/>
    </w:pPr>
    <w:rPr>
      <w:rFonts w:ascii="Times New Roman" w:hAnsi="Times New Roman" w:eastAsia="宋体" w:cs="Times New Roman"/>
      <w:color w:val="auto"/>
      <w:sz w:val="24"/>
      <w:szCs w:val="24"/>
    </w:rPr>
  </w:style>
  <w:style w:type="paragraph" w:customStyle="1" w:styleId="54">
    <w:name w:val="表格正文"/>
    <w:qFormat/>
    <w:uiPriority w:val="0"/>
    <w:pPr>
      <w:autoSpaceDE w:val="0"/>
      <w:autoSpaceDN w:val="0"/>
      <w:adjustRightInd w:val="0"/>
      <w:jc w:val="center"/>
      <w:textAlignment w:val="baseline"/>
    </w:pPr>
    <w:rPr>
      <w:rFonts w:ascii="Times New Roman" w:hAnsi="Times New Roman" w:eastAsia="宋体" w:cs="Times New Roman"/>
      <w:kern w:val="0"/>
      <w:sz w:val="21"/>
      <w:szCs w:val="21"/>
    </w:rPr>
  </w:style>
  <w:style w:type="paragraph" w:customStyle="1" w:styleId="55">
    <w:name w:val="表中文字"/>
    <w:basedOn w:val="1"/>
    <w:qFormat/>
    <w:uiPriority w:val="0"/>
    <w:pPr>
      <w:snapToGrid w:val="0"/>
      <w:spacing w:line="240" w:lineRule="auto"/>
      <w:ind w:firstLine="0" w:firstLineChars="0"/>
      <w:jc w:val="center"/>
      <w:textAlignment w:val="center"/>
    </w:pPr>
    <w:rPr>
      <w:bCs/>
      <w:color w:val="000000"/>
      <w:kern w:val="0"/>
      <w:sz w:val="21"/>
      <w:szCs w:val="18"/>
    </w:rPr>
  </w:style>
  <w:style w:type="paragraph" w:customStyle="1" w:styleId="56">
    <w:name w:val="表格内容"/>
    <w:basedOn w:val="1"/>
    <w:qFormat/>
    <w:uiPriority w:val="0"/>
    <w:pPr>
      <w:overflowPunct w:val="0"/>
      <w:topLinePunct/>
      <w:autoSpaceDE w:val="0"/>
      <w:autoSpaceDN w:val="0"/>
      <w:spacing w:line="240" w:lineRule="auto"/>
      <w:jc w:val="center"/>
    </w:pPr>
    <w:rPr>
      <w:rFonts w:cs="宋体"/>
      <w:kern w:val="0"/>
      <w:sz w:val="21"/>
      <w:szCs w:val="22"/>
      <w:lang w:val="zh-CN" w:bidi="zh-CN"/>
    </w:rPr>
  </w:style>
  <w:style w:type="paragraph" w:customStyle="1" w:styleId="57">
    <w:name w:val="正文文字缩进"/>
    <w:basedOn w:val="1"/>
    <w:qFormat/>
    <w:uiPriority w:val="0"/>
    <w:pPr>
      <w:spacing w:line="440" w:lineRule="exact"/>
      <w:ind w:firstLine="425" w:firstLineChars="177"/>
    </w:pPr>
    <w:rPr>
      <w:rFonts w:ascii="Calibri" w:hAnsi="Calibri"/>
      <w:bCs/>
      <w:sz w:val="24"/>
      <w:szCs w:val="22"/>
    </w:rPr>
  </w:style>
  <w:style w:type="paragraph" w:customStyle="1" w:styleId="58">
    <w:name w:val="表格内"/>
    <w:qFormat/>
    <w:uiPriority w:val="0"/>
    <w:pPr>
      <w:widowControl/>
      <w:autoSpaceDE w:val="0"/>
      <w:autoSpaceDN w:val="0"/>
      <w:adjustRightInd w:val="0"/>
      <w:snapToGrid w:val="0"/>
      <w:spacing w:line="240" w:lineRule="auto"/>
      <w:jc w:val="center"/>
    </w:pPr>
    <w:rPr>
      <w:rFonts w:ascii="Times New Roman" w:hAnsi="Times New Roman" w:eastAsia="宋体" w:cs="宋体"/>
      <w:snapToGrid w:val="0"/>
      <w:kern w:val="0"/>
      <w:sz w:val="21"/>
      <w:szCs w:val="21"/>
      <w:lang w:val="en-US" w:eastAsia="en-US" w:bidi="ar-SA"/>
    </w:rPr>
  </w:style>
  <w:style w:type="paragraph" w:customStyle="1" w:styleId="59">
    <w:name w:val="Default"/>
    <w:basedOn w:val="60"/>
    <w:next w:val="1"/>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60">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61">
    <w:name w:val="正文(首行缩进)"/>
    <w:basedOn w:val="1"/>
    <w:next w:val="4"/>
    <w:qFormat/>
    <w:uiPriority w:val="0"/>
    <w:pPr>
      <w:spacing w:line="360" w:lineRule="auto"/>
      <w:ind w:firstLine="480" w:firstLineChars="200"/>
    </w:pPr>
    <w:rPr>
      <w:rFonts w:eastAsia="宋体"/>
      <w:bCs/>
      <w:color w:val="000000"/>
      <w:kern w:val="24"/>
      <w:sz w:val="24"/>
      <w:szCs w:val="24"/>
    </w:rPr>
  </w:style>
  <w:style w:type="paragraph" w:customStyle="1" w:styleId="62">
    <w:name w:val="正文1"/>
    <w:basedOn w:val="2"/>
    <w:next w:val="1"/>
    <w:qFormat/>
    <w:uiPriority w:val="0"/>
    <w:rPr>
      <w:szCs w:val="20"/>
    </w:rPr>
  </w:style>
  <w:style w:type="paragraph" w:customStyle="1" w:styleId="63">
    <w:name w:val="li_正文"/>
    <w:basedOn w:val="1"/>
    <w:qFormat/>
    <w:uiPriority w:val="0"/>
    <w:pPr>
      <w:ind w:firstLine="200" w:firstLineChars="200"/>
      <w:jc w:val="left"/>
    </w:pPr>
    <w:rPr>
      <w:rFonts w:ascii="Calibri" w:hAnsi="Calibri"/>
      <w:sz w:val="28"/>
      <w:szCs w:val="28"/>
    </w:rPr>
  </w:style>
  <w:style w:type="character" w:customStyle="1" w:styleId="64">
    <w:name w:val="font21"/>
    <w:basedOn w:val="25"/>
    <w:uiPriority w:val="0"/>
    <w:rPr>
      <w:rFonts w:hint="default" w:ascii="Times New Roman" w:hAnsi="Times New Roman" w:cs="Times New Roman"/>
      <w:color w:val="000000"/>
      <w:sz w:val="21"/>
      <w:szCs w:val="21"/>
      <w:u w:val="none"/>
    </w:rPr>
  </w:style>
  <w:style w:type="character" w:customStyle="1" w:styleId="65">
    <w:name w:val="font11"/>
    <w:basedOn w:val="25"/>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DU3MDMzMzYyNTY0IiwKCSJHcm91cElkIiA6ICIyNzY0ODIxMTIiLAoJIkltYWdlIiA6ICJpVkJPUncwS0dnb0FBQUFOU1VoRVVnQUFCS0VBQUFOaENBWUFBQUEvaUtnZEFBQUFBWE5TUjBJQXJzNGM2UUFBSUFCSlJFRlVlSnpzM1h0Y1ZWWCsvL0gzT2h3UUVVb05DMGRueEF0OXRhOGxqSmwyb1puS2NvYkdicVpsNWErcE5MTXNLeXViVE11cEtjdEtyYWtwKzBhWlpVNFgxRWZHbzlMU2FsTHhNcENZVkRxcGVVMjhJb0p5THV2M1IzRG1BSWVMeU9ZSXZKNlBSdy9QV1d2dHRUOXNEek9kZDJ1dkxRR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TdmRC9BMStKMmFHRC9VNEpBQUFBQUVsRlRrU3VRbUNDIiwKCSJUaGVtZSIgOiAiIiwKCSJUeXBlIiA6ICJmbG93IiwKCSJVc2VySWQiIDogIjMxNzM5NjczMyIsCgkiVmVyc2lvbiIgOiAiNTQiCn0K"/>
    </extobj>
    <extobj name="ECB019B1-382A-4266-B25C-5B523AA43C14-2">
      <extobjdata type="ECB019B1-382A-4266-B25C-5B523AA43C14" data="ewoJIkZpbGVJZCIgOiAiNDU3MDMzMzYyNTY0IiwKCSJHcm91cElkIiA6ICIyNzY0ODIxMTIiLAoJIkltYWdlIiA6ICJpVkJPUncwS0dnb0FBQUFOU1VoRVVnQUFCS0VBQUFOaENBWUFBQUEvaUtnZEFBQUFBWE5TUjBJQXJzNGM2UUFBSUFCSlJFRlVlSnpzM1h0Y1ZWWCsvL0gzT2h3UUVVb05DMGRueEF0OXRhOGxqSmwyb1puS2NvYkdicVpsNWErcE5MTXNLeXViVE11cEtjdEtyYWtwKzBhWlpVNFgxRWZHbzlMU2FsTHhNcENZVkRxcGVVMjhJb0p5THV2M1IzRG1BSWVMeU9ZSXZKNlBSdy9QV1d2dHRUOXNEek9kZDJ1dkxRR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TdmRC9BMStKMmFHRC9VNEpBQUFBQUVsRlRrU3VRbUNDIiwKCSJUaGVtZSIgOiAiIiwKCSJUeXBlIiA6ICJmbG93IiwKCSJVc2VySWQiIDogIjMxNzM5NjczMyIsCgkiVmVyc2lvbiIgOiAiNTQiCn0K"/>
    </extobj>
    <extobj name="ECB019B1-382A-4266-B25C-5B523AA43C14-3">
      <extobjdata type="ECB019B1-382A-4266-B25C-5B523AA43C14" data="ewoJIkZpbGVJZCIgOiAiNDU3MDMzMzYyNTY0IiwKCSJHcm91cElkIiA6ICIyNzY0ODIxMTIiLAoJIkltYWdlIiA6ICJpVkJPUncwS0dnb0FBQUFOU1VoRVVnQUFCS0VBQUFOaENBWUFBQUEvaUtnZEFBQUFBWE5TUjBJQXJzNGM2UUFBSUFCSlJFRlVlSnpzM1h0Y1ZWWCsvL0gzT2h3UUVVb05DMGRueEF0OXRhOGxqSmwyb1puS2NvYkdicVpsNWErcE5MTXNLeXViVE11cEtjdEtyYWtwKzBhWlpVNFgxRWZHbzlMU2FsTHhNcENZVkRxcGVVMjhJb0p5THV2M1IzRG1BSWVMeU9ZSXZKNlBSdy9QV1d2dHRUOXNEek9kZDJ1dkxRR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TdmRC9BMStKMmFHRC9VNEpBQUFBQUVsRlRrU3VRbUNDIiwKCSJUaGVtZSIgOiAiIiwKCSJUeXBlIiA6ICJmbG93IiwKCSJVc2VySWQiIDogIjMxNzM5NjczMyIsCgkiVmVyc2lvbiIgOiAiNTQ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52</Pages>
  <Words>10622</Words>
  <Characters>11470</Characters>
  <Lines>13</Lines>
  <Paragraphs>3</Paragraphs>
  <TotalTime>10</TotalTime>
  <ScaleCrop>false</ScaleCrop>
  <LinksUpToDate>false</LinksUpToDate>
  <CharactersWithSpaces>11608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WPS_1562320662</cp:lastModifiedBy>
  <cp:lastPrinted>2020-12-29T02:43:00Z</cp:lastPrinted>
  <dcterms:modified xsi:type="dcterms:W3CDTF">2025-12-08T11:12:08Z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C0E27CDDBB1F441DACC3091595DBACB1_13</vt:lpwstr>
  </property>
  <property fmtid="{D5CDD505-2E9C-101B-9397-08002B2CF9AE}" pid="4" name="KSOTemplateDocerSaveRecord">
    <vt:lpwstr>eyJoZGlkIjoiNGRhODgyNjQ5YTE5ZjFmYjE2NDEwOTU4OTE2MjU0N2MiLCJ1c2VySWQiOiI2MDE2NTE5NzkifQ==</vt:lpwstr>
  </property>
</Properties>
</file>